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Override1.xml" ContentType="application/vnd.openxmlformats-officedocument.themeOverride+xml"/>
  <Override PartName="/word/footer4.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2.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theme/themeOverride3.xml" ContentType="application/vnd.openxmlformats-officedocument.themeOverride+xml"/>
  <Override PartName="/word/charts/chart40.xml" ContentType="application/vnd.openxmlformats-officedocument.drawingml.chart+xml"/>
  <Override PartName="/word/theme/themeOverride4.xml" ContentType="application/vnd.openxmlformats-officedocument.themeOverride+xml"/>
  <Override PartName="/word/charts/chart41.xml" ContentType="application/vnd.openxmlformats-officedocument.drawingml.chart+xml"/>
  <Override PartName="/word/theme/themeOverride5.xml" ContentType="application/vnd.openxmlformats-officedocument.themeOverride+xml"/>
  <Override PartName="/word/charts/chart42.xml" ContentType="application/vnd.openxmlformats-officedocument.drawingml.chart+xml"/>
  <Override PartName="/word/theme/themeOverride6.xml" ContentType="application/vnd.openxmlformats-officedocument.themeOverride+xml"/>
  <Override PartName="/word/charts/chart43.xml" ContentType="application/vnd.openxmlformats-officedocument.drawingml.chart+xml"/>
  <Override PartName="/word/theme/themeOverride7.xml" ContentType="application/vnd.openxmlformats-officedocument.themeOverride+xml"/>
  <Override PartName="/word/charts/chart44.xml" ContentType="application/vnd.openxmlformats-officedocument.drawingml.chart+xml"/>
  <Override PartName="/word/theme/themeOverride8.xml" ContentType="application/vnd.openxmlformats-officedocument.themeOverride+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Times New Roman" w:hAnsi="Times New Roman" w:cs="Times New Roman"/>
          <w:color w:val="000000" w:themeColor="text1"/>
          <w:sz w:val="24"/>
          <w:szCs w:val="24"/>
        </w:rPr>
        <w:id w:val="814455992"/>
        <w:docPartObj>
          <w:docPartGallery w:val="Cover Pages"/>
          <w:docPartUnique/>
        </w:docPartObj>
      </w:sdtPr>
      <w:sdtEndPr>
        <w:rPr>
          <w:rFonts w:eastAsia="Times New Roman"/>
          <w:b/>
          <w:sz w:val="20"/>
          <w:szCs w:val="20"/>
          <w:lang w:eastAsia="x-none"/>
        </w:rPr>
      </w:sdtEndPr>
      <w:sdtContent>
        <w:p w14:paraId="4E9FABAF" w14:textId="3BC771C8" w:rsidR="00A9606F" w:rsidRPr="00191ACB" w:rsidRDefault="000C7500" w:rsidP="00DB3DA4">
          <w:pPr>
            <w:jc w:val="center"/>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mc:AlternateContent>
              <mc:Choice Requires="wps">
                <w:drawing>
                  <wp:anchor distT="0" distB="0" distL="114300" distR="114300" simplePos="0" relativeHeight="251646464" behindDoc="1" locked="0" layoutInCell="1" allowOverlap="0" wp14:anchorId="634A10E8" wp14:editId="058F831B">
                    <wp:simplePos x="0" y="0"/>
                    <wp:positionH relativeFrom="page">
                      <wp:posOffset>444328</wp:posOffset>
                    </wp:positionH>
                    <wp:positionV relativeFrom="page">
                      <wp:posOffset>425278</wp:posOffset>
                    </wp:positionV>
                    <wp:extent cx="6858000" cy="7433619"/>
                    <wp:effectExtent l="76200" t="38100" r="95250" b="110490"/>
                    <wp:wrapNone/>
                    <wp:docPr id="2" name="Text Box 2" descr="Cover page layout"/>
                    <wp:cNvGraphicFramePr/>
                    <a:graphic xmlns:a="http://schemas.openxmlformats.org/drawingml/2006/main">
                      <a:graphicData uri="http://schemas.microsoft.com/office/word/2010/wordprocessingShape">
                        <wps:wsp>
                          <wps:cNvSpPr txBox="1"/>
                          <wps:spPr>
                            <a:xfrm>
                              <a:off x="0" y="0"/>
                              <a:ext cx="6858000" cy="7433619"/>
                            </a:xfrm>
                            <a:prstGeom prst="rect">
                              <a:avLst/>
                            </a:prstGeom>
                            <a:noFill/>
                            <a:ln w="6350">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0">
                              <a:schemeClr val="accent1"/>
                            </a:lnRef>
                            <a:fillRef idx="0">
                              <a:schemeClr val="accent1"/>
                            </a:fillRef>
                            <a:effectRef idx="0">
                              <a:schemeClr val="accent1"/>
                            </a:effectRef>
                            <a:fontRef idx="minor">
                              <a:schemeClr val="dk1"/>
                            </a:fontRef>
                          </wps:style>
                          <wps:txbx>
                            <w:txbxContent>
                              <w:tbl>
                                <w:tblPr>
                                  <w:tblW w:w="5000" w:type="pct"/>
                                  <w:tblCellMar>
                                    <w:left w:w="0" w:type="dxa"/>
                                    <w:right w:w="0" w:type="dxa"/>
                                  </w:tblCellMar>
                                  <w:tblLook w:val="04A0" w:firstRow="1" w:lastRow="0" w:firstColumn="1" w:lastColumn="0" w:noHBand="0" w:noVBand="1"/>
                                  <w:tblDescription w:val="Cover page layout"/>
                                </w:tblPr>
                                <w:tblGrid>
                                  <w:gridCol w:w="10790"/>
                                </w:tblGrid>
                                <w:tr w:rsidR="00BE7199" w14:paraId="6A2DFC8B" w14:textId="77777777" w:rsidTr="000C7500">
                                  <w:trPr>
                                    <w:trHeight w:hRule="exact" w:val="4111"/>
                                  </w:trPr>
                                  <w:tc>
                                    <w:tcPr>
                                      <w:tcW w:w="5000" w:type="pct"/>
                                    </w:tcPr>
                                    <w:p w14:paraId="08BD8899" w14:textId="6BF159BE" w:rsidR="00BE7199" w:rsidRDefault="00BE7199" w:rsidP="009D75A5">
                                      <w:r>
                                        <w:t xml:space="preserve"> </w:t>
                                      </w:r>
                                    </w:p>
                                  </w:tc>
                                </w:tr>
                                <w:tr w:rsidR="00BE7199" w14:paraId="64BBCF08" w14:textId="77777777" w:rsidTr="009B1AF5">
                                  <w:trPr>
                                    <w:trHeight w:hRule="exact" w:val="4320"/>
                                  </w:trPr>
                                  <w:tc>
                                    <w:tcPr>
                                      <w:tcW w:w="5000" w:type="pct"/>
                                      <w:shd w:val="clear" w:color="auto" w:fill="auto"/>
                                      <w:vAlign w:val="center"/>
                                    </w:tcPr>
                                    <w:p w14:paraId="4DEBA8E9" w14:textId="7B0C91B5" w:rsidR="00BE7199" w:rsidRDefault="00BE7199" w:rsidP="009B1AF5">
                                      <w:pPr>
                                        <w:pStyle w:val="NoSpacing"/>
                                        <w:jc w:val="center"/>
                                        <w:rPr>
                                          <w:color w:val="FFFFFF" w:themeColor="background1"/>
                                          <w:sz w:val="32"/>
                                          <w:szCs w:val="32"/>
                                        </w:rPr>
                                      </w:pPr>
                                    </w:p>
                                  </w:tc>
                                </w:tr>
                                <w:tr w:rsidR="00BE7199" w14:paraId="429A424B" w14:textId="77777777" w:rsidTr="009B1AF5">
                                  <w:trPr>
                                    <w:trHeight w:hRule="exact" w:val="720"/>
                                  </w:trPr>
                                  <w:tc>
                                    <w:tcPr>
                                      <w:tcW w:w="5000" w:type="pct"/>
                                      <w:shd w:val="clear" w:color="auto" w:fill="auto"/>
                                    </w:tcPr>
                                    <w:tbl>
                                      <w:tblPr>
                                        <w:tblW w:w="5000" w:type="pct"/>
                                        <w:tblCellMar>
                                          <w:left w:w="0" w:type="dxa"/>
                                          <w:right w:w="0" w:type="dxa"/>
                                        </w:tblCellMar>
                                        <w:tblLook w:val="04A0" w:firstRow="1" w:lastRow="0" w:firstColumn="1" w:lastColumn="0" w:noHBand="0" w:noVBand="1"/>
                                        <w:tblDescription w:val="Cover page info"/>
                                      </w:tblPr>
                                      <w:tblGrid>
                                        <w:gridCol w:w="3596"/>
                                        <w:gridCol w:w="3597"/>
                                        <w:gridCol w:w="3597"/>
                                      </w:tblGrid>
                                      <w:tr w:rsidR="00BE7199" w14:paraId="3464AD81" w14:textId="77777777">
                                        <w:trPr>
                                          <w:trHeight w:hRule="exact" w:val="720"/>
                                        </w:trPr>
                                        <w:tc>
                                          <w:tcPr>
                                            <w:tcW w:w="3590" w:type="dxa"/>
                                            <w:vAlign w:val="center"/>
                                          </w:tcPr>
                                          <w:p w14:paraId="140249CA" w14:textId="631346B6" w:rsidR="00BE7199" w:rsidRPr="009D75A5" w:rsidRDefault="00BE7199" w:rsidP="009B1AF5">
                                            <w:pPr>
                                              <w:pStyle w:val="NoSpacing"/>
                                              <w:ind w:right="144"/>
                                              <w:rPr>
                                                <w:rFonts w:ascii="Garamond" w:hAnsi="Garamond"/>
                                                <w:b/>
                                                <w:color w:val="FFFFFF" w:themeColor="background1"/>
                                                <w:sz w:val="50"/>
                                                <w:szCs w:val="50"/>
                                              </w:rPr>
                                            </w:pPr>
                                          </w:p>
                                        </w:tc>
                                        <w:tc>
                                          <w:tcPr>
                                            <w:tcW w:w="3591" w:type="dxa"/>
                                            <w:vAlign w:val="center"/>
                                          </w:tcPr>
                                          <w:p w14:paraId="36D582BB" w14:textId="77777777" w:rsidR="00BE7199" w:rsidRDefault="00BE7199" w:rsidP="002B173F">
                                            <w:pPr>
                                              <w:pStyle w:val="NoSpacing"/>
                                              <w:ind w:right="144"/>
                                              <w:rPr>
                                                <w:color w:val="FFFFFF" w:themeColor="background1"/>
                                              </w:rPr>
                                            </w:pPr>
                                          </w:p>
                                        </w:tc>
                                        <w:tc>
                                          <w:tcPr>
                                            <w:tcW w:w="3591" w:type="dxa"/>
                                            <w:vAlign w:val="center"/>
                                          </w:tcPr>
                                          <w:p w14:paraId="38050A30" w14:textId="1BA11205" w:rsidR="00BE7199" w:rsidRPr="009D75A5" w:rsidRDefault="00BE7199" w:rsidP="009B1AF5">
                                            <w:pPr>
                                              <w:pStyle w:val="NoSpacing"/>
                                              <w:ind w:right="720"/>
                                              <w:rPr>
                                                <w:rFonts w:ascii="Garamond" w:hAnsi="Garamond"/>
                                                <w:color w:val="FFFFFF" w:themeColor="background1"/>
                                                <w:sz w:val="40"/>
                                                <w:szCs w:val="40"/>
                                              </w:rPr>
                                            </w:pPr>
                                          </w:p>
                                        </w:tc>
                                      </w:tr>
                                    </w:tbl>
                                    <w:p w14:paraId="1560EE14" w14:textId="77777777" w:rsidR="00BE7199" w:rsidRDefault="00BE7199"/>
                                  </w:tc>
                                </w:tr>
                              </w:tbl>
                              <w:p w14:paraId="32EE0699" w14:textId="6DA5444D" w:rsidR="00BE7199" w:rsidRDefault="00BE7199" w:rsidP="000C7500">
                                <w:pPr>
                                  <w:spacing w:after="0"/>
                                </w:pPr>
                              </w:p>
                              <w:p w14:paraId="783A1F3A" w14:textId="68CCEB94" w:rsidR="00BE7199" w:rsidRDefault="00BE7199" w:rsidP="000C7500">
                                <w:pPr>
                                  <w:spacing w:after="0"/>
                                </w:pPr>
                              </w:p>
                              <w:p w14:paraId="1876822E" w14:textId="156CEA64" w:rsidR="00BE7199" w:rsidRDefault="00BE7199" w:rsidP="000C7500">
                                <w:pPr>
                                  <w:spacing w:after="0"/>
                                </w:pPr>
                              </w:p>
                              <w:p w14:paraId="0E68C357" w14:textId="77777777" w:rsidR="00BE7199" w:rsidRDefault="00BE7199" w:rsidP="000C7500">
                                <w:pPr>
                                  <w:spacing w:after="0"/>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34A10E8" id="_x0000_t202" coordsize="21600,21600" o:spt="202" path="m,l,21600r21600,l21600,xe">
                    <v:stroke joinstyle="miter"/>
                    <v:path gradientshapeok="t" o:connecttype="rect"/>
                  </v:shapetype>
                  <v:shape id="Text Box 2" o:spid="_x0000_s1026" type="#_x0000_t202" alt="Cover page layout" style="position:absolute;left:0;text-align:left;margin-left:35pt;margin-top:33.5pt;width:540pt;height:585.3pt;z-index:-251670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" o:allowoverlap="f" filled="f" stroked="f" strokeweight=".5pt">
                    <v:shadow on="t" color="black" opacity="20971f" offset="0,2.2pt"/>
                    <v:textbox inset="0,0,0,0">
                      <w:txbxContent>
                        <w:tbl>
                          <w:tblPr>
                            <w:tblW w:w="5000" w:type="pct"/>
                            <w:tblCellMar>
                              <w:left w:w="0" w:type="dxa"/>
                              <w:right w:w="0" w:type="dxa"/>
                            </w:tblCellMar>
                            <w:tblLook w:val="04A0" w:firstRow="1" w:lastRow="0" w:firstColumn="1" w:lastColumn="0" w:noHBand="0" w:noVBand="1"/>
                            <w:tblDescription w:val="Cover page layout"/>
                          </w:tblPr>
                          <w:tblGrid>
                            <w:gridCol w:w="10790"/>
                          </w:tblGrid>
                          <w:tr w:rsidR="00BE7199" w14:paraId="6A2DFC8B" w14:textId="77777777" w:rsidTr="000C7500">
                            <w:trPr>
                              <w:trHeight w:hRule="exact" w:val="4111"/>
                            </w:trPr>
                            <w:tc>
                              <w:tcPr>
                                <w:tcW w:w="5000" w:type="pct"/>
                              </w:tcPr>
                              <w:p w14:paraId="08BD8899" w14:textId="6BF159BE" w:rsidR="00BE7199" w:rsidRDefault="00BE7199" w:rsidP="009D75A5">
                                <w:r>
                                  <w:t xml:space="preserve"> </w:t>
                                </w:r>
                              </w:p>
                            </w:tc>
                          </w:tr>
                          <w:tr w:rsidR="00BE7199" w14:paraId="64BBCF08" w14:textId="77777777" w:rsidTr="009B1AF5">
                            <w:trPr>
                              <w:trHeight w:hRule="exact" w:val="4320"/>
                            </w:trPr>
                            <w:tc>
                              <w:tcPr>
                                <w:tcW w:w="5000" w:type="pct"/>
                                <w:shd w:val="clear" w:color="auto" w:fill="auto"/>
                                <w:vAlign w:val="center"/>
                              </w:tcPr>
                              <w:p w14:paraId="4DEBA8E9" w14:textId="7B0C91B5" w:rsidR="00BE7199" w:rsidRDefault="00BE7199" w:rsidP="009B1AF5">
                                <w:pPr>
                                  <w:pStyle w:val="NoSpacing"/>
                                  <w:jc w:val="center"/>
                                  <w:rPr>
                                    <w:color w:val="FFFFFF" w:themeColor="background1"/>
                                    <w:sz w:val="32"/>
                                    <w:szCs w:val="32"/>
                                  </w:rPr>
                                </w:pPr>
                              </w:p>
                            </w:tc>
                          </w:tr>
                          <w:tr w:rsidR="00BE7199" w14:paraId="429A424B" w14:textId="77777777" w:rsidTr="009B1AF5">
                            <w:trPr>
                              <w:trHeight w:hRule="exact" w:val="720"/>
                            </w:trPr>
                            <w:tc>
                              <w:tcPr>
                                <w:tcW w:w="5000" w:type="pct"/>
                                <w:shd w:val="clear" w:color="auto" w:fill="auto"/>
                              </w:tcPr>
                              <w:tbl>
                                <w:tblPr>
                                  <w:tblW w:w="5000" w:type="pct"/>
                                  <w:tblCellMar>
                                    <w:left w:w="0" w:type="dxa"/>
                                    <w:right w:w="0" w:type="dxa"/>
                                  </w:tblCellMar>
                                  <w:tblLook w:val="04A0" w:firstRow="1" w:lastRow="0" w:firstColumn="1" w:lastColumn="0" w:noHBand="0" w:noVBand="1"/>
                                  <w:tblDescription w:val="Cover page info"/>
                                </w:tblPr>
                                <w:tblGrid>
                                  <w:gridCol w:w="3596"/>
                                  <w:gridCol w:w="3597"/>
                                  <w:gridCol w:w="3597"/>
                                </w:tblGrid>
                                <w:tr w:rsidR="00BE7199" w14:paraId="3464AD81" w14:textId="77777777">
                                  <w:trPr>
                                    <w:trHeight w:hRule="exact" w:val="720"/>
                                  </w:trPr>
                                  <w:tc>
                                    <w:tcPr>
                                      <w:tcW w:w="3590" w:type="dxa"/>
                                      <w:vAlign w:val="center"/>
                                    </w:tcPr>
                                    <w:p w14:paraId="140249CA" w14:textId="631346B6" w:rsidR="00BE7199" w:rsidRPr="009D75A5" w:rsidRDefault="00BE7199" w:rsidP="009B1AF5">
                                      <w:pPr>
                                        <w:pStyle w:val="NoSpacing"/>
                                        <w:ind w:right="144"/>
                                        <w:rPr>
                                          <w:rFonts w:ascii="Garamond" w:hAnsi="Garamond"/>
                                          <w:b/>
                                          <w:color w:val="FFFFFF" w:themeColor="background1"/>
                                          <w:sz w:val="50"/>
                                          <w:szCs w:val="50"/>
                                        </w:rPr>
                                      </w:pPr>
                                    </w:p>
                                  </w:tc>
                                  <w:tc>
                                    <w:tcPr>
                                      <w:tcW w:w="3591" w:type="dxa"/>
                                      <w:vAlign w:val="center"/>
                                    </w:tcPr>
                                    <w:p w14:paraId="36D582BB" w14:textId="77777777" w:rsidR="00BE7199" w:rsidRDefault="00BE7199" w:rsidP="002B173F">
                                      <w:pPr>
                                        <w:pStyle w:val="NoSpacing"/>
                                        <w:ind w:right="144"/>
                                        <w:rPr>
                                          <w:color w:val="FFFFFF" w:themeColor="background1"/>
                                        </w:rPr>
                                      </w:pPr>
                                    </w:p>
                                  </w:tc>
                                  <w:tc>
                                    <w:tcPr>
                                      <w:tcW w:w="3591" w:type="dxa"/>
                                      <w:vAlign w:val="center"/>
                                    </w:tcPr>
                                    <w:p w14:paraId="38050A30" w14:textId="1BA11205" w:rsidR="00BE7199" w:rsidRPr="009D75A5" w:rsidRDefault="00BE7199" w:rsidP="009B1AF5">
                                      <w:pPr>
                                        <w:pStyle w:val="NoSpacing"/>
                                        <w:ind w:right="720"/>
                                        <w:rPr>
                                          <w:rFonts w:ascii="Garamond" w:hAnsi="Garamond"/>
                                          <w:color w:val="FFFFFF" w:themeColor="background1"/>
                                          <w:sz w:val="40"/>
                                          <w:szCs w:val="40"/>
                                        </w:rPr>
                                      </w:pPr>
                                    </w:p>
                                  </w:tc>
                                </w:tr>
                              </w:tbl>
                              <w:p w14:paraId="1560EE14" w14:textId="77777777" w:rsidR="00BE7199" w:rsidRDefault="00BE7199"/>
                            </w:tc>
                          </w:tr>
                        </w:tbl>
                        <w:p w14:paraId="32EE0699" w14:textId="6DA5444D" w:rsidR="00BE7199" w:rsidRDefault="00BE7199" w:rsidP="000C7500">
                          <w:pPr>
                            <w:spacing w:after="0"/>
                          </w:pPr>
                        </w:p>
                        <w:p w14:paraId="783A1F3A" w14:textId="68CCEB94" w:rsidR="00BE7199" w:rsidRDefault="00BE7199" w:rsidP="000C7500">
                          <w:pPr>
                            <w:spacing w:after="0"/>
                          </w:pPr>
                        </w:p>
                        <w:p w14:paraId="1876822E" w14:textId="156CEA64" w:rsidR="00BE7199" w:rsidRDefault="00BE7199" w:rsidP="000C7500">
                          <w:pPr>
                            <w:spacing w:after="0"/>
                          </w:pPr>
                        </w:p>
                        <w:p w14:paraId="0E68C357" w14:textId="77777777" w:rsidR="00BE7199" w:rsidRDefault="00BE7199" w:rsidP="000C7500">
                          <w:pPr>
                            <w:spacing w:after="0"/>
                          </w:pPr>
                        </w:p>
                      </w:txbxContent>
                    </v:textbox>
                    <w10:wrap anchorx="page" anchory="page"/>
                  </v:shape>
                </w:pict>
              </mc:Fallback>
            </mc:AlternateContent>
          </w:r>
          <w:r w:rsidR="00DB3DA4" w:rsidRPr="00191ACB">
            <w:rPr>
              <w:rFonts w:ascii="Times New Roman" w:hAnsi="Times New Roman" w:cs="Times New Roman"/>
              <w:noProof/>
              <w:sz w:val="24"/>
              <w:szCs w:val="24"/>
              <w:lang w:val="en-GB" w:eastAsia="en-GB"/>
            </w:rPr>
            <w:drawing>
              <wp:inline distT="114300" distB="114300" distL="114300" distR="114300" wp14:anchorId="3A03CB67" wp14:editId="695F9D22">
                <wp:extent cx="1038225" cy="1038225"/>
                <wp:effectExtent l="0" t="0" r="0" b="0"/>
                <wp:docPr id="17"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2"/>
                        <a:srcRect/>
                        <a:stretch>
                          <a:fillRect/>
                        </a:stretch>
                      </pic:blipFill>
                      <pic:spPr>
                        <a:xfrm>
                          <a:off x="0" y="0"/>
                          <a:ext cx="1038225" cy="1038225"/>
                        </a:xfrm>
                        <a:prstGeom prst="rect">
                          <a:avLst/>
                        </a:prstGeom>
                        <a:ln/>
                      </pic:spPr>
                    </pic:pic>
                  </a:graphicData>
                </a:graphic>
              </wp:inline>
            </w:drawing>
          </w:r>
        </w:p>
        <w:p w14:paraId="748AE196" w14:textId="7B9993F7" w:rsidR="009B1AF5" w:rsidRDefault="009B1AF5" w:rsidP="009B1AF5">
          <w:pPr>
            <w:tabs>
              <w:tab w:val="center" w:pos="4896"/>
            </w:tabs>
            <w:rPr>
              <w:rFonts w:ascii="Times New Roman" w:eastAsia="Times New Roman" w:hAnsi="Times New Roman" w:cs="Times New Roman"/>
              <w:b/>
              <w:color w:val="000000" w:themeColor="text1"/>
              <w:sz w:val="24"/>
              <w:szCs w:val="24"/>
              <w:lang w:eastAsia="x-none"/>
            </w:rPr>
          </w:pPr>
          <w:r>
            <w:rPr>
              <w:rFonts w:ascii="Times New Roman" w:eastAsia="Times New Roman" w:hAnsi="Times New Roman" w:cs="Times New Roman"/>
              <w:b/>
              <w:color w:val="000000" w:themeColor="text1"/>
              <w:sz w:val="24"/>
              <w:szCs w:val="24"/>
              <w:lang w:eastAsia="x-none"/>
            </w:rPr>
            <w:tab/>
            <w:t>GOVERNMENT OF THE REPUBLIC OF ZAMBIA</w:t>
          </w:r>
        </w:p>
        <w:p w14:paraId="67536EB2" w14:textId="06CA9682" w:rsidR="009B1AF5" w:rsidRDefault="009B1AF5" w:rsidP="009B1AF5">
          <w:pPr>
            <w:tabs>
              <w:tab w:val="center" w:pos="4896"/>
            </w:tabs>
            <w:rPr>
              <w:rFonts w:ascii="Times New Roman" w:eastAsia="Times New Roman" w:hAnsi="Times New Roman" w:cs="Times New Roman"/>
              <w:b/>
              <w:color w:val="000000" w:themeColor="text1"/>
              <w:sz w:val="24"/>
              <w:szCs w:val="24"/>
              <w:lang w:eastAsia="x-none"/>
            </w:rPr>
          </w:pPr>
        </w:p>
        <w:p w14:paraId="1786AFF9" w14:textId="77777777" w:rsidR="009B1AF5" w:rsidRPr="009B1AF5" w:rsidRDefault="009B1AF5" w:rsidP="009B1AF5">
          <w:pPr>
            <w:tabs>
              <w:tab w:val="center" w:pos="4896"/>
            </w:tabs>
            <w:jc w:val="center"/>
            <w:rPr>
              <w:rFonts w:ascii="Times New Roman" w:eastAsia="Times New Roman" w:hAnsi="Times New Roman" w:cs="Times New Roman"/>
              <w:b/>
              <w:color w:val="000000" w:themeColor="text1"/>
              <w:sz w:val="32"/>
              <w:szCs w:val="32"/>
              <w:lang w:eastAsia="x-none"/>
            </w:rPr>
          </w:pPr>
          <w:r w:rsidRPr="009B1AF5">
            <w:rPr>
              <w:rFonts w:ascii="Times New Roman" w:eastAsia="Times New Roman" w:hAnsi="Times New Roman" w:cs="Times New Roman"/>
              <w:b/>
              <w:color w:val="000000" w:themeColor="text1"/>
              <w:sz w:val="32"/>
              <w:szCs w:val="32"/>
              <w:lang w:eastAsia="x-none"/>
            </w:rPr>
            <w:t xml:space="preserve">FIRST BIENNIAL UPDATE REPORT </w:t>
          </w:r>
        </w:p>
        <w:p w14:paraId="645262E1" w14:textId="77777777" w:rsidR="009B1AF5" w:rsidRDefault="009B1AF5" w:rsidP="009B1AF5">
          <w:pPr>
            <w:tabs>
              <w:tab w:val="center" w:pos="4896"/>
            </w:tabs>
            <w:jc w:val="center"/>
            <w:rPr>
              <w:rFonts w:ascii="Times New Roman" w:eastAsia="Times New Roman" w:hAnsi="Times New Roman" w:cs="Times New Roman"/>
              <w:b/>
              <w:color w:val="000000" w:themeColor="text1"/>
              <w:sz w:val="24"/>
              <w:szCs w:val="24"/>
              <w:lang w:eastAsia="x-none"/>
            </w:rPr>
          </w:pPr>
          <w:r>
            <w:rPr>
              <w:rFonts w:ascii="Times New Roman" w:eastAsia="Times New Roman" w:hAnsi="Times New Roman" w:cs="Times New Roman"/>
              <w:b/>
              <w:color w:val="000000" w:themeColor="text1"/>
              <w:sz w:val="24"/>
              <w:szCs w:val="24"/>
              <w:lang w:eastAsia="x-none"/>
            </w:rPr>
            <w:t xml:space="preserve">TO THE </w:t>
          </w:r>
        </w:p>
        <w:p w14:paraId="41123706" w14:textId="3B7686D6" w:rsidR="009B1AF5" w:rsidRDefault="009B1AF5" w:rsidP="009B1AF5">
          <w:pPr>
            <w:tabs>
              <w:tab w:val="center" w:pos="4896"/>
            </w:tabs>
            <w:jc w:val="center"/>
            <w:rPr>
              <w:rFonts w:ascii="Times New Roman" w:eastAsia="Times New Roman" w:hAnsi="Times New Roman" w:cs="Times New Roman"/>
              <w:b/>
              <w:color w:val="000000" w:themeColor="text1"/>
              <w:sz w:val="24"/>
              <w:szCs w:val="24"/>
              <w:lang w:eastAsia="x-none"/>
            </w:rPr>
          </w:pPr>
          <w:r>
            <w:rPr>
              <w:rFonts w:ascii="Times New Roman" w:eastAsia="Times New Roman" w:hAnsi="Times New Roman" w:cs="Times New Roman"/>
              <w:b/>
              <w:color w:val="000000" w:themeColor="text1"/>
              <w:sz w:val="24"/>
              <w:szCs w:val="24"/>
              <w:lang w:eastAsia="x-none"/>
            </w:rPr>
            <w:t>UNITED NATIONS FRAMEWORK CONVENTION ON CLIMATE CHANGE</w:t>
          </w:r>
        </w:p>
        <w:p w14:paraId="0F077DDC" w14:textId="19A99FF2" w:rsidR="009B267A" w:rsidRDefault="009B267A" w:rsidP="009B1AF5">
          <w:pPr>
            <w:tabs>
              <w:tab w:val="center" w:pos="4896"/>
            </w:tabs>
            <w:jc w:val="center"/>
            <w:rPr>
              <w:rFonts w:ascii="Times New Roman" w:eastAsia="Times New Roman" w:hAnsi="Times New Roman" w:cs="Times New Roman"/>
              <w:b/>
              <w:color w:val="000000" w:themeColor="text1"/>
              <w:sz w:val="24"/>
              <w:szCs w:val="24"/>
              <w:lang w:eastAsia="x-none"/>
            </w:rPr>
          </w:pPr>
          <w:r w:rsidRPr="009B267A">
            <w:rPr>
              <w:noProof/>
              <w:color w:val="FFFFFF" w:themeColor="background1"/>
              <w:sz w:val="32"/>
              <w:szCs w:val="32"/>
            </w:rPr>
            <w:drawing>
              <wp:inline distT="0" distB="0" distL="0" distR="0" wp14:anchorId="1B69B72C" wp14:editId="41A4C590">
                <wp:extent cx="3168000" cy="243360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8000" cy="2433600"/>
                        </a:xfrm>
                        <a:prstGeom prst="rect">
                          <a:avLst/>
                        </a:prstGeom>
                        <a:noFill/>
                        <a:ln>
                          <a:noFill/>
                        </a:ln>
                      </pic:spPr>
                    </pic:pic>
                  </a:graphicData>
                </a:graphic>
              </wp:inline>
            </w:drawing>
          </w:r>
        </w:p>
        <w:p w14:paraId="5A16F507" w14:textId="75E12573" w:rsidR="009B267A" w:rsidRDefault="009B267A" w:rsidP="009B1AF5">
          <w:pPr>
            <w:tabs>
              <w:tab w:val="center" w:pos="4896"/>
            </w:tabs>
            <w:jc w:val="center"/>
            <w:rPr>
              <w:rFonts w:ascii="Times New Roman" w:eastAsia="Times New Roman" w:hAnsi="Times New Roman" w:cs="Times New Roman"/>
              <w:b/>
              <w:color w:val="000000" w:themeColor="text1"/>
              <w:sz w:val="24"/>
              <w:szCs w:val="24"/>
              <w:lang w:eastAsia="x-none"/>
            </w:rPr>
          </w:pPr>
        </w:p>
        <w:p w14:paraId="003A2369" w14:textId="516D19A8" w:rsidR="005E6FB4" w:rsidRDefault="005E6FB4" w:rsidP="009B1AF5">
          <w:pPr>
            <w:tabs>
              <w:tab w:val="center" w:pos="4896"/>
            </w:tabs>
            <w:jc w:val="center"/>
            <w:rPr>
              <w:rFonts w:ascii="Times New Roman" w:eastAsia="Times New Roman" w:hAnsi="Times New Roman" w:cs="Times New Roman"/>
              <w:b/>
              <w:color w:val="000000" w:themeColor="text1"/>
              <w:sz w:val="24"/>
              <w:szCs w:val="24"/>
              <w:lang w:eastAsia="x-none"/>
            </w:rPr>
          </w:pPr>
        </w:p>
        <w:p w14:paraId="617E29CF" w14:textId="77777777" w:rsidR="005E6FB4" w:rsidRDefault="005E6FB4" w:rsidP="009B1AF5">
          <w:pPr>
            <w:tabs>
              <w:tab w:val="center" w:pos="4896"/>
            </w:tabs>
            <w:jc w:val="center"/>
            <w:rPr>
              <w:rFonts w:ascii="Times New Roman" w:eastAsia="Times New Roman" w:hAnsi="Times New Roman" w:cs="Times New Roman"/>
              <w:b/>
              <w:color w:val="000000" w:themeColor="text1"/>
              <w:sz w:val="24"/>
              <w:szCs w:val="24"/>
              <w:lang w:eastAsia="x-none"/>
            </w:rPr>
          </w:pPr>
        </w:p>
        <w:p w14:paraId="5E8A37F5" w14:textId="021E8CCC" w:rsidR="00A9606F" w:rsidRPr="00F73965" w:rsidRDefault="00F73965" w:rsidP="00F73965">
          <w:pPr>
            <w:tabs>
              <w:tab w:val="center" w:pos="4896"/>
            </w:tabs>
            <w:rPr>
              <w:rFonts w:ascii="Times New Roman" w:eastAsia="Times New Roman" w:hAnsi="Times New Roman" w:cs="Times New Roman"/>
              <w:b/>
              <w:color w:val="000000" w:themeColor="text1"/>
              <w:sz w:val="20"/>
              <w:szCs w:val="20"/>
              <w:lang w:eastAsia="x-none"/>
            </w:rPr>
          </w:pPr>
          <w:r w:rsidRPr="00F73965">
            <w:rPr>
              <w:rFonts w:ascii="Times New Roman" w:eastAsia="Times New Roman" w:hAnsi="Times New Roman" w:cs="Times New Roman"/>
              <w:b/>
              <w:color w:val="000000" w:themeColor="text1"/>
              <w:sz w:val="20"/>
              <w:szCs w:val="20"/>
              <w:lang w:eastAsia="x-none"/>
            </w:rPr>
            <w:tab/>
            <w:t>DECEMBER 2020</w:t>
          </w:r>
        </w:p>
      </w:sdtContent>
    </w:sdt>
    <w:p w14:paraId="7791949B" w14:textId="77777777" w:rsidR="00A9606F" w:rsidRPr="00191ACB" w:rsidRDefault="00A9606F"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26FF0003"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113D75FF"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7DE46AA9"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3EDCC9FC"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373D944D"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506F19F3"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51436029"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20CCD96A"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6DBD8D26"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1BDCDC40"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02FA3708"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541DCEB9"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16907E7B"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4050F50C"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7CD5A852"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2BA73F43"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4A32AF5A"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157DEA83"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1A9A5CC3"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2EE56F05"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32E0E5EA"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78E10657"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6BBD2A9E"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5318E8B5"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7DA44496"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21E830B8"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63A1D0FE"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51DB8B6C"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6E807E55"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527B6363"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62A0A501"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47E7019D" w14:textId="77777777" w:rsidR="00CC49DE" w:rsidRPr="00191ACB" w:rsidRDefault="00CC49DE"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0E6147C6" w14:textId="77777777" w:rsidR="00090DD1" w:rsidRPr="00191ACB" w:rsidRDefault="00090DD1"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sectPr w:rsidR="00090DD1" w:rsidRPr="00191ACB" w:rsidSect="000C7500">
          <w:footerReference w:type="default" r:id="rId14"/>
          <w:footerReference w:type="first" r:id="rId15"/>
          <w:pgSz w:w="12240" w:h="15840"/>
          <w:pgMar w:top="1008" w:right="1008" w:bottom="1008" w:left="1440" w:header="720" w:footer="720" w:gutter="0"/>
          <w:pgNumType w:fmt="lowerRoman" w:start="1"/>
          <w:cols w:space="720"/>
        </w:sectPr>
      </w:pPr>
    </w:p>
    <w:p w14:paraId="4301F12C" w14:textId="77777777" w:rsidR="008D35DB" w:rsidRPr="00AB2F22" w:rsidRDefault="008D35DB" w:rsidP="00AB2F22">
      <w:pPr>
        <w:spacing w:after="120" w:line="276" w:lineRule="auto"/>
        <w:rPr>
          <w:rFonts w:ascii="Times New Roman" w:eastAsia="Times New Roman" w:hAnsi="Times New Roman" w:cs="Times New Roman"/>
          <w:b/>
          <w:color w:val="000000" w:themeColor="text1"/>
          <w:sz w:val="24"/>
          <w:szCs w:val="24"/>
          <w:lang w:val="en-GB" w:eastAsia="en-GB"/>
        </w:rPr>
      </w:pPr>
      <w:r w:rsidRPr="00AB2F22">
        <w:rPr>
          <w:rFonts w:ascii="Times New Roman" w:eastAsia="Times New Roman" w:hAnsi="Times New Roman" w:cs="Times New Roman"/>
          <w:b/>
          <w:color w:val="000000" w:themeColor="text1"/>
          <w:sz w:val="24"/>
          <w:szCs w:val="24"/>
          <w:lang w:val="en-GB" w:eastAsia="en-GB"/>
        </w:rPr>
        <w:lastRenderedPageBreak/>
        <w:t>CHAPTER CONTRIBUTORS</w:t>
      </w:r>
    </w:p>
    <w:p w14:paraId="3C8DFA07" w14:textId="77777777" w:rsidR="008D35DB" w:rsidRPr="00AB2F22" w:rsidRDefault="008D35DB" w:rsidP="00AB2F22">
      <w:pPr>
        <w:spacing w:after="120" w:line="276" w:lineRule="auto"/>
        <w:rPr>
          <w:rFonts w:ascii="Times New Roman" w:eastAsia="Times New Roman" w:hAnsi="Times New Roman" w:cs="Times New Roman"/>
          <w:b/>
          <w:color w:val="000000" w:themeColor="text1"/>
          <w:sz w:val="24"/>
          <w:szCs w:val="24"/>
          <w:lang w:val="en-GB" w:eastAsia="en-GB"/>
        </w:rPr>
      </w:pPr>
      <w:r w:rsidRPr="00AB2F22">
        <w:rPr>
          <w:rFonts w:ascii="Times New Roman" w:eastAsia="Times New Roman" w:hAnsi="Times New Roman" w:cs="Times New Roman"/>
          <w:b/>
          <w:color w:val="000000" w:themeColor="text1"/>
          <w:sz w:val="24"/>
          <w:szCs w:val="24"/>
          <w:lang w:val="en-GB" w:eastAsia="en-GB"/>
        </w:rPr>
        <w:t xml:space="preserve">General Oversight: </w:t>
      </w:r>
    </w:p>
    <w:p w14:paraId="2DBDBE9A" w14:textId="77777777" w:rsidR="008D35DB" w:rsidRPr="00246D9D" w:rsidRDefault="008D35DB" w:rsidP="00AB2F22">
      <w:pPr>
        <w:spacing w:after="120" w:line="276" w:lineRule="auto"/>
        <w:rPr>
          <w:rFonts w:ascii="Times New Roman" w:eastAsia="Times New Roman" w:hAnsi="Times New Roman" w:cs="Times New Roman"/>
          <w:b/>
          <w:iCs/>
          <w:color w:val="000000" w:themeColor="text1"/>
          <w:sz w:val="24"/>
          <w:szCs w:val="24"/>
          <w:lang w:val="en-GB" w:eastAsia="en-GB"/>
        </w:rPr>
      </w:pPr>
      <w:r w:rsidRPr="00246D9D">
        <w:rPr>
          <w:rFonts w:ascii="Times New Roman" w:eastAsia="Times New Roman" w:hAnsi="Times New Roman" w:cs="Times New Roman"/>
          <w:iCs/>
          <w:color w:val="000000" w:themeColor="text1"/>
          <w:sz w:val="24"/>
          <w:szCs w:val="24"/>
          <w:lang w:val="en-GB" w:eastAsia="en-GB"/>
        </w:rPr>
        <w:t>Mr Gift Sikaundi</w:t>
      </w:r>
    </w:p>
    <w:p w14:paraId="6345EE8A" w14:textId="77777777" w:rsidR="008D35DB" w:rsidRPr="00AB2F22" w:rsidRDefault="008D35DB" w:rsidP="00AB2F22">
      <w:pPr>
        <w:spacing w:after="120" w:line="276" w:lineRule="auto"/>
        <w:rPr>
          <w:rFonts w:ascii="Times New Roman" w:eastAsia="Times New Roman" w:hAnsi="Times New Roman" w:cs="Times New Roman"/>
          <w:b/>
          <w:color w:val="000000" w:themeColor="text1"/>
          <w:sz w:val="24"/>
          <w:szCs w:val="24"/>
          <w:highlight w:val="yellow"/>
          <w:lang w:val="en-GB" w:eastAsia="en-GB"/>
        </w:rPr>
      </w:pPr>
    </w:p>
    <w:p w14:paraId="0CDD00BF" w14:textId="1EF7E835" w:rsidR="008D35DB" w:rsidRPr="00AB2F22" w:rsidRDefault="008D35DB" w:rsidP="00AB2F22">
      <w:pPr>
        <w:spacing w:after="120" w:line="276" w:lineRule="auto"/>
        <w:rPr>
          <w:rFonts w:ascii="Times New Roman" w:eastAsia="Times New Roman" w:hAnsi="Times New Roman" w:cs="Times New Roman"/>
          <w:b/>
          <w:color w:val="000000" w:themeColor="text1"/>
          <w:sz w:val="24"/>
          <w:szCs w:val="24"/>
          <w:lang w:val="en-GB" w:eastAsia="en-GB"/>
        </w:rPr>
      </w:pPr>
      <w:r w:rsidRPr="00AB2F22">
        <w:rPr>
          <w:rFonts w:ascii="Times New Roman" w:eastAsia="Times New Roman" w:hAnsi="Times New Roman" w:cs="Times New Roman"/>
          <w:b/>
          <w:color w:val="000000" w:themeColor="text1"/>
          <w:sz w:val="24"/>
          <w:szCs w:val="24"/>
          <w:lang w:val="en-GB" w:eastAsia="en-GB"/>
        </w:rPr>
        <w:t>Coordinator</w:t>
      </w:r>
    </w:p>
    <w:p w14:paraId="15726659" w14:textId="04AB53AF" w:rsidR="008D35DB" w:rsidRPr="00246D9D" w:rsidRDefault="008D35DB" w:rsidP="00AB2F22">
      <w:pPr>
        <w:spacing w:after="120" w:line="276" w:lineRule="auto"/>
        <w:rPr>
          <w:rFonts w:ascii="Times New Roman" w:eastAsia="Times New Roman" w:hAnsi="Times New Roman" w:cs="Times New Roman"/>
          <w:iCs/>
          <w:color w:val="000000" w:themeColor="text1"/>
          <w:sz w:val="24"/>
          <w:szCs w:val="24"/>
          <w:lang w:val="en-GB" w:eastAsia="en-GB"/>
        </w:rPr>
      </w:pPr>
      <w:r w:rsidRPr="00246D9D">
        <w:rPr>
          <w:rFonts w:ascii="Times New Roman" w:eastAsia="Times New Roman" w:hAnsi="Times New Roman" w:cs="Times New Roman"/>
          <w:iCs/>
          <w:color w:val="000000" w:themeColor="text1"/>
          <w:sz w:val="24"/>
          <w:szCs w:val="24"/>
          <w:lang w:val="en-GB" w:eastAsia="en-GB"/>
        </w:rPr>
        <w:t>Mr Michael Annel Phiri</w:t>
      </w:r>
    </w:p>
    <w:p w14:paraId="60CD1855" w14:textId="77777777" w:rsidR="008D35DB" w:rsidRPr="00AB2F22" w:rsidRDefault="008D35DB" w:rsidP="00AB2F22">
      <w:pPr>
        <w:spacing w:after="120" w:line="276" w:lineRule="auto"/>
        <w:rPr>
          <w:rFonts w:ascii="Times New Roman" w:eastAsia="Times New Roman" w:hAnsi="Times New Roman" w:cs="Times New Roman"/>
          <w:i/>
          <w:color w:val="000000" w:themeColor="text1"/>
          <w:sz w:val="24"/>
          <w:szCs w:val="24"/>
          <w:lang w:val="en-GB" w:eastAsia="en-GB"/>
        </w:rPr>
      </w:pPr>
    </w:p>
    <w:p w14:paraId="372B50F7" w14:textId="3D4FD65E" w:rsidR="008D35DB" w:rsidRPr="00AB2F22" w:rsidRDefault="00246D9D" w:rsidP="00AB2F22">
      <w:pPr>
        <w:spacing w:after="120" w:line="276" w:lineRule="auto"/>
        <w:rPr>
          <w:rFonts w:ascii="Times New Roman" w:eastAsia="Times New Roman" w:hAnsi="Times New Roman" w:cs="Times New Roman"/>
          <w:b/>
          <w:color w:val="000000" w:themeColor="text1"/>
          <w:sz w:val="24"/>
          <w:szCs w:val="24"/>
          <w:lang w:val="en-GB" w:eastAsia="en-GB"/>
        </w:rPr>
      </w:pPr>
      <w:r w:rsidRPr="00AB2F22">
        <w:rPr>
          <w:rFonts w:ascii="Times New Roman" w:eastAsia="Times New Roman" w:hAnsi="Times New Roman" w:cs="Times New Roman"/>
          <w:b/>
          <w:color w:val="000000" w:themeColor="text1"/>
          <w:sz w:val="24"/>
          <w:szCs w:val="24"/>
          <w:lang w:val="en-GB" w:eastAsia="en-GB"/>
        </w:rPr>
        <w:t>Compilation</w:t>
      </w:r>
    </w:p>
    <w:p w14:paraId="13CDF6A4" w14:textId="52DB8C04" w:rsidR="008D35DB" w:rsidRPr="00AB2F22" w:rsidRDefault="008D35DB" w:rsidP="00AB2F22">
      <w:pPr>
        <w:spacing w:after="120" w:line="276" w:lineRule="auto"/>
        <w:jc w:val="both"/>
        <w:rPr>
          <w:rFonts w:ascii="Times New Roman" w:eastAsia="Calibri" w:hAnsi="Times New Roman" w:cs="Times New Roman"/>
          <w:color w:val="000000" w:themeColor="text1"/>
          <w:sz w:val="24"/>
          <w:szCs w:val="24"/>
        </w:rPr>
      </w:pPr>
      <w:r w:rsidRPr="00AB2F22">
        <w:rPr>
          <w:rFonts w:ascii="Times New Roman" w:eastAsia="Calibri" w:hAnsi="Times New Roman" w:cs="Times New Roman"/>
          <w:color w:val="000000" w:themeColor="text1"/>
          <w:sz w:val="24"/>
          <w:szCs w:val="24"/>
        </w:rPr>
        <w:t xml:space="preserve">Zambia Environmental Management Agency </w:t>
      </w:r>
    </w:p>
    <w:p w14:paraId="734ECC8A" w14:textId="77777777" w:rsidR="008D35DB" w:rsidRPr="00AB2F22" w:rsidRDefault="008D35DB" w:rsidP="00AB2F22">
      <w:pPr>
        <w:spacing w:after="120" w:line="276" w:lineRule="auto"/>
        <w:ind w:left="1620"/>
        <w:rPr>
          <w:rFonts w:ascii="Times New Roman" w:eastAsia="Times New Roman" w:hAnsi="Times New Roman" w:cs="Times New Roman"/>
          <w:b/>
          <w:bCs/>
          <w:i/>
          <w:color w:val="000000" w:themeColor="text1"/>
          <w:sz w:val="24"/>
          <w:szCs w:val="24"/>
          <w:lang w:val="en-GB" w:eastAsia="en-GB"/>
        </w:rPr>
      </w:pPr>
    </w:p>
    <w:p w14:paraId="3109BCD9" w14:textId="32451308" w:rsidR="008D35DB" w:rsidRPr="00AB2F22" w:rsidRDefault="00246D9D" w:rsidP="00AB2F22">
      <w:pPr>
        <w:spacing w:after="120" w:line="276" w:lineRule="auto"/>
        <w:rPr>
          <w:rFonts w:ascii="Times New Roman" w:eastAsia="Times New Roman" w:hAnsi="Times New Roman" w:cs="Times New Roman"/>
          <w:b/>
          <w:color w:val="000000" w:themeColor="text1"/>
          <w:sz w:val="24"/>
          <w:szCs w:val="24"/>
          <w:lang w:val="en-GB" w:eastAsia="en-GB"/>
        </w:rPr>
      </w:pPr>
      <w:r w:rsidRPr="00AB2F22">
        <w:rPr>
          <w:rFonts w:ascii="Times New Roman" w:eastAsia="Times New Roman" w:hAnsi="Times New Roman" w:cs="Times New Roman"/>
          <w:b/>
          <w:color w:val="000000" w:themeColor="text1"/>
          <w:sz w:val="24"/>
          <w:szCs w:val="24"/>
          <w:lang w:val="en-GB" w:eastAsia="en-GB"/>
        </w:rPr>
        <w:t>Greenhouse Gas Inventory</w:t>
      </w:r>
    </w:p>
    <w:p w14:paraId="5D9EAE44" w14:textId="77777777" w:rsidR="008D35DB" w:rsidRPr="00AB2F22" w:rsidRDefault="008D35DB" w:rsidP="00AB2F22">
      <w:pPr>
        <w:pStyle w:val="NoSpacing"/>
        <w:spacing w:after="120" w:line="276" w:lineRule="auto"/>
        <w:rPr>
          <w:rFonts w:ascii="Times New Roman" w:hAnsi="Times New Roman" w:cs="Times New Roman"/>
          <w:b/>
          <w:sz w:val="24"/>
          <w:szCs w:val="24"/>
        </w:rPr>
      </w:pPr>
      <w:r w:rsidRPr="00AB2F22">
        <w:rPr>
          <w:rFonts w:ascii="Times New Roman" w:hAnsi="Times New Roman" w:cs="Times New Roman"/>
          <w:b/>
          <w:sz w:val="24"/>
          <w:szCs w:val="24"/>
        </w:rPr>
        <w:t xml:space="preserve">Technical Support and Advisor </w:t>
      </w:r>
    </w:p>
    <w:p w14:paraId="2B9053F3" w14:textId="77777777" w:rsidR="008D35DB" w:rsidRPr="00246D9D" w:rsidRDefault="008D35DB" w:rsidP="00AB2F22">
      <w:pPr>
        <w:pStyle w:val="NoSpacing"/>
        <w:spacing w:after="120" w:line="276" w:lineRule="auto"/>
        <w:ind w:left="720"/>
        <w:rPr>
          <w:rFonts w:ascii="Times New Roman" w:hAnsi="Times New Roman" w:cs="Times New Roman"/>
          <w:iCs/>
          <w:sz w:val="24"/>
          <w:szCs w:val="24"/>
        </w:rPr>
      </w:pPr>
      <w:r w:rsidRPr="00246D9D">
        <w:rPr>
          <w:rFonts w:ascii="Times New Roman" w:hAnsi="Times New Roman" w:cs="Times New Roman"/>
          <w:iCs/>
          <w:sz w:val="24"/>
          <w:szCs w:val="24"/>
        </w:rPr>
        <w:t>Mr. Hartley Walimwipi</w:t>
      </w:r>
    </w:p>
    <w:p w14:paraId="4EAAD1D3" w14:textId="77777777" w:rsidR="008D35DB" w:rsidRPr="00AB2F22" w:rsidRDefault="008D35DB" w:rsidP="00AB2F22">
      <w:pPr>
        <w:pStyle w:val="NoSpacing"/>
        <w:spacing w:after="120" w:line="276" w:lineRule="auto"/>
        <w:rPr>
          <w:rFonts w:ascii="Times New Roman" w:hAnsi="Times New Roman" w:cs="Times New Roman"/>
          <w:b/>
          <w:sz w:val="24"/>
          <w:szCs w:val="24"/>
        </w:rPr>
      </w:pPr>
      <w:r w:rsidRPr="00AB2F22">
        <w:rPr>
          <w:rFonts w:ascii="Times New Roman" w:hAnsi="Times New Roman" w:cs="Times New Roman"/>
          <w:b/>
          <w:sz w:val="24"/>
          <w:szCs w:val="24"/>
        </w:rPr>
        <w:t>Quality Control</w:t>
      </w:r>
    </w:p>
    <w:p w14:paraId="0A405A68" w14:textId="759C3DAC" w:rsidR="008D35DB" w:rsidRPr="00246D9D" w:rsidRDefault="008D35DB" w:rsidP="00246D9D">
      <w:pPr>
        <w:pStyle w:val="NoSpacing"/>
        <w:spacing w:after="120" w:line="276" w:lineRule="auto"/>
        <w:ind w:left="720"/>
        <w:rPr>
          <w:rFonts w:ascii="Times New Roman" w:hAnsi="Times New Roman" w:cs="Times New Roman"/>
          <w:iCs/>
          <w:sz w:val="24"/>
          <w:szCs w:val="24"/>
        </w:rPr>
      </w:pPr>
      <w:r w:rsidRPr="00246D9D">
        <w:rPr>
          <w:rFonts w:ascii="Times New Roman" w:hAnsi="Times New Roman" w:cs="Times New Roman"/>
          <w:iCs/>
          <w:sz w:val="24"/>
          <w:szCs w:val="24"/>
        </w:rPr>
        <w:t>Dr</w:t>
      </w:r>
      <w:r w:rsidR="00246D9D">
        <w:rPr>
          <w:rFonts w:ascii="Times New Roman" w:hAnsi="Times New Roman" w:cs="Times New Roman"/>
          <w:iCs/>
          <w:sz w:val="24"/>
          <w:szCs w:val="24"/>
        </w:rPr>
        <w:t>.</w:t>
      </w:r>
      <w:r w:rsidRPr="00246D9D">
        <w:rPr>
          <w:rFonts w:ascii="Times New Roman" w:hAnsi="Times New Roman" w:cs="Times New Roman"/>
          <w:iCs/>
          <w:sz w:val="24"/>
          <w:szCs w:val="24"/>
        </w:rPr>
        <w:t xml:space="preserve"> Charity Nalweya</w:t>
      </w:r>
    </w:p>
    <w:p w14:paraId="55B5802D" w14:textId="07CF4505" w:rsidR="000C7500" w:rsidRPr="00246D9D" w:rsidRDefault="000C7500" w:rsidP="00246D9D">
      <w:pPr>
        <w:pStyle w:val="NoSpacing"/>
        <w:spacing w:after="120" w:line="276" w:lineRule="auto"/>
        <w:ind w:left="720"/>
        <w:rPr>
          <w:rFonts w:ascii="Times New Roman" w:hAnsi="Times New Roman" w:cs="Times New Roman"/>
          <w:iCs/>
          <w:sz w:val="24"/>
          <w:szCs w:val="24"/>
        </w:rPr>
      </w:pPr>
      <w:r w:rsidRPr="00246D9D">
        <w:rPr>
          <w:rFonts w:ascii="Times New Roman" w:hAnsi="Times New Roman" w:cs="Times New Roman"/>
          <w:iCs/>
          <w:sz w:val="24"/>
          <w:szCs w:val="24"/>
        </w:rPr>
        <w:t>Mr. Michael Anel Phiri</w:t>
      </w:r>
    </w:p>
    <w:p w14:paraId="61D8F795" w14:textId="27940BFA" w:rsidR="008D35DB" w:rsidRPr="00246D9D" w:rsidRDefault="008D35DB" w:rsidP="00246D9D">
      <w:pPr>
        <w:pStyle w:val="NoSpacing"/>
        <w:spacing w:after="120" w:line="276" w:lineRule="auto"/>
        <w:ind w:left="720"/>
        <w:rPr>
          <w:rFonts w:ascii="Times New Roman" w:hAnsi="Times New Roman" w:cs="Times New Roman"/>
          <w:iCs/>
          <w:sz w:val="24"/>
          <w:szCs w:val="24"/>
        </w:rPr>
      </w:pPr>
      <w:r w:rsidRPr="00246D9D">
        <w:rPr>
          <w:rFonts w:ascii="Times New Roman" w:hAnsi="Times New Roman" w:cs="Times New Roman"/>
          <w:iCs/>
          <w:sz w:val="24"/>
          <w:szCs w:val="24"/>
        </w:rPr>
        <w:t>Ms</w:t>
      </w:r>
      <w:r w:rsidR="00246D9D">
        <w:rPr>
          <w:rFonts w:ascii="Times New Roman" w:hAnsi="Times New Roman" w:cs="Times New Roman"/>
          <w:iCs/>
          <w:sz w:val="24"/>
          <w:szCs w:val="24"/>
        </w:rPr>
        <w:t>.</w:t>
      </w:r>
      <w:r w:rsidRPr="00246D9D">
        <w:rPr>
          <w:rFonts w:ascii="Times New Roman" w:hAnsi="Times New Roman" w:cs="Times New Roman"/>
          <w:iCs/>
          <w:sz w:val="24"/>
          <w:szCs w:val="24"/>
        </w:rPr>
        <w:t xml:space="preserve"> Mwiche Kabwe</w:t>
      </w:r>
    </w:p>
    <w:p w14:paraId="5B9F0AFC" w14:textId="77777777" w:rsidR="008D35DB" w:rsidRPr="00AB2F22" w:rsidRDefault="008D35DB" w:rsidP="00AB2F22">
      <w:pPr>
        <w:pStyle w:val="NoSpacing"/>
        <w:spacing w:after="120" w:line="276" w:lineRule="auto"/>
        <w:rPr>
          <w:rFonts w:ascii="Times New Roman" w:hAnsi="Times New Roman" w:cs="Times New Roman"/>
          <w:b/>
          <w:sz w:val="24"/>
          <w:szCs w:val="24"/>
        </w:rPr>
      </w:pPr>
      <w:r w:rsidRPr="00AB2F22">
        <w:rPr>
          <w:rFonts w:ascii="Times New Roman" w:hAnsi="Times New Roman" w:cs="Times New Roman"/>
          <w:b/>
          <w:sz w:val="24"/>
          <w:szCs w:val="24"/>
        </w:rPr>
        <w:t>Quality Assurance</w:t>
      </w:r>
    </w:p>
    <w:p w14:paraId="7F75490C" w14:textId="77777777" w:rsidR="008D35DB" w:rsidRPr="00246D9D" w:rsidRDefault="008D35DB" w:rsidP="00AB2F22">
      <w:pPr>
        <w:pStyle w:val="NoSpacing"/>
        <w:spacing w:after="120" w:line="276" w:lineRule="auto"/>
        <w:rPr>
          <w:rFonts w:ascii="Times New Roman" w:eastAsia="Garamond" w:hAnsi="Times New Roman" w:cs="Times New Roman"/>
          <w:iCs/>
          <w:sz w:val="24"/>
          <w:szCs w:val="24"/>
        </w:rPr>
      </w:pPr>
      <w:r w:rsidRPr="00246D9D">
        <w:rPr>
          <w:rFonts w:ascii="Times New Roman" w:eastAsia="Garamond" w:hAnsi="Times New Roman" w:cs="Times New Roman"/>
          <w:iCs/>
          <w:sz w:val="24"/>
          <w:szCs w:val="24"/>
        </w:rPr>
        <w:t>Mr. Stanford Abel Mwakasonda (Global Support Programme)</w:t>
      </w:r>
    </w:p>
    <w:p w14:paraId="518059F4" w14:textId="77777777" w:rsidR="008D35DB" w:rsidRPr="00AB2F22" w:rsidRDefault="008D35DB" w:rsidP="00AB2F22">
      <w:pPr>
        <w:pStyle w:val="NoSpacing"/>
        <w:spacing w:after="120" w:line="276" w:lineRule="auto"/>
        <w:rPr>
          <w:rFonts w:ascii="Times New Roman" w:hAnsi="Times New Roman" w:cs="Times New Roman"/>
          <w:b/>
          <w:sz w:val="24"/>
          <w:szCs w:val="24"/>
        </w:rPr>
      </w:pPr>
      <w:r w:rsidRPr="00AB2F22">
        <w:rPr>
          <w:rFonts w:ascii="Times New Roman" w:hAnsi="Times New Roman" w:cs="Times New Roman"/>
          <w:b/>
          <w:sz w:val="24"/>
          <w:szCs w:val="24"/>
        </w:rPr>
        <w:t xml:space="preserve">Inventory Preparation </w:t>
      </w:r>
    </w:p>
    <w:p w14:paraId="4407C493" w14:textId="6BFB9FBC" w:rsidR="008D35DB" w:rsidRPr="00AB2F22" w:rsidRDefault="008D35DB" w:rsidP="00AB2F22">
      <w:pPr>
        <w:pStyle w:val="NoSpacing"/>
        <w:spacing w:after="120" w:line="276" w:lineRule="auto"/>
        <w:ind w:left="720"/>
        <w:rPr>
          <w:rFonts w:ascii="Times New Roman" w:hAnsi="Times New Roman" w:cs="Times New Roman"/>
          <w:sz w:val="24"/>
          <w:szCs w:val="24"/>
        </w:rPr>
      </w:pPr>
      <w:r w:rsidRPr="00AB2F22">
        <w:rPr>
          <w:rFonts w:ascii="Times New Roman" w:hAnsi="Times New Roman" w:cs="Times New Roman"/>
          <w:b/>
          <w:sz w:val="24"/>
          <w:szCs w:val="24"/>
        </w:rPr>
        <w:t xml:space="preserve">Energy: </w:t>
      </w:r>
      <w:r w:rsidRPr="00520378">
        <w:rPr>
          <w:rFonts w:ascii="Times New Roman" w:hAnsi="Times New Roman" w:cs="Times New Roman"/>
          <w:iCs/>
          <w:sz w:val="24"/>
          <w:szCs w:val="24"/>
        </w:rPr>
        <w:t>Ms</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Harriet Zulu, Ms</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Beatrice Nalikena,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Kasongo Chiwama, Mr</w:t>
      </w:r>
      <w:r w:rsidR="00520378">
        <w:rPr>
          <w:rFonts w:ascii="Times New Roman" w:hAnsi="Times New Roman" w:cs="Times New Roman"/>
          <w:iCs/>
          <w:sz w:val="24"/>
          <w:szCs w:val="24"/>
        </w:rPr>
        <w:t>.</w:t>
      </w:r>
      <w:r w:rsidRPr="00520378">
        <w:rPr>
          <w:rFonts w:ascii="Times New Roman" w:hAnsi="Times New Roman" w:cs="Times New Roman"/>
          <w:b/>
          <w:iCs/>
          <w:sz w:val="24"/>
          <w:szCs w:val="24"/>
        </w:rPr>
        <w:t xml:space="preserve"> </w:t>
      </w:r>
      <w:r w:rsidRPr="00520378">
        <w:rPr>
          <w:rFonts w:ascii="Times New Roman" w:hAnsi="Times New Roman" w:cs="Times New Roman"/>
          <w:iCs/>
          <w:sz w:val="24"/>
          <w:szCs w:val="24"/>
        </w:rPr>
        <w:t>Lawrence Musalila,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Isaac Soko</w:t>
      </w:r>
    </w:p>
    <w:p w14:paraId="790D1A8F" w14:textId="1953BAED" w:rsidR="008D35DB" w:rsidRPr="00AB2F22" w:rsidRDefault="008D35DB" w:rsidP="00AB2F22">
      <w:pPr>
        <w:pStyle w:val="NoSpacing"/>
        <w:spacing w:after="120" w:line="276" w:lineRule="auto"/>
        <w:ind w:left="720"/>
        <w:rPr>
          <w:rFonts w:ascii="Times New Roman" w:hAnsi="Times New Roman" w:cs="Times New Roman"/>
          <w:sz w:val="24"/>
          <w:szCs w:val="24"/>
        </w:rPr>
      </w:pPr>
      <w:r w:rsidRPr="00AB2F22">
        <w:rPr>
          <w:rFonts w:ascii="Times New Roman" w:hAnsi="Times New Roman" w:cs="Times New Roman"/>
          <w:b/>
          <w:sz w:val="24"/>
          <w:szCs w:val="24"/>
        </w:rPr>
        <w:t xml:space="preserve">Industrial process and Product Use: </w:t>
      </w:r>
      <w:r w:rsidRPr="00520378">
        <w:rPr>
          <w:rFonts w:ascii="Times New Roman" w:hAnsi="Times New Roman" w:cs="Times New Roman"/>
          <w:iCs/>
          <w:sz w:val="24"/>
          <w:szCs w:val="24"/>
        </w:rPr>
        <w:t>Ms</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Charity Kasoma Banda,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Lwicha Chifungula,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Simasiku Nkabika,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Mwangelwa C Matonga</w:t>
      </w:r>
    </w:p>
    <w:p w14:paraId="06C0D404" w14:textId="76CD7085" w:rsidR="008D35DB" w:rsidRPr="00AB2F22" w:rsidRDefault="008D35DB" w:rsidP="00AB2F22">
      <w:pPr>
        <w:pStyle w:val="NoSpacing"/>
        <w:spacing w:after="120" w:line="276" w:lineRule="auto"/>
        <w:ind w:left="720"/>
        <w:rPr>
          <w:rFonts w:ascii="Times New Roman" w:hAnsi="Times New Roman" w:cs="Times New Roman"/>
          <w:i/>
          <w:sz w:val="24"/>
          <w:szCs w:val="24"/>
        </w:rPr>
      </w:pPr>
      <w:r w:rsidRPr="00AB2F22">
        <w:rPr>
          <w:rFonts w:ascii="Times New Roman" w:hAnsi="Times New Roman" w:cs="Times New Roman"/>
          <w:b/>
          <w:sz w:val="24"/>
          <w:szCs w:val="24"/>
        </w:rPr>
        <w:t xml:space="preserve">AFOLU: </w:t>
      </w:r>
      <w:r w:rsidRPr="00520378">
        <w:rPr>
          <w:rFonts w:ascii="Times New Roman" w:hAnsi="Times New Roman" w:cs="Times New Roman"/>
          <w:iCs/>
          <w:sz w:val="24"/>
          <w:szCs w:val="24"/>
        </w:rPr>
        <w:t>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Abel Siampale,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Vibetti Young,</w:t>
      </w:r>
      <w:r w:rsidRPr="00520378">
        <w:rPr>
          <w:rFonts w:ascii="Times New Roman" w:hAnsi="Times New Roman" w:cs="Times New Roman"/>
          <w:b/>
          <w:iCs/>
          <w:sz w:val="24"/>
          <w:szCs w:val="24"/>
        </w:rPr>
        <w:t xml:space="preserve"> </w:t>
      </w:r>
      <w:r w:rsidRPr="00520378">
        <w:rPr>
          <w:rFonts w:ascii="Times New Roman" w:hAnsi="Times New Roman" w:cs="Times New Roman"/>
          <w:iCs/>
          <w:sz w:val="24"/>
          <w:szCs w:val="24"/>
        </w:rPr>
        <w:t>Ms</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Maureen Mwale,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C. Dikoka Chingambu,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Crispin Moyo,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Joy Sinyangwe,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Mashuta Kalebi,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Mate Mutemwa;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Brian Mutasha,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Edward Ndhlovu</w:t>
      </w:r>
      <w:r w:rsidRPr="00AB2F22">
        <w:rPr>
          <w:rFonts w:ascii="Times New Roman" w:hAnsi="Times New Roman" w:cs="Times New Roman"/>
          <w:i/>
          <w:sz w:val="24"/>
          <w:szCs w:val="24"/>
        </w:rPr>
        <w:t xml:space="preserve"> </w:t>
      </w:r>
    </w:p>
    <w:p w14:paraId="2E925EDE" w14:textId="11504B0F" w:rsidR="008D35DB" w:rsidRPr="00520378" w:rsidRDefault="008D35DB" w:rsidP="00AB2F22">
      <w:pPr>
        <w:pStyle w:val="NoSpacing"/>
        <w:spacing w:after="120" w:line="276" w:lineRule="auto"/>
        <w:ind w:left="720"/>
        <w:rPr>
          <w:rFonts w:ascii="Times New Roman" w:hAnsi="Times New Roman" w:cs="Times New Roman"/>
          <w:b/>
          <w:iCs/>
          <w:sz w:val="24"/>
          <w:szCs w:val="24"/>
        </w:rPr>
      </w:pPr>
      <w:r w:rsidRPr="00AB2F22">
        <w:rPr>
          <w:rFonts w:ascii="Times New Roman" w:hAnsi="Times New Roman" w:cs="Times New Roman"/>
          <w:b/>
          <w:sz w:val="24"/>
          <w:szCs w:val="24"/>
        </w:rPr>
        <w:t xml:space="preserve">Waste: </w:t>
      </w:r>
      <w:r w:rsidRPr="00520378">
        <w:rPr>
          <w:rFonts w:ascii="Times New Roman" w:hAnsi="Times New Roman" w:cs="Times New Roman"/>
          <w:iCs/>
          <w:sz w:val="24"/>
          <w:szCs w:val="24"/>
        </w:rPr>
        <w:t>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Hartman Ngwale, Ms</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Lillian Kalenge, Ms</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Taona Kabinga, Mr</w:t>
      </w:r>
      <w:r w:rsidR="00520378">
        <w:rPr>
          <w:rFonts w:ascii="Times New Roman" w:hAnsi="Times New Roman" w:cs="Times New Roman"/>
          <w:iCs/>
          <w:sz w:val="24"/>
          <w:szCs w:val="24"/>
        </w:rPr>
        <w:t>.</w:t>
      </w:r>
      <w:r w:rsidRPr="00520378">
        <w:rPr>
          <w:rFonts w:ascii="Times New Roman" w:hAnsi="Times New Roman" w:cs="Times New Roman"/>
          <w:iCs/>
          <w:sz w:val="24"/>
          <w:szCs w:val="24"/>
        </w:rPr>
        <w:t xml:space="preserve"> Lloyd Be</w:t>
      </w:r>
      <w:r w:rsidR="00DB3DA4" w:rsidRPr="00520378">
        <w:rPr>
          <w:rFonts w:ascii="Times New Roman" w:hAnsi="Times New Roman" w:cs="Times New Roman"/>
          <w:iCs/>
          <w:sz w:val="24"/>
          <w:szCs w:val="24"/>
        </w:rPr>
        <w:t>e</w:t>
      </w:r>
      <w:r w:rsidRPr="00520378">
        <w:rPr>
          <w:rFonts w:ascii="Times New Roman" w:hAnsi="Times New Roman" w:cs="Times New Roman"/>
          <w:iCs/>
          <w:sz w:val="24"/>
          <w:szCs w:val="24"/>
        </w:rPr>
        <w:t xml:space="preserve">nsi </w:t>
      </w:r>
    </w:p>
    <w:p w14:paraId="404E3414" w14:textId="77777777" w:rsidR="008D35DB" w:rsidRPr="00AB2F22" w:rsidRDefault="008D35DB" w:rsidP="00AB2F22">
      <w:pPr>
        <w:pStyle w:val="NoSpacing"/>
        <w:spacing w:after="120" w:line="276" w:lineRule="auto"/>
        <w:ind w:left="720"/>
        <w:rPr>
          <w:rFonts w:ascii="Times New Roman" w:hAnsi="Times New Roman" w:cs="Times New Roman"/>
          <w:b/>
          <w:sz w:val="24"/>
          <w:szCs w:val="24"/>
        </w:rPr>
      </w:pPr>
    </w:p>
    <w:p w14:paraId="1330BD68" w14:textId="7F77DA49" w:rsidR="008D35DB" w:rsidRPr="00AB2F22" w:rsidRDefault="008D35DB" w:rsidP="00AB2F22">
      <w:pPr>
        <w:pStyle w:val="NoSpacing"/>
        <w:spacing w:after="120" w:line="276" w:lineRule="auto"/>
        <w:rPr>
          <w:rFonts w:ascii="Times New Roman" w:hAnsi="Times New Roman" w:cs="Times New Roman"/>
          <w:b/>
          <w:sz w:val="24"/>
          <w:szCs w:val="24"/>
        </w:rPr>
      </w:pPr>
      <w:r w:rsidRPr="00AB2F22">
        <w:rPr>
          <w:rFonts w:ascii="Times New Roman" w:hAnsi="Times New Roman" w:cs="Times New Roman"/>
          <w:b/>
          <w:sz w:val="24"/>
          <w:szCs w:val="24"/>
        </w:rPr>
        <w:t xml:space="preserve">IT Technical Support and </w:t>
      </w:r>
      <w:r w:rsidR="00520378">
        <w:rPr>
          <w:rFonts w:ascii="Times New Roman" w:hAnsi="Times New Roman" w:cs="Times New Roman"/>
          <w:b/>
          <w:sz w:val="24"/>
          <w:szCs w:val="24"/>
        </w:rPr>
        <w:t>A</w:t>
      </w:r>
      <w:r w:rsidRPr="00AB2F22">
        <w:rPr>
          <w:rFonts w:ascii="Times New Roman" w:hAnsi="Times New Roman" w:cs="Times New Roman"/>
          <w:b/>
          <w:sz w:val="24"/>
          <w:szCs w:val="24"/>
        </w:rPr>
        <w:t>rchiving</w:t>
      </w:r>
    </w:p>
    <w:p w14:paraId="4FDF05F6" w14:textId="33FE30BC" w:rsidR="008D35DB" w:rsidRPr="00520378" w:rsidRDefault="008D35DB" w:rsidP="00AB2F22">
      <w:pPr>
        <w:pStyle w:val="NoSpacing"/>
        <w:spacing w:after="120" w:line="276" w:lineRule="auto"/>
        <w:ind w:left="720"/>
        <w:rPr>
          <w:rFonts w:ascii="Times New Roman" w:hAnsi="Times New Roman" w:cs="Times New Roman"/>
          <w:iCs/>
          <w:sz w:val="24"/>
          <w:szCs w:val="24"/>
        </w:rPr>
      </w:pPr>
      <w:r w:rsidRPr="00520378">
        <w:rPr>
          <w:rFonts w:ascii="Times New Roman" w:hAnsi="Times New Roman" w:cs="Times New Roman"/>
          <w:iCs/>
          <w:sz w:val="24"/>
          <w:szCs w:val="24"/>
        </w:rPr>
        <w:t>Mr</w:t>
      </w:r>
      <w:r w:rsidR="00520378" w:rsidRPr="00520378">
        <w:rPr>
          <w:rFonts w:ascii="Times New Roman" w:hAnsi="Times New Roman" w:cs="Times New Roman"/>
          <w:iCs/>
          <w:sz w:val="24"/>
          <w:szCs w:val="24"/>
        </w:rPr>
        <w:t>.</w:t>
      </w:r>
      <w:r w:rsidRPr="00520378">
        <w:rPr>
          <w:rFonts w:ascii="Times New Roman" w:hAnsi="Times New Roman" w:cs="Times New Roman"/>
          <w:iCs/>
          <w:sz w:val="24"/>
          <w:szCs w:val="24"/>
        </w:rPr>
        <w:t xml:space="preserve"> Joel Simwinga</w:t>
      </w:r>
    </w:p>
    <w:p w14:paraId="39F49DA3" w14:textId="3C7D0924" w:rsidR="008D35DB" w:rsidRPr="00520378" w:rsidRDefault="008D35DB" w:rsidP="00AB2F22">
      <w:pPr>
        <w:pStyle w:val="NoSpacing"/>
        <w:spacing w:after="120" w:line="276" w:lineRule="auto"/>
        <w:ind w:left="720"/>
        <w:rPr>
          <w:rFonts w:ascii="Times New Roman" w:hAnsi="Times New Roman" w:cs="Times New Roman"/>
          <w:iCs/>
          <w:sz w:val="24"/>
          <w:szCs w:val="24"/>
        </w:rPr>
      </w:pPr>
      <w:r w:rsidRPr="00520378">
        <w:rPr>
          <w:rFonts w:ascii="Times New Roman" w:hAnsi="Times New Roman" w:cs="Times New Roman"/>
          <w:iCs/>
          <w:sz w:val="24"/>
          <w:szCs w:val="24"/>
        </w:rPr>
        <w:t>Mr</w:t>
      </w:r>
      <w:r w:rsidR="00520378" w:rsidRPr="00520378">
        <w:rPr>
          <w:rFonts w:ascii="Times New Roman" w:hAnsi="Times New Roman" w:cs="Times New Roman"/>
          <w:iCs/>
          <w:sz w:val="24"/>
          <w:szCs w:val="24"/>
        </w:rPr>
        <w:t>.</w:t>
      </w:r>
      <w:r w:rsidRPr="00520378">
        <w:rPr>
          <w:rFonts w:ascii="Times New Roman" w:hAnsi="Times New Roman" w:cs="Times New Roman"/>
          <w:iCs/>
          <w:sz w:val="24"/>
          <w:szCs w:val="24"/>
        </w:rPr>
        <w:t xml:space="preserve"> Alexander Museshyo</w:t>
      </w:r>
    </w:p>
    <w:p w14:paraId="3A97EC38" w14:textId="77777777" w:rsidR="008D35DB" w:rsidRPr="00191ACB" w:rsidRDefault="008D35DB" w:rsidP="00AB2F22">
      <w:pPr>
        <w:spacing w:after="120" w:line="276" w:lineRule="auto"/>
        <w:rPr>
          <w:rFonts w:ascii="Times New Roman" w:eastAsia="Times New Roman" w:hAnsi="Times New Roman" w:cs="Times New Roman"/>
          <w:b/>
          <w:color w:val="000000" w:themeColor="text1"/>
          <w:sz w:val="24"/>
          <w:szCs w:val="24"/>
          <w:lang w:val="en-GB" w:eastAsia="en-GB"/>
        </w:rPr>
      </w:pPr>
      <w:r w:rsidRPr="00191ACB">
        <w:rPr>
          <w:rFonts w:ascii="Times New Roman" w:eastAsia="Times New Roman" w:hAnsi="Times New Roman" w:cs="Times New Roman"/>
          <w:b/>
          <w:color w:val="000000" w:themeColor="text1"/>
          <w:sz w:val="24"/>
          <w:szCs w:val="24"/>
          <w:lang w:val="en-GB" w:eastAsia="en-GB"/>
        </w:rPr>
        <w:lastRenderedPageBreak/>
        <w:t>MITIGATION AND MRV</w:t>
      </w:r>
    </w:p>
    <w:p w14:paraId="714DE6B3" w14:textId="77777777" w:rsidR="008D35DB" w:rsidRPr="00191ACB" w:rsidRDefault="008D35DB" w:rsidP="00AB2F22">
      <w:pPr>
        <w:spacing w:after="120" w:line="276" w:lineRule="auto"/>
        <w:rPr>
          <w:rFonts w:ascii="Times New Roman" w:eastAsia="Times New Roman" w:hAnsi="Times New Roman" w:cs="Times New Roman"/>
          <w:b/>
          <w:color w:val="000000" w:themeColor="text1"/>
          <w:sz w:val="24"/>
          <w:szCs w:val="24"/>
          <w:lang w:val="en-GB" w:eastAsia="en-GB"/>
        </w:rPr>
      </w:pPr>
      <w:r w:rsidRPr="00191ACB">
        <w:rPr>
          <w:rFonts w:ascii="Times New Roman" w:eastAsia="Times New Roman" w:hAnsi="Times New Roman" w:cs="Times New Roman"/>
          <w:b/>
          <w:color w:val="000000" w:themeColor="text1"/>
          <w:sz w:val="24"/>
          <w:szCs w:val="24"/>
          <w:lang w:val="en-GB" w:eastAsia="en-GB"/>
        </w:rPr>
        <w:t>Authors</w:t>
      </w:r>
    </w:p>
    <w:p w14:paraId="5498505F" w14:textId="40B8F73F" w:rsidR="008D35DB" w:rsidRPr="00191ACB" w:rsidRDefault="008D35DB" w:rsidP="00AB2F22">
      <w:pPr>
        <w:spacing w:after="120" w:line="276" w:lineRule="auto"/>
        <w:rPr>
          <w:rFonts w:ascii="Times New Roman" w:eastAsia="Times New Roman" w:hAnsi="Times New Roman" w:cs="Times New Roman"/>
          <w:i/>
          <w:color w:val="000000" w:themeColor="text1"/>
          <w:sz w:val="24"/>
          <w:szCs w:val="24"/>
          <w:lang w:val="en-GB" w:eastAsia="en-GB"/>
        </w:rPr>
      </w:pPr>
      <w:r w:rsidRPr="00191ACB">
        <w:rPr>
          <w:rFonts w:ascii="Times New Roman" w:eastAsia="Times New Roman" w:hAnsi="Times New Roman" w:cs="Times New Roman"/>
          <w:b/>
          <w:color w:val="000000" w:themeColor="text1"/>
          <w:sz w:val="24"/>
          <w:szCs w:val="24"/>
          <w:lang w:val="en-GB" w:eastAsia="en-GB"/>
        </w:rPr>
        <w:t>Lead Authors</w:t>
      </w:r>
      <w:r w:rsidRPr="00191ACB">
        <w:rPr>
          <w:rFonts w:ascii="Times New Roman" w:eastAsia="Times New Roman" w:hAnsi="Times New Roman" w:cs="Times New Roman"/>
          <w:color w:val="000000" w:themeColor="text1"/>
          <w:sz w:val="24"/>
          <w:szCs w:val="24"/>
          <w:lang w:val="en-GB" w:eastAsia="en-GB"/>
        </w:rPr>
        <w:t xml:space="preserve">: </w:t>
      </w:r>
      <w:r w:rsidR="000C7500" w:rsidRPr="00520378">
        <w:rPr>
          <w:rFonts w:ascii="Times New Roman" w:eastAsia="Times New Roman" w:hAnsi="Times New Roman" w:cs="Times New Roman"/>
          <w:iCs/>
          <w:color w:val="000000" w:themeColor="text1"/>
          <w:sz w:val="24"/>
          <w:szCs w:val="24"/>
          <w:lang w:val="en-GB" w:eastAsia="en-GB"/>
        </w:rPr>
        <w:t xml:space="preserve">Snow </w:t>
      </w:r>
      <w:r w:rsidR="005F315B" w:rsidRPr="00520378">
        <w:rPr>
          <w:rFonts w:ascii="Times New Roman" w:eastAsia="Times New Roman" w:hAnsi="Times New Roman" w:cs="Times New Roman"/>
          <w:iCs/>
          <w:color w:val="000000" w:themeColor="text1"/>
          <w:sz w:val="24"/>
          <w:szCs w:val="24"/>
          <w:lang w:val="en-GB" w:eastAsia="en-GB"/>
        </w:rPr>
        <w:t>S</w:t>
      </w:r>
      <w:r w:rsidR="000C7500" w:rsidRPr="00520378">
        <w:rPr>
          <w:rFonts w:ascii="Times New Roman" w:eastAsia="Times New Roman" w:hAnsi="Times New Roman" w:cs="Times New Roman"/>
          <w:iCs/>
          <w:color w:val="000000" w:themeColor="text1"/>
          <w:sz w:val="24"/>
          <w:szCs w:val="24"/>
          <w:lang w:val="en-GB" w:eastAsia="en-GB"/>
        </w:rPr>
        <w:t>ystems Zambia Limited</w:t>
      </w:r>
      <w:r w:rsidR="001F0924" w:rsidRPr="00191ACB">
        <w:rPr>
          <w:rFonts w:ascii="Times New Roman" w:eastAsia="Times New Roman" w:hAnsi="Times New Roman" w:cs="Times New Roman"/>
          <w:i/>
          <w:color w:val="000000" w:themeColor="text1"/>
          <w:sz w:val="24"/>
          <w:szCs w:val="24"/>
          <w:lang w:val="en-GB" w:eastAsia="en-GB"/>
        </w:rPr>
        <w:t xml:space="preserve"> </w:t>
      </w:r>
      <w:r w:rsidRPr="00191ACB">
        <w:rPr>
          <w:rFonts w:ascii="Times New Roman" w:eastAsia="Times New Roman" w:hAnsi="Times New Roman" w:cs="Times New Roman"/>
          <w:i/>
          <w:color w:val="000000" w:themeColor="text1"/>
          <w:sz w:val="24"/>
          <w:szCs w:val="24"/>
          <w:lang w:val="en-GB" w:eastAsia="en-GB"/>
        </w:rPr>
        <w:t xml:space="preserve"> </w:t>
      </w:r>
    </w:p>
    <w:p w14:paraId="7250235A" w14:textId="2AEC9F03" w:rsidR="008D35DB" w:rsidRPr="00191ACB" w:rsidRDefault="008D35DB" w:rsidP="00AB2F22">
      <w:pPr>
        <w:spacing w:after="120" w:line="276" w:lineRule="auto"/>
        <w:rPr>
          <w:rFonts w:ascii="Times New Roman" w:eastAsia="Times New Roman" w:hAnsi="Times New Roman" w:cs="Times New Roman"/>
          <w:color w:val="000000" w:themeColor="text1"/>
          <w:sz w:val="24"/>
          <w:szCs w:val="24"/>
          <w:lang w:val="en-GB" w:eastAsia="en-GB"/>
        </w:rPr>
      </w:pPr>
      <w:r w:rsidRPr="00191ACB">
        <w:rPr>
          <w:rFonts w:ascii="Times New Roman" w:eastAsia="Times New Roman" w:hAnsi="Times New Roman" w:cs="Times New Roman"/>
          <w:b/>
          <w:color w:val="000000" w:themeColor="text1"/>
          <w:sz w:val="24"/>
          <w:szCs w:val="24"/>
          <w:lang w:val="en-GB" w:eastAsia="en-GB"/>
        </w:rPr>
        <w:t>Contributing authors:</w:t>
      </w:r>
      <w:r w:rsidRPr="00191ACB">
        <w:rPr>
          <w:rFonts w:ascii="Times New Roman" w:eastAsia="Times New Roman" w:hAnsi="Times New Roman" w:cs="Times New Roman"/>
          <w:color w:val="000000" w:themeColor="text1"/>
          <w:sz w:val="24"/>
          <w:szCs w:val="24"/>
          <w:lang w:val="en-GB" w:eastAsia="en-GB"/>
        </w:rPr>
        <w:t xml:space="preserve"> </w:t>
      </w:r>
      <w:r w:rsidRPr="00520378">
        <w:rPr>
          <w:rFonts w:ascii="Times New Roman" w:eastAsia="Times New Roman" w:hAnsi="Times New Roman" w:cs="Times New Roman"/>
          <w:iCs/>
          <w:color w:val="000000" w:themeColor="text1"/>
          <w:sz w:val="24"/>
          <w:szCs w:val="24"/>
          <w:lang w:val="en-GB" w:eastAsia="en-GB"/>
        </w:rPr>
        <w:t>Mr</w:t>
      </w:r>
      <w:r w:rsidR="00520378">
        <w:rPr>
          <w:rFonts w:ascii="Times New Roman" w:eastAsia="Times New Roman" w:hAnsi="Times New Roman" w:cs="Times New Roman"/>
          <w:iCs/>
          <w:color w:val="000000" w:themeColor="text1"/>
          <w:sz w:val="24"/>
          <w:szCs w:val="24"/>
          <w:lang w:val="en-GB" w:eastAsia="en-GB"/>
        </w:rPr>
        <w:t>.</w:t>
      </w:r>
      <w:r w:rsidRPr="00520378">
        <w:rPr>
          <w:rFonts w:ascii="Times New Roman" w:eastAsia="Times New Roman" w:hAnsi="Times New Roman" w:cs="Times New Roman"/>
          <w:iCs/>
          <w:color w:val="000000" w:themeColor="text1"/>
          <w:sz w:val="24"/>
          <w:szCs w:val="24"/>
          <w:lang w:val="en-GB" w:eastAsia="en-GB"/>
        </w:rPr>
        <w:t xml:space="preserve"> Charles Mulenga, Ms</w:t>
      </w:r>
      <w:r w:rsidR="00520378">
        <w:rPr>
          <w:rFonts w:ascii="Times New Roman" w:eastAsia="Times New Roman" w:hAnsi="Times New Roman" w:cs="Times New Roman"/>
          <w:iCs/>
          <w:color w:val="000000" w:themeColor="text1"/>
          <w:sz w:val="24"/>
          <w:szCs w:val="24"/>
          <w:lang w:val="en-GB" w:eastAsia="en-GB"/>
        </w:rPr>
        <w:t>.</w:t>
      </w:r>
      <w:r w:rsidRPr="00520378">
        <w:rPr>
          <w:rFonts w:ascii="Times New Roman" w:eastAsia="Times New Roman" w:hAnsi="Times New Roman" w:cs="Times New Roman"/>
          <w:iCs/>
          <w:color w:val="000000" w:themeColor="text1"/>
          <w:sz w:val="24"/>
          <w:szCs w:val="24"/>
          <w:lang w:val="en-GB" w:eastAsia="en-GB"/>
        </w:rPr>
        <w:t xml:space="preserve"> Margaret M. Kasali</w:t>
      </w:r>
    </w:p>
    <w:p w14:paraId="0769218B" w14:textId="77777777" w:rsidR="008D35DB" w:rsidRPr="00191ACB" w:rsidRDefault="008D35DB" w:rsidP="00AB2F22">
      <w:pPr>
        <w:spacing w:after="120" w:line="276" w:lineRule="auto"/>
        <w:rPr>
          <w:rFonts w:ascii="Times New Roman" w:eastAsia="Times New Roman" w:hAnsi="Times New Roman" w:cs="Times New Roman"/>
          <w:b/>
          <w:color w:val="000000" w:themeColor="text1"/>
          <w:sz w:val="24"/>
          <w:szCs w:val="24"/>
          <w:lang w:val="en-GB" w:eastAsia="en-GB"/>
        </w:rPr>
      </w:pPr>
    </w:p>
    <w:p w14:paraId="6738900F" w14:textId="77777777" w:rsidR="008D35DB" w:rsidRPr="00191ACB" w:rsidRDefault="008D35DB" w:rsidP="00AB2F22">
      <w:pPr>
        <w:spacing w:after="120" w:line="276" w:lineRule="auto"/>
        <w:rPr>
          <w:rFonts w:ascii="Times New Roman" w:eastAsia="Times New Roman" w:hAnsi="Times New Roman" w:cs="Times New Roman"/>
          <w:b/>
          <w:color w:val="000000" w:themeColor="text1"/>
          <w:sz w:val="24"/>
          <w:szCs w:val="24"/>
          <w:lang w:val="en-GB" w:eastAsia="en-GB"/>
        </w:rPr>
      </w:pPr>
      <w:r w:rsidRPr="00191ACB">
        <w:rPr>
          <w:rFonts w:ascii="Times New Roman" w:eastAsia="Times New Roman" w:hAnsi="Times New Roman" w:cs="Times New Roman"/>
          <w:b/>
          <w:color w:val="000000" w:themeColor="text1"/>
          <w:sz w:val="24"/>
          <w:szCs w:val="24"/>
          <w:lang w:val="en-GB" w:eastAsia="en-GB"/>
        </w:rPr>
        <w:t>Reviewers-Technical Working Group Members</w:t>
      </w:r>
    </w:p>
    <w:p w14:paraId="7FFB82FC" w14:textId="4F9E04C3" w:rsidR="008D35DB" w:rsidRPr="00520378" w:rsidRDefault="008D35DB" w:rsidP="00AB2F22">
      <w:pPr>
        <w:spacing w:after="120" w:line="276" w:lineRule="auto"/>
        <w:rPr>
          <w:rFonts w:ascii="Times New Roman" w:eastAsia="Calibri" w:hAnsi="Times New Roman" w:cs="Times New Roman"/>
          <w:iCs/>
          <w:color w:val="000000" w:themeColor="text1"/>
          <w:sz w:val="24"/>
          <w:szCs w:val="24"/>
        </w:rPr>
      </w:pPr>
      <w:r w:rsidRPr="00520378">
        <w:rPr>
          <w:rFonts w:ascii="Times New Roman" w:eastAsia="Times New Roman" w:hAnsi="Times New Roman" w:cs="Times New Roman"/>
          <w:iCs/>
          <w:color w:val="000000" w:themeColor="text1"/>
          <w:sz w:val="24"/>
          <w:szCs w:val="24"/>
          <w:lang w:val="en-GB" w:eastAsia="en-GB"/>
        </w:rPr>
        <w:t>Dr</w:t>
      </w:r>
      <w:r w:rsidR="00520378">
        <w:rPr>
          <w:rFonts w:ascii="Times New Roman" w:eastAsia="Times New Roman" w:hAnsi="Times New Roman" w:cs="Times New Roman"/>
          <w:iCs/>
          <w:color w:val="000000" w:themeColor="text1"/>
          <w:sz w:val="24"/>
          <w:szCs w:val="24"/>
          <w:lang w:val="en-GB" w:eastAsia="en-GB"/>
        </w:rPr>
        <w:t>.</w:t>
      </w:r>
      <w:r w:rsidRPr="00520378">
        <w:rPr>
          <w:rFonts w:ascii="Times New Roman" w:eastAsia="Times New Roman" w:hAnsi="Times New Roman" w:cs="Times New Roman"/>
          <w:iCs/>
          <w:color w:val="000000" w:themeColor="text1"/>
          <w:sz w:val="24"/>
          <w:szCs w:val="24"/>
          <w:lang w:val="en-GB" w:eastAsia="en-GB"/>
        </w:rPr>
        <w:t xml:space="preserve"> Charity Nalweya Mundia, Mr. Richard M. Lungu, Mr. Kasongo Chiwama, Mr. Hartman Ngwale, Ms. Taona Kabinga, Mr. Joel Simwinga, Mr. Alexander </w:t>
      </w:r>
      <w:r w:rsidR="000C7500" w:rsidRPr="00520378">
        <w:rPr>
          <w:rFonts w:ascii="Times New Roman" w:eastAsia="Times New Roman" w:hAnsi="Times New Roman" w:cs="Times New Roman"/>
          <w:iCs/>
          <w:color w:val="000000" w:themeColor="text1"/>
          <w:sz w:val="24"/>
          <w:szCs w:val="24"/>
          <w:lang w:val="en-GB" w:eastAsia="en-GB"/>
        </w:rPr>
        <w:t xml:space="preserve">Museshyo, Mr. Michael Anel Phiri, </w:t>
      </w:r>
      <w:r w:rsidRPr="00520378">
        <w:rPr>
          <w:rFonts w:ascii="Times New Roman" w:eastAsia="Times New Roman" w:hAnsi="Times New Roman" w:cs="Times New Roman"/>
          <w:iCs/>
          <w:color w:val="000000" w:themeColor="text1"/>
          <w:sz w:val="24"/>
          <w:szCs w:val="24"/>
          <w:lang w:val="en-GB" w:eastAsia="en-GB"/>
        </w:rPr>
        <w:t>Ms. Brenda Nakamba, Mr. Lyson Phiri, Dr</w:t>
      </w:r>
      <w:r w:rsidR="00520378">
        <w:rPr>
          <w:rFonts w:ascii="Times New Roman" w:eastAsia="Times New Roman" w:hAnsi="Times New Roman" w:cs="Times New Roman"/>
          <w:iCs/>
          <w:color w:val="000000" w:themeColor="text1"/>
          <w:sz w:val="24"/>
          <w:szCs w:val="24"/>
          <w:lang w:val="en-GB" w:eastAsia="en-GB"/>
        </w:rPr>
        <w:t>.</w:t>
      </w:r>
      <w:r w:rsidRPr="00520378">
        <w:rPr>
          <w:rFonts w:ascii="Times New Roman" w:eastAsia="Times New Roman" w:hAnsi="Times New Roman" w:cs="Times New Roman"/>
          <w:iCs/>
          <w:color w:val="000000" w:themeColor="text1"/>
          <w:sz w:val="24"/>
          <w:szCs w:val="24"/>
          <w:lang w:val="en-GB" w:eastAsia="en-GB"/>
        </w:rPr>
        <w:t xml:space="preserve"> Elenestina M Mwelwa, Mr. Abel M. Siampale, Mr. Mike Mulonda, Mr. Kasongo Chiwama, Mr. Young Vibetti, Mr</w:t>
      </w:r>
      <w:r w:rsidR="00520378">
        <w:rPr>
          <w:rFonts w:ascii="Times New Roman" w:eastAsia="Times New Roman" w:hAnsi="Times New Roman" w:cs="Times New Roman"/>
          <w:iCs/>
          <w:color w:val="000000" w:themeColor="text1"/>
          <w:sz w:val="24"/>
          <w:szCs w:val="24"/>
          <w:lang w:val="en-GB" w:eastAsia="en-GB"/>
        </w:rPr>
        <w:t>.</w:t>
      </w:r>
      <w:r w:rsidRPr="00520378">
        <w:rPr>
          <w:rFonts w:ascii="Times New Roman" w:eastAsia="Times New Roman" w:hAnsi="Times New Roman" w:cs="Times New Roman"/>
          <w:iCs/>
          <w:color w:val="000000" w:themeColor="text1"/>
          <w:sz w:val="24"/>
          <w:szCs w:val="24"/>
          <w:lang w:val="en-GB" w:eastAsia="en-GB"/>
        </w:rPr>
        <w:t xml:space="preserve"> Laurian Haangala, Ms. Taona Kabinga, M</w:t>
      </w:r>
      <w:r w:rsidR="00520378">
        <w:rPr>
          <w:rFonts w:ascii="Times New Roman" w:eastAsia="Times New Roman" w:hAnsi="Times New Roman" w:cs="Times New Roman"/>
          <w:iCs/>
          <w:color w:val="000000" w:themeColor="text1"/>
          <w:sz w:val="24"/>
          <w:szCs w:val="24"/>
          <w:lang w:val="en-GB" w:eastAsia="en-GB"/>
        </w:rPr>
        <w:t>s. Mwape Kasapato</w:t>
      </w:r>
      <w:r w:rsidRPr="00520378">
        <w:rPr>
          <w:rFonts w:ascii="Times New Roman" w:eastAsia="Times New Roman" w:hAnsi="Times New Roman" w:cs="Times New Roman"/>
          <w:iCs/>
          <w:color w:val="000000" w:themeColor="text1"/>
          <w:sz w:val="24"/>
          <w:szCs w:val="24"/>
          <w:lang w:val="en-GB" w:eastAsia="en-GB"/>
        </w:rPr>
        <w:t>, Mr. Beausic Chongo</w:t>
      </w:r>
      <w:r w:rsidR="00520378">
        <w:rPr>
          <w:rFonts w:ascii="Times New Roman" w:eastAsia="Times New Roman" w:hAnsi="Times New Roman" w:cs="Times New Roman"/>
          <w:iCs/>
          <w:color w:val="000000" w:themeColor="text1"/>
          <w:sz w:val="24"/>
          <w:szCs w:val="24"/>
          <w:lang w:val="en-GB" w:eastAsia="en-GB"/>
        </w:rPr>
        <w:t xml:space="preserve"> </w:t>
      </w:r>
    </w:p>
    <w:p w14:paraId="627F502E" w14:textId="77777777" w:rsidR="00DB3DA4" w:rsidRPr="00191ACB" w:rsidRDefault="00DB3DA4" w:rsidP="00AB2F22">
      <w:pPr>
        <w:spacing w:line="276" w:lineRule="auto"/>
        <w:rPr>
          <w:rFonts w:ascii="Times New Roman" w:eastAsia="Times New Roman" w:hAnsi="Times New Roman" w:cs="Times New Roman"/>
          <w:b/>
          <w:color w:val="000000" w:themeColor="text1"/>
          <w:sz w:val="24"/>
          <w:szCs w:val="24"/>
          <w:lang w:eastAsia="x-none"/>
        </w:rPr>
      </w:pPr>
    </w:p>
    <w:p w14:paraId="3EB3CB7C" w14:textId="77777777" w:rsidR="00DB3DA4" w:rsidRPr="00191ACB" w:rsidRDefault="00DB3DA4" w:rsidP="00AB2F22">
      <w:pPr>
        <w:spacing w:line="276" w:lineRule="auto"/>
        <w:rPr>
          <w:rFonts w:ascii="Times New Roman" w:eastAsia="Times New Roman" w:hAnsi="Times New Roman" w:cs="Times New Roman"/>
          <w:b/>
          <w:color w:val="000000" w:themeColor="text1"/>
          <w:sz w:val="24"/>
          <w:szCs w:val="24"/>
          <w:lang w:eastAsia="x-none"/>
        </w:rPr>
      </w:pPr>
      <w:r w:rsidRPr="00191ACB">
        <w:rPr>
          <w:rFonts w:ascii="Times New Roman" w:eastAsia="Times New Roman" w:hAnsi="Times New Roman" w:cs="Times New Roman"/>
          <w:b/>
          <w:color w:val="000000" w:themeColor="text1"/>
          <w:sz w:val="24"/>
          <w:szCs w:val="24"/>
          <w:lang w:eastAsia="x-none"/>
        </w:rPr>
        <w:t>Editorial Team</w:t>
      </w:r>
    </w:p>
    <w:p w14:paraId="1BBA9C4F" w14:textId="33DF8838" w:rsidR="00C32AEC" w:rsidRDefault="00DB3DA4" w:rsidP="00AB2F22">
      <w:pPr>
        <w:spacing w:line="276" w:lineRule="auto"/>
        <w:rPr>
          <w:rFonts w:ascii="Times New Roman" w:eastAsia="Times New Roman" w:hAnsi="Times New Roman" w:cs="Times New Roman"/>
          <w:bCs/>
          <w:color w:val="000000" w:themeColor="text1"/>
          <w:sz w:val="24"/>
          <w:szCs w:val="24"/>
          <w:lang w:eastAsia="x-none"/>
        </w:rPr>
      </w:pPr>
      <w:r w:rsidRPr="00520378">
        <w:rPr>
          <w:rFonts w:ascii="Times New Roman" w:eastAsia="Times New Roman" w:hAnsi="Times New Roman" w:cs="Times New Roman"/>
          <w:bCs/>
          <w:color w:val="000000" w:themeColor="text1"/>
          <w:sz w:val="24"/>
          <w:szCs w:val="24"/>
          <w:lang w:eastAsia="x-none"/>
        </w:rPr>
        <w:t xml:space="preserve">Mr. Michael Annel Phiri, Mr. Richard Lungu, Mr. Aurelius Nkonde, </w:t>
      </w:r>
      <w:r w:rsidR="005F315B" w:rsidRPr="00520378">
        <w:rPr>
          <w:rFonts w:ascii="Times New Roman" w:eastAsia="Times New Roman" w:hAnsi="Times New Roman" w:cs="Times New Roman"/>
          <w:bCs/>
          <w:color w:val="000000" w:themeColor="text1"/>
          <w:sz w:val="24"/>
          <w:szCs w:val="24"/>
          <w:lang w:eastAsia="x-none"/>
        </w:rPr>
        <w:t xml:space="preserve">Mr. Gift Sikaundi, </w:t>
      </w:r>
      <w:r w:rsidRPr="00520378">
        <w:rPr>
          <w:rFonts w:ascii="Times New Roman" w:eastAsia="Times New Roman" w:hAnsi="Times New Roman" w:cs="Times New Roman"/>
          <w:bCs/>
          <w:color w:val="000000" w:themeColor="text1"/>
          <w:sz w:val="24"/>
          <w:szCs w:val="24"/>
          <w:lang w:eastAsia="x-none"/>
        </w:rPr>
        <w:t>Ms. Mwiche Kabwe, Mrs. Carol M. Zulu, Dr. Charity Nalweya, Mr. Rodwell Chandipo, Ms. Taona Kabinga</w:t>
      </w:r>
      <w:r w:rsidR="005F315B" w:rsidRPr="00520378">
        <w:rPr>
          <w:rFonts w:ascii="Times New Roman" w:eastAsia="Times New Roman" w:hAnsi="Times New Roman" w:cs="Times New Roman"/>
          <w:bCs/>
          <w:color w:val="000000" w:themeColor="text1"/>
          <w:sz w:val="24"/>
          <w:szCs w:val="24"/>
          <w:lang w:eastAsia="x-none"/>
        </w:rPr>
        <w:t>, Mr. Friday Phiri</w:t>
      </w:r>
    </w:p>
    <w:p w14:paraId="2179A06A" w14:textId="77777777" w:rsidR="002A3DA9" w:rsidRDefault="002A3DA9" w:rsidP="00AB2F22">
      <w:pPr>
        <w:spacing w:line="276" w:lineRule="auto"/>
        <w:rPr>
          <w:rFonts w:ascii="Times New Roman" w:eastAsia="Times New Roman" w:hAnsi="Times New Roman" w:cs="Times New Roman"/>
          <w:bCs/>
          <w:color w:val="000000" w:themeColor="text1"/>
          <w:sz w:val="24"/>
          <w:szCs w:val="24"/>
          <w:lang w:eastAsia="x-none"/>
        </w:rPr>
      </w:pPr>
    </w:p>
    <w:p w14:paraId="37CBF4C1" w14:textId="77777777" w:rsidR="00C32AEC" w:rsidRDefault="00C32AEC" w:rsidP="00AB2F22">
      <w:pPr>
        <w:spacing w:line="276" w:lineRule="auto"/>
        <w:rPr>
          <w:rFonts w:ascii="Times New Roman" w:eastAsia="Times New Roman" w:hAnsi="Times New Roman" w:cs="Times New Roman"/>
          <w:b/>
          <w:color w:val="000000" w:themeColor="text1"/>
          <w:sz w:val="24"/>
          <w:szCs w:val="24"/>
          <w:lang w:eastAsia="x-none"/>
        </w:rPr>
      </w:pPr>
      <w:r>
        <w:rPr>
          <w:rFonts w:ascii="Times New Roman" w:eastAsia="Times New Roman" w:hAnsi="Times New Roman" w:cs="Times New Roman"/>
          <w:b/>
          <w:color w:val="000000" w:themeColor="text1"/>
          <w:sz w:val="24"/>
          <w:szCs w:val="24"/>
          <w:lang w:eastAsia="x-none"/>
        </w:rPr>
        <w:t>Oversight</w:t>
      </w:r>
    </w:p>
    <w:p w14:paraId="1C1EAEA9" w14:textId="431E8A54" w:rsidR="008D35DB" w:rsidRPr="00520378" w:rsidRDefault="00C32AEC" w:rsidP="00AB2F22">
      <w:pPr>
        <w:spacing w:line="276" w:lineRule="auto"/>
        <w:rPr>
          <w:rFonts w:ascii="Times New Roman" w:eastAsia="Times New Roman" w:hAnsi="Times New Roman" w:cs="Times New Roman"/>
          <w:b/>
          <w:color w:val="000000" w:themeColor="text1"/>
          <w:sz w:val="24"/>
          <w:szCs w:val="24"/>
          <w:lang w:eastAsia="x-none"/>
        </w:rPr>
      </w:pPr>
      <w:r>
        <w:rPr>
          <w:rFonts w:ascii="Times New Roman" w:eastAsia="Times New Roman" w:hAnsi="Times New Roman" w:cs="Times New Roman"/>
          <w:color w:val="000000" w:themeColor="text1"/>
          <w:sz w:val="24"/>
          <w:szCs w:val="24"/>
          <w:lang w:eastAsia="x-none"/>
        </w:rPr>
        <w:t>Mr. Ephraim Mwepya Shitima, Zambia National Focal Point for the UNFCCC.</w:t>
      </w:r>
      <w:r w:rsidR="008D35DB" w:rsidRPr="00520378">
        <w:rPr>
          <w:rFonts w:ascii="Times New Roman" w:eastAsia="Times New Roman" w:hAnsi="Times New Roman" w:cs="Times New Roman"/>
          <w:b/>
          <w:color w:val="000000" w:themeColor="text1"/>
          <w:sz w:val="24"/>
          <w:szCs w:val="24"/>
          <w:lang w:eastAsia="x-none"/>
        </w:rPr>
        <w:br w:type="page"/>
      </w:r>
    </w:p>
    <w:p w14:paraId="61165AB3" w14:textId="7B73CFA7" w:rsidR="003F30AA" w:rsidRPr="00191ACB" w:rsidRDefault="00732EC3" w:rsidP="000C7500">
      <w:pPr>
        <w:pStyle w:val="Heading1"/>
        <w:rPr>
          <w:rFonts w:ascii="Times New Roman" w:eastAsia="Times New Roman" w:hAnsi="Times New Roman" w:cs="Times New Roman"/>
          <w:b/>
          <w:bCs/>
          <w:color w:val="auto"/>
          <w:sz w:val="24"/>
          <w:szCs w:val="24"/>
        </w:rPr>
      </w:pPr>
      <w:bookmarkStart w:id="0" w:name="_Toc57902784"/>
      <w:r w:rsidRPr="00191ACB">
        <w:rPr>
          <w:rFonts w:ascii="Times New Roman" w:eastAsia="Times New Roman" w:hAnsi="Times New Roman" w:cs="Times New Roman"/>
          <w:b/>
          <w:bCs/>
          <w:color w:val="auto"/>
          <w:sz w:val="24"/>
          <w:szCs w:val="24"/>
        </w:rPr>
        <w:lastRenderedPageBreak/>
        <w:t>FOREWORD</w:t>
      </w:r>
      <w:bookmarkEnd w:id="0"/>
    </w:p>
    <w:p w14:paraId="20E516A1" w14:textId="66F1A291" w:rsidR="000C7500" w:rsidRPr="00191ACB" w:rsidRDefault="000C7500" w:rsidP="000C7500">
      <w:pPr>
        <w:rPr>
          <w:rFonts w:ascii="Times New Roman" w:hAnsi="Times New Roman" w:cs="Times New Roman"/>
          <w:sz w:val="24"/>
          <w:szCs w:val="24"/>
        </w:rPr>
      </w:pPr>
    </w:p>
    <w:p w14:paraId="68E1A375" w14:textId="03024963" w:rsidR="003F30AA" w:rsidRPr="00191ACB" w:rsidRDefault="00B703F5" w:rsidP="00AB2F22">
      <w:p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hAnsi="Times New Roman" w:cs="Times New Roman"/>
          <w:noProof/>
          <w:sz w:val="24"/>
          <w:szCs w:val="24"/>
          <w:lang w:val="en-GB" w:eastAsia="en-GB"/>
        </w:rPr>
        <w:drawing>
          <wp:anchor distT="0" distB="0" distL="114300" distR="114300" simplePos="0" relativeHeight="251671040" behindDoc="0" locked="0" layoutInCell="1" allowOverlap="1" wp14:anchorId="048C8FF9" wp14:editId="3B44486D">
            <wp:simplePos x="0" y="0"/>
            <wp:positionH relativeFrom="margin">
              <wp:posOffset>-49098</wp:posOffset>
            </wp:positionH>
            <wp:positionV relativeFrom="margin">
              <wp:posOffset>630911</wp:posOffset>
            </wp:positionV>
            <wp:extent cx="2345055" cy="1553210"/>
            <wp:effectExtent l="171450" t="171450" r="188595" b="19939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45055" cy="155321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00745EE3" w:rsidRPr="00191ACB">
        <w:rPr>
          <w:rFonts w:ascii="Times New Roman" w:eastAsia="Calibri" w:hAnsi="Times New Roman" w:cs="Times New Roman"/>
          <w:color w:val="000000" w:themeColor="text1"/>
          <w:sz w:val="24"/>
          <w:szCs w:val="24"/>
        </w:rPr>
        <w:t xml:space="preserve">The Government of the Republic of Zambia is pleased to </w:t>
      </w:r>
      <w:r w:rsidR="00BE7199">
        <w:rPr>
          <w:rFonts w:ascii="Times New Roman" w:eastAsia="Calibri" w:hAnsi="Times New Roman" w:cs="Times New Roman"/>
          <w:color w:val="000000" w:themeColor="text1"/>
          <w:sz w:val="24"/>
          <w:szCs w:val="24"/>
        </w:rPr>
        <w:t xml:space="preserve">submit </w:t>
      </w:r>
      <w:r w:rsidR="00745EE3" w:rsidRPr="00191ACB">
        <w:rPr>
          <w:rFonts w:ascii="Times New Roman" w:eastAsia="Calibri" w:hAnsi="Times New Roman" w:cs="Times New Roman"/>
          <w:color w:val="000000" w:themeColor="text1"/>
          <w:sz w:val="24"/>
          <w:szCs w:val="24"/>
        </w:rPr>
        <w:t>its first Biennial Update Report (BUR) as part of its</w:t>
      </w:r>
      <w:r w:rsidR="00745EE3">
        <w:rPr>
          <w:rFonts w:ascii="Times New Roman" w:eastAsia="Calibri" w:hAnsi="Times New Roman" w:cs="Times New Roman"/>
          <w:color w:val="000000" w:themeColor="text1"/>
          <w:sz w:val="24"/>
          <w:szCs w:val="24"/>
        </w:rPr>
        <w:t xml:space="preserve"> reporting</w:t>
      </w:r>
      <w:r w:rsidR="00745EE3" w:rsidRPr="00191ACB">
        <w:rPr>
          <w:rFonts w:ascii="Times New Roman" w:eastAsia="Calibri" w:hAnsi="Times New Roman" w:cs="Times New Roman"/>
          <w:color w:val="000000" w:themeColor="text1"/>
          <w:sz w:val="24"/>
          <w:szCs w:val="24"/>
        </w:rPr>
        <w:t xml:space="preserve"> obligation to </w:t>
      </w:r>
      <w:r w:rsidR="00745EE3" w:rsidRPr="00191ACB">
        <w:rPr>
          <w:rFonts w:ascii="Times New Roman" w:eastAsia="Calibri" w:hAnsi="Times New Roman" w:cs="Times New Roman"/>
          <w:color w:val="000000" w:themeColor="text1"/>
          <w:sz w:val="24"/>
          <w:szCs w:val="24"/>
          <w:lang w:val="en-GB"/>
        </w:rPr>
        <w:t>United Nations Framework Convention on Climate Change (UNFCCC)</w:t>
      </w:r>
      <w:r w:rsidR="00745EE3">
        <w:rPr>
          <w:rFonts w:ascii="Times New Roman" w:eastAsia="Calibri" w:hAnsi="Times New Roman" w:cs="Times New Roman"/>
          <w:color w:val="000000" w:themeColor="text1"/>
          <w:sz w:val="24"/>
          <w:szCs w:val="24"/>
          <w:lang w:val="en-GB"/>
        </w:rPr>
        <w:t xml:space="preserve">. </w:t>
      </w:r>
      <w:r w:rsidR="00745EE3" w:rsidRPr="00191ACB">
        <w:rPr>
          <w:rFonts w:ascii="Times New Roman" w:eastAsia="Calibri" w:hAnsi="Times New Roman" w:cs="Times New Roman"/>
          <w:color w:val="000000" w:themeColor="text1"/>
          <w:sz w:val="24"/>
          <w:szCs w:val="24"/>
          <w:lang w:val="en-GB"/>
        </w:rPr>
        <w:t>The BUR communicate</w:t>
      </w:r>
      <w:r w:rsidR="00BE7199">
        <w:rPr>
          <w:rFonts w:ascii="Times New Roman" w:eastAsia="Calibri" w:hAnsi="Times New Roman" w:cs="Times New Roman"/>
          <w:color w:val="000000" w:themeColor="text1"/>
          <w:sz w:val="24"/>
          <w:szCs w:val="24"/>
          <w:lang w:val="en-GB"/>
        </w:rPr>
        <w:t xml:space="preserve">s </w:t>
      </w:r>
      <w:r w:rsidR="00745EE3" w:rsidRPr="00191ACB">
        <w:rPr>
          <w:rFonts w:ascii="Times New Roman" w:eastAsia="Calibri" w:hAnsi="Times New Roman" w:cs="Times New Roman"/>
          <w:color w:val="000000" w:themeColor="text1"/>
          <w:sz w:val="24"/>
          <w:szCs w:val="24"/>
          <w:lang w:val="en-GB"/>
        </w:rPr>
        <w:t xml:space="preserve">Zambia’s contribution to the overall objective of the </w:t>
      </w:r>
      <w:r w:rsidR="00745EE3">
        <w:rPr>
          <w:rFonts w:ascii="Times New Roman" w:eastAsia="Calibri" w:hAnsi="Times New Roman" w:cs="Times New Roman"/>
          <w:color w:val="000000" w:themeColor="text1"/>
          <w:sz w:val="24"/>
          <w:szCs w:val="24"/>
          <w:lang w:val="en-GB"/>
        </w:rPr>
        <w:t>UNFCCC</w:t>
      </w:r>
      <w:r w:rsidR="00745EE3" w:rsidRPr="00191ACB">
        <w:rPr>
          <w:rFonts w:ascii="Times New Roman" w:eastAsia="Calibri" w:hAnsi="Times New Roman" w:cs="Times New Roman"/>
          <w:color w:val="000000" w:themeColor="text1"/>
          <w:sz w:val="24"/>
          <w:szCs w:val="24"/>
        </w:rPr>
        <w:t xml:space="preserve"> </w:t>
      </w:r>
      <w:r w:rsidR="00745EE3">
        <w:rPr>
          <w:rFonts w:ascii="Times New Roman" w:eastAsia="Calibri" w:hAnsi="Times New Roman" w:cs="Times New Roman"/>
          <w:color w:val="000000" w:themeColor="text1"/>
          <w:sz w:val="24"/>
          <w:szCs w:val="24"/>
        </w:rPr>
        <w:t>and</w:t>
      </w:r>
      <w:r w:rsidR="00745EE3" w:rsidRPr="00191ACB">
        <w:rPr>
          <w:rFonts w:ascii="Times New Roman" w:eastAsia="Calibri" w:hAnsi="Times New Roman" w:cs="Times New Roman"/>
          <w:color w:val="000000" w:themeColor="text1"/>
          <w:sz w:val="24"/>
          <w:szCs w:val="24"/>
        </w:rPr>
        <w:t xml:space="preserve"> takes into account the country’s development goals as outlined in the Vision 2030, the Seventh National Development Plan (7NDP), and the National Policy on Climate Change. The BUR includes information on national circumstances, the national GHG inventory, mitigation actions and their impacts, domestic MRV and support needed and received</w:t>
      </w:r>
      <w:r w:rsidR="003F30AA" w:rsidRPr="00191ACB">
        <w:rPr>
          <w:rFonts w:ascii="Times New Roman" w:eastAsia="Calibri" w:hAnsi="Times New Roman" w:cs="Times New Roman"/>
          <w:color w:val="000000" w:themeColor="text1"/>
          <w:sz w:val="24"/>
          <w:szCs w:val="24"/>
        </w:rPr>
        <w:t>.</w:t>
      </w:r>
    </w:p>
    <w:p w14:paraId="2F5422CC" w14:textId="77777777" w:rsidR="006A56F0" w:rsidRPr="00191ACB" w:rsidRDefault="006A56F0" w:rsidP="000D604E">
      <w:pPr>
        <w:spacing w:after="120" w:line="240" w:lineRule="auto"/>
        <w:contextualSpacing/>
        <w:jc w:val="both"/>
        <w:rPr>
          <w:rFonts w:ascii="Times New Roman" w:eastAsia="Times New Roman" w:hAnsi="Times New Roman" w:cs="Times New Roman"/>
          <w:color w:val="000000" w:themeColor="text1"/>
          <w:sz w:val="24"/>
          <w:szCs w:val="24"/>
        </w:rPr>
      </w:pPr>
    </w:p>
    <w:p w14:paraId="24CB823A" w14:textId="33305ACA" w:rsidR="00C70DB0" w:rsidRDefault="00745EE3" w:rsidP="00AB2F22">
      <w:pPr>
        <w:spacing w:after="120" w:line="276" w:lineRule="auto"/>
        <w:contextualSpacing/>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Government wishes to acknowledge the support provided by our cooperating partners towards the preparation of the BUR. The support received enabled the country to undertake climate actions and facilitated capacity development in the areas of research and systematic observation, transparency, GHG inventory, among others.</w:t>
      </w:r>
    </w:p>
    <w:p w14:paraId="6117D8DD" w14:textId="77777777" w:rsidR="00745EE3" w:rsidRPr="00191ACB" w:rsidRDefault="00745EE3" w:rsidP="00AB2F22">
      <w:pPr>
        <w:spacing w:after="120" w:line="276" w:lineRule="auto"/>
        <w:contextualSpacing/>
        <w:jc w:val="both"/>
        <w:rPr>
          <w:rFonts w:ascii="Times New Roman" w:eastAsia="Times New Roman" w:hAnsi="Times New Roman" w:cs="Times New Roman"/>
          <w:color w:val="000000" w:themeColor="text1"/>
          <w:sz w:val="24"/>
          <w:szCs w:val="24"/>
        </w:rPr>
      </w:pPr>
    </w:p>
    <w:p w14:paraId="421754C9" w14:textId="616572AA" w:rsidR="00C70DB0" w:rsidRPr="00191ACB" w:rsidRDefault="00C70DB0" w:rsidP="00AB2F22">
      <w:pPr>
        <w:spacing w:after="120" w:line="276" w:lineRule="auto"/>
        <w:contextualSpacing/>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It is my expectation that the BUR will provide necessary information for informed decision making on the country’s mitigation measures including formulation of strategies, programmes and plans to reduce the emission of Greenhouse Gases and help the country transition into low carbon development.</w:t>
      </w:r>
    </w:p>
    <w:p w14:paraId="53BCD343" w14:textId="09C61C88" w:rsidR="00732EC3" w:rsidRDefault="00732EC3" w:rsidP="00AB2F22">
      <w:pPr>
        <w:spacing w:after="120" w:line="276" w:lineRule="auto"/>
        <w:jc w:val="both"/>
        <w:rPr>
          <w:rFonts w:ascii="Times New Roman" w:eastAsia="Calibri" w:hAnsi="Times New Roman" w:cs="Times New Roman"/>
          <w:color w:val="000000" w:themeColor="text1"/>
          <w:sz w:val="24"/>
          <w:szCs w:val="24"/>
        </w:rPr>
      </w:pPr>
    </w:p>
    <w:p w14:paraId="3B1CE387" w14:textId="58FA79ED" w:rsidR="00BE7199" w:rsidRPr="00191ACB" w:rsidRDefault="00573756" w:rsidP="00573756">
      <w:pPr>
        <w:spacing w:after="120" w:line="276" w:lineRule="auto"/>
        <w:rPr>
          <w:rFonts w:ascii="Times New Roman" w:eastAsia="Calibri" w:hAnsi="Times New Roman" w:cs="Times New Roman"/>
          <w:color w:val="000000" w:themeColor="text1"/>
          <w:sz w:val="24"/>
          <w:szCs w:val="24"/>
        </w:rPr>
      </w:pPr>
      <w:r>
        <w:rPr>
          <w:noProof/>
        </w:rPr>
        <w:drawing>
          <wp:inline distT="0" distB="0" distL="0" distR="0" wp14:anchorId="61CD7659" wp14:editId="224228FF">
            <wp:extent cx="2503837" cy="6000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02248" cy="623660"/>
                    </a:xfrm>
                    <a:prstGeom prst="rect">
                      <a:avLst/>
                    </a:prstGeom>
                  </pic:spPr>
                </pic:pic>
              </a:graphicData>
            </a:graphic>
          </wp:inline>
        </w:drawing>
      </w:r>
    </w:p>
    <w:p w14:paraId="6F0295D3" w14:textId="6372B088" w:rsidR="00732EC3" w:rsidRPr="00B9533A" w:rsidRDefault="00732EC3" w:rsidP="00BE7199">
      <w:pPr>
        <w:spacing w:after="0" w:line="240" w:lineRule="auto"/>
        <w:jc w:val="both"/>
        <w:rPr>
          <w:rFonts w:ascii="Times New Roman" w:hAnsi="Times New Roman" w:cs="Times New Roman"/>
          <w:sz w:val="24"/>
          <w:szCs w:val="24"/>
        </w:rPr>
      </w:pPr>
      <w:r w:rsidRPr="00B9533A">
        <w:rPr>
          <w:rFonts w:ascii="Times New Roman" w:hAnsi="Times New Roman" w:cs="Times New Roman"/>
          <w:sz w:val="24"/>
          <w:szCs w:val="24"/>
        </w:rPr>
        <w:t>Hon. Jean Kapata, MP</w:t>
      </w:r>
    </w:p>
    <w:p w14:paraId="41EB4159" w14:textId="3FCF489E" w:rsidR="00732EC3" w:rsidRPr="00B9533A" w:rsidRDefault="00BE7199" w:rsidP="00BE7199">
      <w:pPr>
        <w:spacing w:after="0" w:line="240" w:lineRule="auto"/>
        <w:jc w:val="both"/>
        <w:rPr>
          <w:rFonts w:ascii="Times New Roman" w:hAnsi="Times New Roman" w:cs="Times New Roman"/>
          <w:b/>
          <w:sz w:val="24"/>
          <w:szCs w:val="24"/>
        </w:rPr>
      </w:pPr>
      <w:r w:rsidRPr="00B9533A">
        <w:rPr>
          <w:rFonts w:ascii="Times New Roman" w:hAnsi="Times New Roman" w:cs="Times New Roman"/>
          <w:b/>
          <w:sz w:val="24"/>
          <w:szCs w:val="24"/>
        </w:rPr>
        <w:t>MINISTER OF LANDS AND NATURAL RESOURCES</w:t>
      </w:r>
    </w:p>
    <w:p w14:paraId="62178172" w14:textId="77777777" w:rsidR="00732EC3" w:rsidRPr="00191ACB" w:rsidRDefault="00732EC3" w:rsidP="00AB2F22">
      <w:pPr>
        <w:spacing w:line="276"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br w:type="page"/>
      </w:r>
    </w:p>
    <w:p w14:paraId="617E264C" w14:textId="4FD0B899" w:rsidR="00732EC3" w:rsidRPr="00191ACB" w:rsidRDefault="00040765" w:rsidP="00872147">
      <w:pPr>
        <w:pStyle w:val="Heading1"/>
        <w:jc w:val="center"/>
        <w:rPr>
          <w:rFonts w:ascii="Times New Roman" w:eastAsia="Calibri" w:hAnsi="Times New Roman" w:cs="Times New Roman"/>
          <w:b/>
          <w:bCs/>
          <w:color w:val="auto"/>
          <w:sz w:val="24"/>
          <w:szCs w:val="24"/>
        </w:rPr>
      </w:pPr>
      <w:bookmarkStart w:id="1" w:name="_Toc57902785"/>
      <w:r w:rsidRPr="00191ACB">
        <w:rPr>
          <w:rFonts w:ascii="Times New Roman" w:eastAsia="Calibri" w:hAnsi="Times New Roman" w:cs="Times New Roman"/>
          <w:b/>
          <w:bCs/>
          <w:color w:val="auto"/>
          <w:sz w:val="24"/>
          <w:szCs w:val="24"/>
        </w:rPr>
        <w:lastRenderedPageBreak/>
        <w:t>ACKNOWLEDGEMENT</w:t>
      </w:r>
      <w:bookmarkEnd w:id="1"/>
    </w:p>
    <w:p w14:paraId="1E549954" w14:textId="21437D57" w:rsidR="009801CC" w:rsidRPr="00191ACB" w:rsidRDefault="009801CC" w:rsidP="00872147">
      <w:pPr>
        <w:spacing w:after="120" w:line="240" w:lineRule="auto"/>
        <w:jc w:val="center"/>
        <w:rPr>
          <w:rFonts w:ascii="Times New Roman" w:eastAsia="Calibri" w:hAnsi="Times New Roman" w:cs="Times New Roman"/>
          <w:b/>
          <w:bCs/>
          <w:color w:val="000000" w:themeColor="text1"/>
          <w:sz w:val="24"/>
          <w:szCs w:val="24"/>
        </w:rPr>
      </w:pPr>
    </w:p>
    <w:p w14:paraId="53069167" w14:textId="77777777" w:rsidR="00026F01" w:rsidRPr="00191ACB" w:rsidRDefault="00026F01" w:rsidP="00026F01">
      <w:pPr>
        <w:autoSpaceDE w:val="0"/>
        <w:autoSpaceDN w:val="0"/>
        <w:adjustRightInd w:val="0"/>
        <w:spacing w:after="0" w:line="240" w:lineRule="auto"/>
        <w:rPr>
          <w:rFonts w:ascii="Times New Roman" w:hAnsi="Times New Roman" w:cs="Times New Roman"/>
          <w:b/>
          <w:sz w:val="24"/>
          <w:szCs w:val="24"/>
        </w:rPr>
      </w:pPr>
    </w:p>
    <w:p w14:paraId="3E04F8CE" w14:textId="549F09B5" w:rsidR="00026F01" w:rsidRPr="00191ACB" w:rsidRDefault="00040765" w:rsidP="00AB2F22">
      <w:pPr>
        <w:kinsoku w:val="0"/>
        <w:overflowPunct w:val="0"/>
        <w:spacing w:line="276" w:lineRule="auto"/>
        <w:jc w:val="both"/>
        <w:textAlignment w:val="baseline"/>
        <w:rPr>
          <w:rFonts w:ascii="Times New Roman" w:hAnsi="Times New Roman" w:cs="Times New Roman"/>
          <w:sz w:val="24"/>
          <w:szCs w:val="24"/>
        </w:rPr>
      </w:pPr>
      <w:r w:rsidRPr="00191ACB">
        <w:rPr>
          <w:rFonts w:ascii="Times New Roman" w:hAnsi="Times New Roman" w:cs="Times New Roman"/>
          <w:b/>
          <w:noProof/>
          <w:sz w:val="24"/>
          <w:szCs w:val="24"/>
          <w:lang w:val="en-GB" w:eastAsia="en-GB"/>
        </w:rPr>
        <w:drawing>
          <wp:anchor distT="0" distB="0" distL="114300" distR="114300" simplePos="0" relativeHeight="251668992" behindDoc="0" locked="0" layoutInCell="1" allowOverlap="1" wp14:anchorId="3FAF1AE3" wp14:editId="0D1C1E42">
            <wp:simplePos x="0" y="0"/>
            <wp:positionH relativeFrom="column">
              <wp:posOffset>0</wp:posOffset>
            </wp:positionH>
            <wp:positionV relativeFrom="paragraph">
              <wp:posOffset>197056</wp:posOffset>
            </wp:positionV>
            <wp:extent cx="1753235" cy="1638300"/>
            <wp:effectExtent l="171450" t="171450" r="170815" b="190500"/>
            <wp:wrapSquare wrapText="bothSides"/>
            <wp:docPr id="62" name="Picture 62" descr="C:\Users\Ephraim.Shitima\AppData\Local\Temp\Temp1_Hon Minister (3).zip\Hon Minister\PS Ndashe L Yum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phraim.Shitima\AppData\Local\Temp\Temp1_Hon Minister (3).zip\Hon Minister\PS Ndashe L Yumba.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53235" cy="16383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00026F01" w:rsidRPr="00191ACB">
        <w:rPr>
          <w:rFonts w:ascii="Times New Roman" w:hAnsi="Times New Roman" w:cs="Times New Roman"/>
          <w:sz w:val="24"/>
          <w:szCs w:val="24"/>
        </w:rPr>
        <w:t>Zambia’s Initial Biennial Update Report (BUR) to the United Nations Framework Convention on Climate Change (UNFCCC) communicate</w:t>
      </w:r>
      <w:r w:rsidR="00B9533A">
        <w:rPr>
          <w:rFonts w:ascii="Times New Roman" w:hAnsi="Times New Roman" w:cs="Times New Roman"/>
          <w:sz w:val="24"/>
          <w:szCs w:val="24"/>
        </w:rPr>
        <w:t xml:space="preserve">s </w:t>
      </w:r>
      <w:r w:rsidR="00026F01" w:rsidRPr="00191ACB">
        <w:rPr>
          <w:rFonts w:ascii="Times New Roman" w:hAnsi="Times New Roman" w:cs="Times New Roman"/>
          <w:sz w:val="24"/>
          <w:szCs w:val="24"/>
        </w:rPr>
        <w:t xml:space="preserve"> the country’s efforts in enhancing reporting on climate action</w:t>
      </w:r>
      <w:r w:rsidR="00B9533A">
        <w:rPr>
          <w:rFonts w:ascii="Times New Roman" w:hAnsi="Times New Roman" w:cs="Times New Roman"/>
          <w:sz w:val="24"/>
          <w:szCs w:val="24"/>
        </w:rPr>
        <w:t>s</w:t>
      </w:r>
      <w:r w:rsidR="00026F01" w:rsidRPr="00191ACB">
        <w:rPr>
          <w:rFonts w:ascii="Times New Roman" w:hAnsi="Times New Roman" w:cs="Times New Roman"/>
          <w:sz w:val="24"/>
          <w:szCs w:val="24"/>
        </w:rPr>
        <w:t xml:space="preserve"> for enhanced transparency. The BUR</w:t>
      </w:r>
      <w:r w:rsidR="00B9533A">
        <w:rPr>
          <w:rFonts w:ascii="Times New Roman" w:hAnsi="Times New Roman" w:cs="Times New Roman"/>
          <w:sz w:val="24"/>
          <w:szCs w:val="24"/>
        </w:rPr>
        <w:t xml:space="preserve"> </w:t>
      </w:r>
      <w:r w:rsidR="00026F01" w:rsidRPr="00191ACB">
        <w:rPr>
          <w:rFonts w:ascii="Times New Roman" w:hAnsi="Times New Roman" w:cs="Times New Roman"/>
          <w:sz w:val="24"/>
          <w:szCs w:val="24"/>
        </w:rPr>
        <w:t>contains updates of the national GHG inventory, information on actions to reduce emissions/ enhance sinks and needs and support received</w:t>
      </w:r>
      <w:r w:rsidR="00B9533A">
        <w:rPr>
          <w:rFonts w:ascii="Times New Roman" w:hAnsi="Times New Roman" w:cs="Times New Roman"/>
          <w:sz w:val="24"/>
          <w:szCs w:val="24"/>
        </w:rPr>
        <w:t xml:space="preserve">, as </w:t>
      </w:r>
      <w:r w:rsidR="00BD4C27">
        <w:rPr>
          <w:rFonts w:ascii="Times New Roman" w:hAnsi="Times New Roman" w:cs="Times New Roman"/>
          <w:sz w:val="24"/>
          <w:szCs w:val="24"/>
        </w:rPr>
        <w:t>continued</w:t>
      </w:r>
      <w:r w:rsidR="00B9533A">
        <w:rPr>
          <w:rFonts w:ascii="Times New Roman" w:hAnsi="Times New Roman" w:cs="Times New Roman"/>
          <w:sz w:val="24"/>
          <w:szCs w:val="24"/>
        </w:rPr>
        <w:t xml:space="preserve"> in the Third National Report submitted in September 2020</w:t>
      </w:r>
      <w:r w:rsidR="00026F01" w:rsidRPr="00191ACB">
        <w:rPr>
          <w:rFonts w:ascii="Times New Roman" w:hAnsi="Times New Roman" w:cs="Times New Roman"/>
          <w:sz w:val="24"/>
          <w:szCs w:val="24"/>
        </w:rPr>
        <w:t xml:space="preserve">. </w:t>
      </w:r>
    </w:p>
    <w:p w14:paraId="5FC9CF40" w14:textId="77777777" w:rsidR="00026F01" w:rsidRPr="00191ACB" w:rsidRDefault="00026F01" w:rsidP="00026F01">
      <w:pPr>
        <w:autoSpaceDE w:val="0"/>
        <w:autoSpaceDN w:val="0"/>
        <w:adjustRightInd w:val="0"/>
        <w:spacing w:after="0" w:line="360" w:lineRule="auto"/>
        <w:rPr>
          <w:rFonts w:ascii="Times New Roman" w:hAnsi="Times New Roman" w:cs="Times New Roman"/>
          <w:sz w:val="24"/>
          <w:szCs w:val="24"/>
        </w:rPr>
      </w:pPr>
      <w:bookmarkStart w:id="2" w:name="_GoBack"/>
      <w:bookmarkEnd w:id="2"/>
    </w:p>
    <w:p w14:paraId="6D3241C8" w14:textId="14647FD1" w:rsidR="00026F01" w:rsidRDefault="00745EE3" w:rsidP="00B703F5">
      <w:pPr>
        <w:autoSpaceDE w:val="0"/>
        <w:autoSpaceDN w:val="0"/>
        <w:adjustRightInd w:val="0"/>
        <w:spacing w:after="0" w:line="276" w:lineRule="auto"/>
        <w:jc w:val="both"/>
        <w:rPr>
          <w:rFonts w:ascii="Times New Roman" w:hAnsi="Times New Roman" w:cs="Times New Roman"/>
          <w:sz w:val="24"/>
          <w:szCs w:val="24"/>
        </w:rPr>
      </w:pPr>
      <w:r w:rsidRPr="00191ACB">
        <w:rPr>
          <w:rFonts w:ascii="Times New Roman" w:hAnsi="Times New Roman" w:cs="Times New Roman"/>
          <w:sz w:val="24"/>
          <w:szCs w:val="24"/>
        </w:rPr>
        <w:t>The country’s first BUR report was prepared through a consultative approach comprising various Government ministries, Cooperating Partners, Civil Society Organisations (CSO), academia and the media with support from the Global Environment Facility through the United Nations Environment Programme (UNEP). The Ministry of Lands and Natural Resources wishes to thank the Global Environmental Facility (GEF) for providing financial resources that made this process possible and UNEP/UNDP Global Support Programme team for the technical support during the preparation of the country’s first BUR. The Ministry further wishes to commend the Zambia Environmental Management Agency (ZEMA) for their coordination role and the leadership demonstrated in the process and the Technical Working Group for providing editorial oversight</w:t>
      </w:r>
      <w:r w:rsidR="00B703F5">
        <w:rPr>
          <w:rFonts w:ascii="Times New Roman" w:hAnsi="Times New Roman" w:cs="Times New Roman"/>
          <w:sz w:val="24"/>
          <w:szCs w:val="24"/>
        </w:rPr>
        <w:t>.</w:t>
      </w:r>
    </w:p>
    <w:p w14:paraId="6E881EF5" w14:textId="77777777" w:rsidR="00B703F5" w:rsidRPr="00191ACB" w:rsidRDefault="00B703F5" w:rsidP="00B703F5">
      <w:pPr>
        <w:autoSpaceDE w:val="0"/>
        <w:autoSpaceDN w:val="0"/>
        <w:adjustRightInd w:val="0"/>
        <w:spacing w:after="0" w:line="276" w:lineRule="auto"/>
        <w:jc w:val="both"/>
        <w:rPr>
          <w:rFonts w:ascii="Times New Roman" w:hAnsi="Times New Roman" w:cs="Times New Roman"/>
          <w:sz w:val="24"/>
          <w:szCs w:val="24"/>
        </w:rPr>
      </w:pPr>
    </w:p>
    <w:p w14:paraId="3C128321" w14:textId="66633EB7" w:rsidR="00026F01" w:rsidRPr="00191ACB" w:rsidRDefault="00026F01" w:rsidP="001F2721">
      <w:pPr>
        <w:spacing w:after="120" w:line="240" w:lineRule="auto"/>
        <w:contextualSpacing/>
        <w:jc w:val="both"/>
        <w:rPr>
          <w:rFonts w:ascii="Times New Roman" w:hAnsi="Times New Roman" w:cs="Times New Roman"/>
          <w:sz w:val="24"/>
          <w:szCs w:val="24"/>
        </w:rPr>
      </w:pPr>
      <w:r w:rsidRPr="00B703F5">
        <w:rPr>
          <w:rFonts w:ascii="Times New Roman" w:hAnsi="Times New Roman" w:cs="Times New Roman"/>
          <w:sz w:val="24"/>
          <w:szCs w:val="24"/>
        </w:rPr>
        <w:t xml:space="preserve">The Ministry wishes to encourage all stakeholders to continue contributing </w:t>
      </w:r>
      <w:r w:rsidRPr="001F2721">
        <w:rPr>
          <w:rFonts w:ascii="Times New Roman" w:hAnsi="Times New Roman" w:cs="Times New Roman"/>
          <w:sz w:val="24"/>
          <w:szCs w:val="24"/>
        </w:rPr>
        <w:t xml:space="preserve">their respective roles in mitigating Green House Gas (GHG) emissions and accounting </w:t>
      </w:r>
      <w:r w:rsidR="00B703F5" w:rsidRPr="001F2721">
        <w:rPr>
          <w:rFonts w:ascii="Times New Roman" w:hAnsi="Times New Roman" w:cs="Times New Roman"/>
          <w:sz w:val="24"/>
          <w:szCs w:val="24"/>
        </w:rPr>
        <w:t xml:space="preserve">as this </w:t>
      </w:r>
      <w:r w:rsidR="00B703F5" w:rsidRPr="001F2721">
        <w:rPr>
          <w:rFonts w:ascii="Times New Roman" w:eastAsia="Times New Roman" w:hAnsi="Times New Roman" w:cs="Times New Roman"/>
          <w:color w:val="000000" w:themeColor="text1"/>
          <w:sz w:val="24"/>
          <w:szCs w:val="24"/>
        </w:rPr>
        <w:t>will require concerted efforts from both national and international stakeholders through provision of technical and financial support.</w:t>
      </w:r>
      <w:r w:rsidR="001F2721" w:rsidRPr="001F2721">
        <w:rPr>
          <w:rFonts w:ascii="Times New Roman" w:eastAsia="Times New Roman" w:hAnsi="Times New Roman" w:cs="Times New Roman"/>
          <w:color w:val="000000" w:themeColor="text1"/>
          <w:sz w:val="24"/>
          <w:szCs w:val="24"/>
        </w:rPr>
        <w:t xml:space="preserve"> The collaboration demonstrated in the preparation of the BUR </w:t>
      </w:r>
      <w:r w:rsidR="001F2721">
        <w:rPr>
          <w:rFonts w:ascii="Times New Roman" w:eastAsia="Times New Roman" w:hAnsi="Times New Roman" w:cs="Times New Roman"/>
          <w:color w:val="000000" w:themeColor="text1"/>
          <w:sz w:val="24"/>
          <w:szCs w:val="24"/>
        </w:rPr>
        <w:t xml:space="preserve">if continued </w:t>
      </w:r>
      <w:r w:rsidR="001F2721" w:rsidRPr="001F2721">
        <w:rPr>
          <w:rFonts w:ascii="Times New Roman" w:eastAsia="Times New Roman" w:hAnsi="Times New Roman" w:cs="Times New Roman"/>
          <w:color w:val="000000" w:themeColor="text1"/>
          <w:sz w:val="24"/>
          <w:szCs w:val="24"/>
        </w:rPr>
        <w:t>will assist the country in</w:t>
      </w:r>
      <w:r w:rsidR="001F2721">
        <w:rPr>
          <w:rFonts w:ascii="Times New Roman" w:eastAsia="Times New Roman" w:hAnsi="Times New Roman" w:cs="Times New Roman"/>
          <w:color w:val="000000" w:themeColor="text1"/>
          <w:sz w:val="24"/>
          <w:szCs w:val="24"/>
        </w:rPr>
        <w:t xml:space="preserve"> </w:t>
      </w:r>
      <w:r w:rsidRPr="00191ACB">
        <w:rPr>
          <w:rFonts w:ascii="Times New Roman" w:hAnsi="Times New Roman" w:cs="Times New Roman"/>
          <w:sz w:val="24"/>
          <w:szCs w:val="24"/>
        </w:rPr>
        <w:t>meet</w:t>
      </w:r>
      <w:r w:rsidR="001F2721">
        <w:rPr>
          <w:rFonts w:ascii="Times New Roman" w:hAnsi="Times New Roman" w:cs="Times New Roman"/>
          <w:sz w:val="24"/>
          <w:szCs w:val="24"/>
        </w:rPr>
        <w:t>ing</w:t>
      </w:r>
      <w:r w:rsidRPr="00191ACB">
        <w:rPr>
          <w:rFonts w:ascii="Times New Roman" w:hAnsi="Times New Roman" w:cs="Times New Roman"/>
          <w:sz w:val="24"/>
          <w:szCs w:val="24"/>
        </w:rPr>
        <w:t xml:space="preserve"> its emission reduction </w:t>
      </w:r>
      <w:r w:rsidR="001F2721">
        <w:rPr>
          <w:rFonts w:ascii="Times New Roman" w:hAnsi="Times New Roman" w:cs="Times New Roman"/>
          <w:sz w:val="24"/>
          <w:szCs w:val="24"/>
        </w:rPr>
        <w:t>ambitions</w:t>
      </w:r>
      <w:r w:rsidRPr="00191ACB">
        <w:rPr>
          <w:rFonts w:ascii="Times New Roman" w:hAnsi="Times New Roman" w:cs="Times New Roman"/>
          <w:sz w:val="24"/>
          <w:szCs w:val="24"/>
        </w:rPr>
        <w:t xml:space="preserve"> and contribute to the global </w:t>
      </w:r>
      <w:r w:rsidR="001F2721">
        <w:rPr>
          <w:rFonts w:ascii="Times New Roman" w:hAnsi="Times New Roman" w:cs="Times New Roman"/>
          <w:sz w:val="24"/>
          <w:szCs w:val="24"/>
        </w:rPr>
        <w:t xml:space="preserve">goal on keeping </w:t>
      </w:r>
      <w:r w:rsidRPr="00191ACB">
        <w:rPr>
          <w:rFonts w:ascii="Times New Roman" w:hAnsi="Times New Roman" w:cs="Times New Roman"/>
          <w:sz w:val="24"/>
          <w:szCs w:val="24"/>
        </w:rPr>
        <w:t>the global average temperature to well below 2 °C above preindustrial levels</w:t>
      </w:r>
      <w:r w:rsidRPr="00191ACB">
        <w:rPr>
          <w:rFonts w:ascii="Times New Roman" w:eastAsia="Calibri" w:hAnsi="Times New Roman" w:cs="Times New Roman"/>
          <w:color w:val="000000" w:themeColor="text1"/>
          <w:sz w:val="24"/>
          <w:szCs w:val="24"/>
        </w:rPr>
        <w:t>.</w:t>
      </w:r>
    </w:p>
    <w:p w14:paraId="2997A3D7" w14:textId="77777777" w:rsidR="00745EE3" w:rsidRPr="00191ACB" w:rsidRDefault="00745EE3" w:rsidP="00AB2F22">
      <w:pPr>
        <w:spacing w:after="120" w:line="276" w:lineRule="auto"/>
        <w:jc w:val="both"/>
        <w:rPr>
          <w:rFonts w:ascii="Times New Roman" w:eastAsia="Calibri" w:hAnsi="Times New Roman" w:cs="Times New Roman"/>
          <w:b/>
          <w:bCs/>
          <w:color w:val="000000" w:themeColor="text1"/>
          <w:sz w:val="24"/>
          <w:szCs w:val="24"/>
        </w:rPr>
      </w:pPr>
    </w:p>
    <w:p w14:paraId="68D2538C" w14:textId="77777777" w:rsidR="00573756" w:rsidRDefault="00573756" w:rsidP="00573756">
      <w:pPr>
        <w:spacing w:line="276" w:lineRule="auto"/>
        <w:rPr>
          <w:rFonts w:ascii="Times New Roman" w:eastAsia="Calibri" w:hAnsi="Times New Roman" w:cs="Times New Roman"/>
          <w:color w:val="000000" w:themeColor="text1"/>
          <w:sz w:val="24"/>
          <w:szCs w:val="24"/>
        </w:rPr>
      </w:pPr>
      <w:r>
        <w:rPr>
          <w:noProof/>
        </w:rPr>
        <w:drawing>
          <wp:inline distT="0" distB="0" distL="0" distR="0" wp14:anchorId="49FF9F05" wp14:editId="6E8460B3">
            <wp:extent cx="2447925" cy="1022845"/>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43536" cy="1062795"/>
                    </a:xfrm>
                    <a:prstGeom prst="rect">
                      <a:avLst/>
                    </a:prstGeom>
                  </pic:spPr>
                </pic:pic>
              </a:graphicData>
            </a:graphic>
          </wp:inline>
        </w:drawing>
      </w:r>
    </w:p>
    <w:p w14:paraId="301F43BB" w14:textId="07B93FD4" w:rsidR="009375C1" w:rsidRPr="00573756" w:rsidRDefault="00B9533A" w:rsidP="00573756">
      <w:pPr>
        <w:spacing w:line="276" w:lineRule="auto"/>
        <w:rPr>
          <w:rFonts w:ascii="Times New Roman" w:eastAsia="Calibri" w:hAnsi="Times New Roman" w:cs="Times New Roman"/>
          <w:color w:val="000000" w:themeColor="text1"/>
          <w:sz w:val="24"/>
          <w:szCs w:val="24"/>
        </w:rPr>
      </w:pPr>
      <w:r w:rsidRPr="00B9533A">
        <w:rPr>
          <w:rFonts w:ascii="Times New Roman" w:hAnsi="Times New Roman" w:cs="Times New Roman"/>
          <w:b/>
          <w:sz w:val="24"/>
          <w:szCs w:val="24"/>
        </w:rPr>
        <w:t>MINISTRY OF LANDS AND NATURAL RESOURCES</w:t>
      </w:r>
      <w:r w:rsidRPr="00B9533A">
        <w:rPr>
          <w:rFonts w:ascii="Times New Roman" w:eastAsia="Calibri" w:hAnsi="Times New Roman" w:cs="Times New Roman"/>
          <w:b/>
          <w:bCs/>
          <w:color w:val="000000" w:themeColor="text1"/>
          <w:sz w:val="24"/>
          <w:szCs w:val="24"/>
          <w:highlight w:val="yellow"/>
        </w:rPr>
        <w:br w:type="page"/>
      </w:r>
    </w:p>
    <w:sdt>
      <w:sdtPr>
        <w:rPr>
          <w:rFonts w:ascii="Times New Roman" w:eastAsiaTheme="minorHAnsi" w:hAnsi="Times New Roman" w:cs="Times New Roman"/>
          <w:color w:val="auto"/>
          <w:sz w:val="24"/>
          <w:szCs w:val="24"/>
        </w:rPr>
        <w:id w:val="-2027780464"/>
        <w:docPartObj>
          <w:docPartGallery w:val="Table of Contents"/>
          <w:docPartUnique/>
        </w:docPartObj>
      </w:sdtPr>
      <w:sdtEndPr>
        <w:rPr>
          <w:b/>
          <w:bCs/>
          <w:noProof/>
        </w:rPr>
      </w:sdtEndPr>
      <w:sdtContent>
        <w:p w14:paraId="4FA7B136" w14:textId="062BD858" w:rsidR="00F943B5" w:rsidRPr="00AB2F22" w:rsidRDefault="00B10D38">
          <w:pPr>
            <w:pStyle w:val="TOCHeading"/>
            <w:rPr>
              <w:rFonts w:ascii="Times New Roman" w:hAnsi="Times New Roman" w:cs="Times New Roman"/>
              <w:b/>
              <w:color w:val="000000" w:themeColor="text1"/>
              <w:sz w:val="24"/>
              <w:szCs w:val="24"/>
            </w:rPr>
          </w:pPr>
          <w:r w:rsidRPr="00AB2F22">
            <w:rPr>
              <w:rFonts w:ascii="Times New Roman" w:hAnsi="Times New Roman" w:cs="Times New Roman"/>
              <w:b/>
              <w:color w:val="000000" w:themeColor="text1"/>
              <w:sz w:val="24"/>
              <w:szCs w:val="24"/>
            </w:rPr>
            <w:t>CONTENTS</w:t>
          </w:r>
        </w:p>
        <w:p w14:paraId="25B43B56" w14:textId="0D6EF0AE" w:rsidR="00350268" w:rsidRDefault="00F943B5">
          <w:pPr>
            <w:pStyle w:val="TOC1"/>
            <w:tabs>
              <w:tab w:val="right" w:leader="dot" w:pos="9782"/>
            </w:tabs>
            <w:rPr>
              <w:rFonts w:asciiTheme="minorHAnsi" w:eastAsiaTheme="minorEastAsia" w:hAnsiTheme="minorHAnsi" w:cstheme="minorBidi"/>
              <w:noProof/>
              <w:sz w:val="22"/>
              <w:szCs w:val="22"/>
            </w:rPr>
          </w:pPr>
          <w:r w:rsidRPr="00AB2F22">
            <w:fldChar w:fldCharType="begin"/>
          </w:r>
          <w:r w:rsidRPr="00AB2F22">
            <w:instrText xml:space="preserve"> TOC \o "1-3" \h \z \u </w:instrText>
          </w:r>
          <w:r w:rsidRPr="00AB2F22">
            <w:fldChar w:fldCharType="separate"/>
          </w:r>
          <w:hyperlink w:anchor="_Toc57902784" w:history="1">
            <w:r w:rsidR="00350268" w:rsidRPr="00120925">
              <w:rPr>
                <w:rStyle w:val="Hyperlink"/>
                <w:b/>
                <w:bCs/>
                <w:noProof/>
              </w:rPr>
              <w:t>FOREWORD</w:t>
            </w:r>
            <w:r w:rsidR="00350268">
              <w:rPr>
                <w:noProof/>
                <w:webHidden/>
              </w:rPr>
              <w:tab/>
            </w:r>
            <w:r w:rsidR="00350268">
              <w:rPr>
                <w:noProof/>
                <w:webHidden/>
              </w:rPr>
              <w:fldChar w:fldCharType="begin"/>
            </w:r>
            <w:r w:rsidR="00350268">
              <w:rPr>
                <w:noProof/>
                <w:webHidden/>
              </w:rPr>
              <w:instrText xml:space="preserve"> PAGEREF _Toc57902784 \h </w:instrText>
            </w:r>
            <w:r w:rsidR="00350268">
              <w:rPr>
                <w:noProof/>
                <w:webHidden/>
              </w:rPr>
            </w:r>
            <w:r w:rsidR="00350268">
              <w:rPr>
                <w:noProof/>
                <w:webHidden/>
              </w:rPr>
              <w:fldChar w:fldCharType="separate"/>
            </w:r>
            <w:r w:rsidR="00350268">
              <w:rPr>
                <w:noProof/>
                <w:webHidden/>
              </w:rPr>
              <w:t>iii</w:t>
            </w:r>
            <w:r w:rsidR="00350268">
              <w:rPr>
                <w:noProof/>
                <w:webHidden/>
              </w:rPr>
              <w:fldChar w:fldCharType="end"/>
            </w:r>
          </w:hyperlink>
        </w:p>
        <w:p w14:paraId="0E5511A3" w14:textId="2271D5B5" w:rsidR="00350268" w:rsidRDefault="00317BA0">
          <w:pPr>
            <w:pStyle w:val="TOC1"/>
            <w:tabs>
              <w:tab w:val="right" w:leader="dot" w:pos="9782"/>
            </w:tabs>
            <w:rPr>
              <w:rFonts w:asciiTheme="minorHAnsi" w:eastAsiaTheme="minorEastAsia" w:hAnsiTheme="minorHAnsi" w:cstheme="minorBidi"/>
              <w:noProof/>
              <w:sz w:val="22"/>
              <w:szCs w:val="22"/>
            </w:rPr>
          </w:pPr>
          <w:hyperlink w:anchor="_Toc57902785" w:history="1">
            <w:r w:rsidR="00350268" w:rsidRPr="00120925">
              <w:rPr>
                <w:rStyle w:val="Hyperlink"/>
                <w:rFonts w:eastAsia="Calibri"/>
                <w:b/>
                <w:bCs/>
                <w:noProof/>
              </w:rPr>
              <w:t>ACKNOWLEDGEMENT</w:t>
            </w:r>
            <w:r w:rsidR="00350268">
              <w:rPr>
                <w:noProof/>
                <w:webHidden/>
              </w:rPr>
              <w:tab/>
            </w:r>
            <w:r w:rsidR="00350268">
              <w:rPr>
                <w:noProof/>
                <w:webHidden/>
              </w:rPr>
              <w:fldChar w:fldCharType="begin"/>
            </w:r>
            <w:r w:rsidR="00350268">
              <w:rPr>
                <w:noProof/>
                <w:webHidden/>
              </w:rPr>
              <w:instrText xml:space="preserve"> PAGEREF _Toc57902785 \h </w:instrText>
            </w:r>
            <w:r w:rsidR="00350268">
              <w:rPr>
                <w:noProof/>
                <w:webHidden/>
              </w:rPr>
            </w:r>
            <w:r w:rsidR="00350268">
              <w:rPr>
                <w:noProof/>
                <w:webHidden/>
              </w:rPr>
              <w:fldChar w:fldCharType="separate"/>
            </w:r>
            <w:r w:rsidR="00350268">
              <w:rPr>
                <w:noProof/>
                <w:webHidden/>
              </w:rPr>
              <w:t>iv</w:t>
            </w:r>
            <w:r w:rsidR="00350268">
              <w:rPr>
                <w:noProof/>
                <w:webHidden/>
              </w:rPr>
              <w:fldChar w:fldCharType="end"/>
            </w:r>
          </w:hyperlink>
        </w:p>
        <w:p w14:paraId="709240F3" w14:textId="6FBFF1E9" w:rsidR="00350268" w:rsidRDefault="00317BA0">
          <w:pPr>
            <w:pStyle w:val="TOC1"/>
            <w:tabs>
              <w:tab w:val="right" w:leader="dot" w:pos="9782"/>
            </w:tabs>
            <w:rPr>
              <w:rFonts w:asciiTheme="minorHAnsi" w:eastAsiaTheme="minorEastAsia" w:hAnsiTheme="minorHAnsi" w:cstheme="minorBidi"/>
              <w:noProof/>
              <w:sz w:val="22"/>
              <w:szCs w:val="22"/>
            </w:rPr>
          </w:pPr>
          <w:hyperlink w:anchor="_Toc57902786" w:history="1">
            <w:r w:rsidR="00350268" w:rsidRPr="00120925">
              <w:rPr>
                <w:rStyle w:val="Hyperlink"/>
                <w:b/>
                <w:noProof/>
                <w:lang w:eastAsia="x-none"/>
              </w:rPr>
              <w:t>TABLE OF TABLES</w:t>
            </w:r>
            <w:r w:rsidR="00350268">
              <w:rPr>
                <w:noProof/>
                <w:webHidden/>
              </w:rPr>
              <w:tab/>
            </w:r>
            <w:r w:rsidR="00350268">
              <w:rPr>
                <w:noProof/>
                <w:webHidden/>
              </w:rPr>
              <w:fldChar w:fldCharType="begin"/>
            </w:r>
            <w:r w:rsidR="00350268">
              <w:rPr>
                <w:noProof/>
                <w:webHidden/>
              </w:rPr>
              <w:instrText xml:space="preserve"> PAGEREF _Toc57902786 \h </w:instrText>
            </w:r>
            <w:r w:rsidR="00350268">
              <w:rPr>
                <w:noProof/>
                <w:webHidden/>
              </w:rPr>
            </w:r>
            <w:r w:rsidR="00350268">
              <w:rPr>
                <w:noProof/>
                <w:webHidden/>
              </w:rPr>
              <w:fldChar w:fldCharType="separate"/>
            </w:r>
            <w:r w:rsidR="00350268">
              <w:rPr>
                <w:noProof/>
                <w:webHidden/>
              </w:rPr>
              <w:t>ix</w:t>
            </w:r>
            <w:r w:rsidR="00350268">
              <w:rPr>
                <w:noProof/>
                <w:webHidden/>
              </w:rPr>
              <w:fldChar w:fldCharType="end"/>
            </w:r>
          </w:hyperlink>
        </w:p>
        <w:p w14:paraId="35D2A6F5" w14:textId="38BF3EB9" w:rsidR="00350268" w:rsidRDefault="00317BA0">
          <w:pPr>
            <w:pStyle w:val="TOC1"/>
            <w:tabs>
              <w:tab w:val="right" w:leader="dot" w:pos="9782"/>
            </w:tabs>
            <w:rPr>
              <w:rFonts w:asciiTheme="minorHAnsi" w:eastAsiaTheme="minorEastAsia" w:hAnsiTheme="minorHAnsi" w:cstheme="minorBidi"/>
              <w:noProof/>
              <w:sz w:val="22"/>
              <w:szCs w:val="22"/>
            </w:rPr>
          </w:pPr>
          <w:hyperlink w:anchor="_Toc57902787" w:history="1">
            <w:r w:rsidR="00350268" w:rsidRPr="00120925">
              <w:rPr>
                <w:rStyle w:val="Hyperlink"/>
                <w:noProof/>
                <w:lang w:eastAsia="x-none"/>
              </w:rPr>
              <w:t>TABLE OF FIGURES</w:t>
            </w:r>
            <w:r w:rsidR="00350268">
              <w:rPr>
                <w:noProof/>
                <w:webHidden/>
              </w:rPr>
              <w:tab/>
            </w:r>
            <w:r w:rsidR="00350268">
              <w:rPr>
                <w:noProof/>
                <w:webHidden/>
              </w:rPr>
              <w:fldChar w:fldCharType="begin"/>
            </w:r>
            <w:r w:rsidR="00350268">
              <w:rPr>
                <w:noProof/>
                <w:webHidden/>
              </w:rPr>
              <w:instrText xml:space="preserve"> PAGEREF _Toc57902787 \h </w:instrText>
            </w:r>
            <w:r w:rsidR="00350268">
              <w:rPr>
                <w:noProof/>
                <w:webHidden/>
              </w:rPr>
            </w:r>
            <w:r w:rsidR="00350268">
              <w:rPr>
                <w:noProof/>
                <w:webHidden/>
              </w:rPr>
              <w:fldChar w:fldCharType="separate"/>
            </w:r>
            <w:r w:rsidR="00350268">
              <w:rPr>
                <w:noProof/>
                <w:webHidden/>
              </w:rPr>
              <w:t>xi</w:t>
            </w:r>
            <w:r w:rsidR="00350268">
              <w:rPr>
                <w:noProof/>
                <w:webHidden/>
              </w:rPr>
              <w:fldChar w:fldCharType="end"/>
            </w:r>
          </w:hyperlink>
        </w:p>
        <w:p w14:paraId="6D5BE86E" w14:textId="2D1E26DC" w:rsidR="00350268" w:rsidRDefault="00317BA0">
          <w:pPr>
            <w:pStyle w:val="TOC1"/>
            <w:tabs>
              <w:tab w:val="right" w:leader="dot" w:pos="9782"/>
            </w:tabs>
            <w:rPr>
              <w:rFonts w:asciiTheme="minorHAnsi" w:eastAsiaTheme="minorEastAsia" w:hAnsiTheme="minorHAnsi" w:cstheme="minorBidi"/>
              <w:noProof/>
              <w:sz w:val="22"/>
              <w:szCs w:val="22"/>
            </w:rPr>
          </w:pPr>
          <w:hyperlink w:anchor="_Toc57902788" w:history="1">
            <w:r w:rsidR="00350268" w:rsidRPr="00120925">
              <w:rPr>
                <w:rStyle w:val="Hyperlink"/>
                <w:b/>
                <w:bCs/>
                <w:noProof/>
              </w:rPr>
              <w:t>ACRONYMS</w:t>
            </w:r>
            <w:r w:rsidR="00350268">
              <w:rPr>
                <w:noProof/>
                <w:webHidden/>
              </w:rPr>
              <w:tab/>
            </w:r>
            <w:r w:rsidR="00350268">
              <w:rPr>
                <w:noProof/>
                <w:webHidden/>
              </w:rPr>
              <w:fldChar w:fldCharType="begin"/>
            </w:r>
            <w:r w:rsidR="00350268">
              <w:rPr>
                <w:noProof/>
                <w:webHidden/>
              </w:rPr>
              <w:instrText xml:space="preserve"> PAGEREF _Toc57902788 \h </w:instrText>
            </w:r>
            <w:r w:rsidR="00350268">
              <w:rPr>
                <w:noProof/>
                <w:webHidden/>
              </w:rPr>
            </w:r>
            <w:r w:rsidR="00350268">
              <w:rPr>
                <w:noProof/>
                <w:webHidden/>
              </w:rPr>
              <w:fldChar w:fldCharType="separate"/>
            </w:r>
            <w:r w:rsidR="00350268">
              <w:rPr>
                <w:noProof/>
                <w:webHidden/>
              </w:rPr>
              <w:t>i</w:t>
            </w:r>
            <w:r w:rsidR="00350268">
              <w:rPr>
                <w:noProof/>
                <w:webHidden/>
              </w:rPr>
              <w:fldChar w:fldCharType="end"/>
            </w:r>
          </w:hyperlink>
        </w:p>
        <w:p w14:paraId="79F0C595" w14:textId="43A015A3" w:rsidR="00350268" w:rsidRDefault="00317BA0">
          <w:pPr>
            <w:pStyle w:val="TOC1"/>
            <w:tabs>
              <w:tab w:val="right" w:leader="dot" w:pos="9782"/>
            </w:tabs>
            <w:rPr>
              <w:rFonts w:asciiTheme="minorHAnsi" w:eastAsiaTheme="minorEastAsia" w:hAnsiTheme="minorHAnsi" w:cstheme="minorBidi"/>
              <w:noProof/>
              <w:sz w:val="22"/>
              <w:szCs w:val="22"/>
            </w:rPr>
          </w:pPr>
          <w:hyperlink w:anchor="_Toc57902789" w:history="1">
            <w:r w:rsidR="00350268" w:rsidRPr="00120925">
              <w:rPr>
                <w:rStyle w:val="Hyperlink"/>
                <w:rFonts w:eastAsia="Calibri"/>
                <w:b/>
                <w:bCs/>
                <w:noProof/>
              </w:rPr>
              <w:t>EXECUTIVE SUMMARY</w:t>
            </w:r>
            <w:r w:rsidR="00350268">
              <w:rPr>
                <w:noProof/>
                <w:webHidden/>
              </w:rPr>
              <w:tab/>
            </w:r>
            <w:r w:rsidR="00350268">
              <w:rPr>
                <w:noProof/>
                <w:webHidden/>
              </w:rPr>
              <w:fldChar w:fldCharType="begin"/>
            </w:r>
            <w:r w:rsidR="00350268">
              <w:rPr>
                <w:noProof/>
                <w:webHidden/>
              </w:rPr>
              <w:instrText xml:space="preserve"> PAGEREF _Toc57902789 \h </w:instrText>
            </w:r>
            <w:r w:rsidR="00350268">
              <w:rPr>
                <w:noProof/>
                <w:webHidden/>
              </w:rPr>
            </w:r>
            <w:r w:rsidR="00350268">
              <w:rPr>
                <w:noProof/>
                <w:webHidden/>
              </w:rPr>
              <w:fldChar w:fldCharType="separate"/>
            </w:r>
            <w:r w:rsidR="00350268">
              <w:rPr>
                <w:noProof/>
                <w:webHidden/>
              </w:rPr>
              <w:t>iv</w:t>
            </w:r>
            <w:r w:rsidR="00350268">
              <w:rPr>
                <w:noProof/>
                <w:webHidden/>
              </w:rPr>
              <w:fldChar w:fldCharType="end"/>
            </w:r>
          </w:hyperlink>
        </w:p>
        <w:p w14:paraId="24D8EEA0" w14:textId="0F9C7BD9" w:rsidR="00350268" w:rsidRDefault="00317BA0">
          <w:pPr>
            <w:pStyle w:val="TOC1"/>
            <w:tabs>
              <w:tab w:val="left" w:pos="660"/>
              <w:tab w:val="right" w:leader="dot" w:pos="9782"/>
            </w:tabs>
            <w:rPr>
              <w:rFonts w:asciiTheme="minorHAnsi" w:eastAsiaTheme="minorEastAsia" w:hAnsiTheme="minorHAnsi" w:cstheme="minorBidi"/>
              <w:noProof/>
              <w:sz w:val="22"/>
              <w:szCs w:val="22"/>
            </w:rPr>
          </w:pPr>
          <w:hyperlink w:anchor="_Toc57902790" w:history="1">
            <w:r w:rsidR="00350268" w:rsidRPr="00120925">
              <w:rPr>
                <w:rStyle w:val="Hyperlink"/>
                <w:b/>
                <w:bCs/>
                <w:noProof/>
              </w:rPr>
              <w:t>1.0</w:t>
            </w:r>
            <w:r w:rsidR="00350268">
              <w:rPr>
                <w:rFonts w:asciiTheme="minorHAnsi" w:eastAsiaTheme="minorEastAsia" w:hAnsiTheme="minorHAnsi" w:cstheme="minorBidi"/>
                <w:noProof/>
                <w:sz w:val="22"/>
                <w:szCs w:val="22"/>
              </w:rPr>
              <w:tab/>
            </w:r>
            <w:r w:rsidR="00350268" w:rsidRPr="00120925">
              <w:rPr>
                <w:rStyle w:val="Hyperlink"/>
                <w:b/>
                <w:bCs/>
                <w:noProof/>
              </w:rPr>
              <w:t>INTRODUCTION</w:t>
            </w:r>
            <w:r w:rsidR="00350268">
              <w:rPr>
                <w:noProof/>
                <w:webHidden/>
              </w:rPr>
              <w:tab/>
            </w:r>
            <w:r w:rsidR="00350268">
              <w:rPr>
                <w:noProof/>
                <w:webHidden/>
              </w:rPr>
              <w:fldChar w:fldCharType="begin"/>
            </w:r>
            <w:r w:rsidR="00350268">
              <w:rPr>
                <w:noProof/>
                <w:webHidden/>
              </w:rPr>
              <w:instrText xml:space="preserve"> PAGEREF _Toc57902790 \h </w:instrText>
            </w:r>
            <w:r w:rsidR="00350268">
              <w:rPr>
                <w:noProof/>
                <w:webHidden/>
              </w:rPr>
            </w:r>
            <w:r w:rsidR="00350268">
              <w:rPr>
                <w:noProof/>
                <w:webHidden/>
              </w:rPr>
              <w:fldChar w:fldCharType="separate"/>
            </w:r>
            <w:r w:rsidR="00350268">
              <w:rPr>
                <w:noProof/>
                <w:webHidden/>
              </w:rPr>
              <w:t>1</w:t>
            </w:r>
            <w:r w:rsidR="00350268">
              <w:rPr>
                <w:noProof/>
                <w:webHidden/>
              </w:rPr>
              <w:fldChar w:fldCharType="end"/>
            </w:r>
          </w:hyperlink>
        </w:p>
        <w:p w14:paraId="31472F97" w14:textId="6A9E096B" w:rsidR="00350268" w:rsidRDefault="00317BA0">
          <w:pPr>
            <w:pStyle w:val="TOC1"/>
            <w:tabs>
              <w:tab w:val="left" w:pos="660"/>
              <w:tab w:val="right" w:leader="dot" w:pos="9782"/>
            </w:tabs>
            <w:rPr>
              <w:rFonts w:asciiTheme="minorHAnsi" w:eastAsiaTheme="minorEastAsia" w:hAnsiTheme="minorHAnsi" w:cstheme="minorBidi"/>
              <w:noProof/>
              <w:sz w:val="22"/>
              <w:szCs w:val="22"/>
            </w:rPr>
          </w:pPr>
          <w:hyperlink w:anchor="_Toc57902791" w:history="1">
            <w:r w:rsidR="00350268" w:rsidRPr="00120925">
              <w:rPr>
                <w:rStyle w:val="Hyperlink"/>
                <w:b/>
                <w:noProof/>
              </w:rPr>
              <w:t>2.0</w:t>
            </w:r>
            <w:r w:rsidR="00350268">
              <w:rPr>
                <w:rFonts w:asciiTheme="minorHAnsi" w:eastAsiaTheme="minorEastAsia" w:hAnsiTheme="minorHAnsi" w:cstheme="minorBidi"/>
                <w:noProof/>
                <w:sz w:val="22"/>
                <w:szCs w:val="22"/>
              </w:rPr>
              <w:tab/>
            </w:r>
            <w:r w:rsidR="00350268" w:rsidRPr="00120925">
              <w:rPr>
                <w:rStyle w:val="Hyperlink"/>
                <w:b/>
                <w:noProof/>
              </w:rPr>
              <w:t>NATIONAL CIRCUMSTANCES</w:t>
            </w:r>
            <w:r w:rsidR="00350268">
              <w:rPr>
                <w:noProof/>
                <w:webHidden/>
              </w:rPr>
              <w:tab/>
            </w:r>
            <w:r w:rsidR="00350268">
              <w:rPr>
                <w:noProof/>
                <w:webHidden/>
              </w:rPr>
              <w:fldChar w:fldCharType="begin"/>
            </w:r>
            <w:r w:rsidR="00350268">
              <w:rPr>
                <w:noProof/>
                <w:webHidden/>
              </w:rPr>
              <w:instrText xml:space="preserve"> PAGEREF _Toc57902791 \h </w:instrText>
            </w:r>
            <w:r w:rsidR="00350268">
              <w:rPr>
                <w:noProof/>
                <w:webHidden/>
              </w:rPr>
            </w:r>
            <w:r w:rsidR="00350268">
              <w:rPr>
                <w:noProof/>
                <w:webHidden/>
              </w:rPr>
              <w:fldChar w:fldCharType="separate"/>
            </w:r>
            <w:r w:rsidR="00350268">
              <w:rPr>
                <w:noProof/>
                <w:webHidden/>
              </w:rPr>
              <w:t>2</w:t>
            </w:r>
            <w:r w:rsidR="00350268">
              <w:rPr>
                <w:noProof/>
                <w:webHidden/>
              </w:rPr>
              <w:fldChar w:fldCharType="end"/>
            </w:r>
          </w:hyperlink>
        </w:p>
        <w:p w14:paraId="12F987EE" w14:textId="6C7B8FD0" w:rsidR="00350268" w:rsidRDefault="00317BA0">
          <w:pPr>
            <w:pStyle w:val="TOC2"/>
            <w:rPr>
              <w:rFonts w:asciiTheme="minorHAnsi" w:eastAsiaTheme="minorEastAsia" w:hAnsiTheme="minorHAnsi" w:cstheme="minorBidi"/>
              <w:noProof/>
              <w:sz w:val="22"/>
              <w:szCs w:val="22"/>
            </w:rPr>
          </w:pPr>
          <w:hyperlink w:anchor="_Toc57902792" w:history="1">
            <w:r w:rsidR="00350268" w:rsidRPr="00120925">
              <w:rPr>
                <w:rStyle w:val="Hyperlink"/>
                <w:b/>
                <w:bCs/>
                <w:noProof/>
              </w:rPr>
              <w:t>2.1</w:t>
            </w:r>
            <w:r w:rsidR="00350268">
              <w:rPr>
                <w:rFonts w:asciiTheme="minorHAnsi" w:eastAsiaTheme="minorEastAsia" w:hAnsiTheme="minorHAnsi" w:cstheme="minorBidi"/>
                <w:noProof/>
                <w:sz w:val="22"/>
                <w:szCs w:val="22"/>
              </w:rPr>
              <w:tab/>
            </w:r>
            <w:r w:rsidR="00350268" w:rsidRPr="00120925">
              <w:rPr>
                <w:rStyle w:val="Hyperlink"/>
                <w:b/>
                <w:noProof/>
              </w:rPr>
              <w:t>Geographical Setting</w:t>
            </w:r>
            <w:r w:rsidR="00350268">
              <w:rPr>
                <w:noProof/>
                <w:webHidden/>
              </w:rPr>
              <w:tab/>
            </w:r>
            <w:r w:rsidR="00350268">
              <w:rPr>
                <w:noProof/>
                <w:webHidden/>
              </w:rPr>
              <w:fldChar w:fldCharType="begin"/>
            </w:r>
            <w:r w:rsidR="00350268">
              <w:rPr>
                <w:noProof/>
                <w:webHidden/>
              </w:rPr>
              <w:instrText xml:space="preserve"> PAGEREF _Toc57902792 \h </w:instrText>
            </w:r>
            <w:r w:rsidR="00350268">
              <w:rPr>
                <w:noProof/>
                <w:webHidden/>
              </w:rPr>
            </w:r>
            <w:r w:rsidR="00350268">
              <w:rPr>
                <w:noProof/>
                <w:webHidden/>
              </w:rPr>
              <w:fldChar w:fldCharType="separate"/>
            </w:r>
            <w:r w:rsidR="00350268">
              <w:rPr>
                <w:noProof/>
                <w:webHidden/>
              </w:rPr>
              <w:t>2</w:t>
            </w:r>
            <w:r w:rsidR="00350268">
              <w:rPr>
                <w:noProof/>
                <w:webHidden/>
              </w:rPr>
              <w:fldChar w:fldCharType="end"/>
            </w:r>
          </w:hyperlink>
        </w:p>
        <w:p w14:paraId="09E0614C" w14:textId="03123884" w:rsidR="00350268" w:rsidRDefault="00317BA0">
          <w:pPr>
            <w:pStyle w:val="TOC3"/>
            <w:tabs>
              <w:tab w:val="left" w:pos="1320"/>
              <w:tab w:val="right" w:leader="dot" w:pos="9782"/>
            </w:tabs>
            <w:rPr>
              <w:noProof/>
            </w:rPr>
          </w:pPr>
          <w:hyperlink w:anchor="_Toc57902793" w:history="1">
            <w:r w:rsidR="00350268" w:rsidRPr="00120925">
              <w:rPr>
                <w:rStyle w:val="Hyperlink"/>
                <w:rFonts w:cs="Times New Roman"/>
                <w:noProof/>
              </w:rPr>
              <w:t>2.1.1</w:t>
            </w:r>
            <w:r w:rsidR="00350268">
              <w:rPr>
                <w:noProof/>
              </w:rPr>
              <w:tab/>
            </w:r>
            <w:r w:rsidR="00350268" w:rsidRPr="00120925">
              <w:rPr>
                <w:rStyle w:val="Hyperlink"/>
                <w:rFonts w:cs="Times New Roman"/>
                <w:noProof/>
              </w:rPr>
              <w:t>Physical Features</w:t>
            </w:r>
            <w:r w:rsidR="00350268">
              <w:rPr>
                <w:noProof/>
                <w:webHidden/>
              </w:rPr>
              <w:tab/>
            </w:r>
            <w:r w:rsidR="00350268">
              <w:rPr>
                <w:noProof/>
                <w:webHidden/>
              </w:rPr>
              <w:fldChar w:fldCharType="begin"/>
            </w:r>
            <w:r w:rsidR="00350268">
              <w:rPr>
                <w:noProof/>
                <w:webHidden/>
              </w:rPr>
              <w:instrText xml:space="preserve"> PAGEREF _Toc57902793 \h </w:instrText>
            </w:r>
            <w:r w:rsidR="00350268">
              <w:rPr>
                <w:noProof/>
                <w:webHidden/>
              </w:rPr>
            </w:r>
            <w:r w:rsidR="00350268">
              <w:rPr>
                <w:noProof/>
                <w:webHidden/>
              </w:rPr>
              <w:fldChar w:fldCharType="separate"/>
            </w:r>
            <w:r w:rsidR="00350268">
              <w:rPr>
                <w:noProof/>
                <w:webHidden/>
              </w:rPr>
              <w:t>2</w:t>
            </w:r>
            <w:r w:rsidR="00350268">
              <w:rPr>
                <w:noProof/>
                <w:webHidden/>
              </w:rPr>
              <w:fldChar w:fldCharType="end"/>
            </w:r>
          </w:hyperlink>
        </w:p>
        <w:p w14:paraId="00015E0E" w14:textId="336662D5" w:rsidR="00350268" w:rsidRDefault="00317BA0">
          <w:pPr>
            <w:pStyle w:val="TOC3"/>
            <w:tabs>
              <w:tab w:val="left" w:pos="1320"/>
              <w:tab w:val="right" w:leader="dot" w:pos="9782"/>
            </w:tabs>
            <w:rPr>
              <w:noProof/>
            </w:rPr>
          </w:pPr>
          <w:hyperlink w:anchor="_Toc57902794" w:history="1">
            <w:r w:rsidR="00350268" w:rsidRPr="00120925">
              <w:rPr>
                <w:rStyle w:val="Hyperlink"/>
                <w:rFonts w:cs="Times New Roman"/>
                <w:noProof/>
              </w:rPr>
              <w:t>2.1.2</w:t>
            </w:r>
            <w:r w:rsidR="00350268">
              <w:rPr>
                <w:noProof/>
              </w:rPr>
              <w:tab/>
            </w:r>
            <w:r w:rsidR="00350268" w:rsidRPr="00120925">
              <w:rPr>
                <w:rStyle w:val="Hyperlink"/>
                <w:rFonts w:cs="Times New Roman"/>
                <w:noProof/>
              </w:rPr>
              <w:t>Climate</w:t>
            </w:r>
            <w:r w:rsidR="00350268">
              <w:rPr>
                <w:noProof/>
                <w:webHidden/>
              </w:rPr>
              <w:tab/>
            </w:r>
            <w:r w:rsidR="00350268">
              <w:rPr>
                <w:noProof/>
                <w:webHidden/>
              </w:rPr>
              <w:fldChar w:fldCharType="begin"/>
            </w:r>
            <w:r w:rsidR="00350268">
              <w:rPr>
                <w:noProof/>
                <w:webHidden/>
              </w:rPr>
              <w:instrText xml:space="preserve"> PAGEREF _Toc57902794 \h </w:instrText>
            </w:r>
            <w:r w:rsidR="00350268">
              <w:rPr>
                <w:noProof/>
                <w:webHidden/>
              </w:rPr>
            </w:r>
            <w:r w:rsidR="00350268">
              <w:rPr>
                <w:noProof/>
                <w:webHidden/>
              </w:rPr>
              <w:fldChar w:fldCharType="separate"/>
            </w:r>
            <w:r w:rsidR="00350268">
              <w:rPr>
                <w:noProof/>
                <w:webHidden/>
              </w:rPr>
              <w:t>3</w:t>
            </w:r>
            <w:r w:rsidR="00350268">
              <w:rPr>
                <w:noProof/>
                <w:webHidden/>
              </w:rPr>
              <w:fldChar w:fldCharType="end"/>
            </w:r>
          </w:hyperlink>
        </w:p>
        <w:p w14:paraId="4F81F077" w14:textId="3B9FC6FC" w:rsidR="00350268" w:rsidRDefault="00317BA0">
          <w:pPr>
            <w:pStyle w:val="TOC2"/>
            <w:rPr>
              <w:rFonts w:asciiTheme="minorHAnsi" w:eastAsiaTheme="minorEastAsia" w:hAnsiTheme="minorHAnsi" w:cstheme="minorBidi"/>
              <w:noProof/>
              <w:sz w:val="22"/>
              <w:szCs w:val="22"/>
            </w:rPr>
          </w:pPr>
          <w:hyperlink w:anchor="_Toc57902795" w:history="1">
            <w:r w:rsidR="00350268" w:rsidRPr="00120925">
              <w:rPr>
                <w:rStyle w:val="Hyperlink"/>
                <w:b/>
                <w:bCs/>
                <w:noProof/>
              </w:rPr>
              <w:t>2.2</w:t>
            </w:r>
            <w:r w:rsidR="00350268">
              <w:rPr>
                <w:rFonts w:asciiTheme="minorHAnsi" w:eastAsiaTheme="minorEastAsia" w:hAnsiTheme="minorHAnsi" w:cstheme="minorBidi"/>
                <w:noProof/>
                <w:sz w:val="22"/>
                <w:szCs w:val="22"/>
              </w:rPr>
              <w:tab/>
            </w:r>
            <w:r w:rsidR="00350268" w:rsidRPr="00120925">
              <w:rPr>
                <w:rStyle w:val="Hyperlink"/>
                <w:b/>
                <w:noProof/>
              </w:rPr>
              <w:t>Demography and Human Development</w:t>
            </w:r>
            <w:r w:rsidR="00350268">
              <w:rPr>
                <w:noProof/>
                <w:webHidden/>
              </w:rPr>
              <w:tab/>
            </w:r>
            <w:r w:rsidR="00350268">
              <w:rPr>
                <w:noProof/>
                <w:webHidden/>
              </w:rPr>
              <w:fldChar w:fldCharType="begin"/>
            </w:r>
            <w:r w:rsidR="00350268">
              <w:rPr>
                <w:noProof/>
                <w:webHidden/>
              </w:rPr>
              <w:instrText xml:space="preserve"> PAGEREF _Toc57902795 \h </w:instrText>
            </w:r>
            <w:r w:rsidR="00350268">
              <w:rPr>
                <w:noProof/>
                <w:webHidden/>
              </w:rPr>
            </w:r>
            <w:r w:rsidR="00350268">
              <w:rPr>
                <w:noProof/>
                <w:webHidden/>
              </w:rPr>
              <w:fldChar w:fldCharType="separate"/>
            </w:r>
            <w:r w:rsidR="00350268">
              <w:rPr>
                <w:noProof/>
                <w:webHidden/>
              </w:rPr>
              <w:t>4</w:t>
            </w:r>
            <w:r w:rsidR="00350268">
              <w:rPr>
                <w:noProof/>
                <w:webHidden/>
              </w:rPr>
              <w:fldChar w:fldCharType="end"/>
            </w:r>
          </w:hyperlink>
        </w:p>
        <w:p w14:paraId="46F2D39B" w14:textId="035C8D1B" w:rsidR="00350268" w:rsidRDefault="00317BA0">
          <w:pPr>
            <w:pStyle w:val="TOC3"/>
            <w:tabs>
              <w:tab w:val="left" w:pos="1320"/>
              <w:tab w:val="right" w:leader="dot" w:pos="9782"/>
            </w:tabs>
            <w:rPr>
              <w:noProof/>
            </w:rPr>
          </w:pPr>
          <w:hyperlink w:anchor="_Toc57902796" w:history="1">
            <w:r w:rsidR="00350268" w:rsidRPr="00120925">
              <w:rPr>
                <w:rStyle w:val="Hyperlink"/>
                <w:rFonts w:cs="Times New Roman"/>
                <w:noProof/>
              </w:rPr>
              <w:t>2.2.1</w:t>
            </w:r>
            <w:r w:rsidR="00350268">
              <w:rPr>
                <w:noProof/>
              </w:rPr>
              <w:tab/>
            </w:r>
            <w:r w:rsidR="00350268" w:rsidRPr="00120925">
              <w:rPr>
                <w:rStyle w:val="Hyperlink"/>
                <w:noProof/>
              </w:rPr>
              <w:t>Population</w:t>
            </w:r>
            <w:r w:rsidR="00350268">
              <w:rPr>
                <w:noProof/>
                <w:webHidden/>
              </w:rPr>
              <w:tab/>
            </w:r>
            <w:r w:rsidR="00350268">
              <w:rPr>
                <w:noProof/>
                <w:webHidden/>
              </w:rPr>
              <w:fldChar w:fldCharType="begin"/>
            </w:r>
            <w:r w:rsidR="00350268">
              <w:rPr>
                <w:noProof/>
                <w:webHidden/>
              </w:rPr>
              <w:instrText xml:space="preserve"> PAGEREF _Toc57902796 \h </w:instrText>
            </w:r>
            <w:r w:rsidR="00350268">
              <w:rPr>
                <w:noProof/>
                <w:webHidden/>
              </w:rPr>
            </w:r>
            <w:r w:rsidR="00350268">
              <w:rPr>
                <w:noProof/>
                <w:webHidden/>
              </w:rPr>
              <w:fldChar w:fldCharType="separate"/>
            </w:r>
            <w:r w:rsidR="00350268">
              <w:rPr>
                <w:noProof/>
                <w:webHidden/>
              </w:rPr>
              <w:t>4</w:t>
            </w:r>
            <w:r w:rsidR="00350268">
              <w:rPr>
                <w:noProof/>
                <w:webHidden/>
              </w:rPr>
              <w:fldChar w:fldCharType="end"/>
            </w:r>
          </w:hyperlink>
        </w:p>
        <w:p w14:paraId="6CACC8DB" w14:textId="5A71892F" w:rsidR="00350268" w:rsidRDefault="00317BA0">
          <w:pPr>
            <w:pStyle w:val="TOC3"/>
            <w:tabs>
              <w:tab w:val="left" w:pos="1320"/>
              <w:tab w:val="right" w:leader="dot" w:pos="9782"/>
            </w:tabs>
            <w:rPr>
              <w:noProof/>
            </w:rPr>
          </w:pPr>
          <w:hyperlink w:anchor="_Toc57902797" w:history="1">
            <w:r w:rsidR="00350268" w:rsidRPr="00120925">
              <w:rPr>
                <w:rStyle w:val="Hyperlink"/>
                <w:rFonts w:cs="Times New Roman"/>
                <w:noProof/>
              </w:rPr>
              <w:t>2.2.2</w:t>
            </w:r>
            <w:r w:rsidR="00350268">
              <w:rPr>
                <w:noProof/>
              </w:rPr>
              <w:tab/>
            </w:r>
            <w:r w:rsidR="00350268" w:rsidRPr="00120925">
              <w:rPr>
                <w:rStyle w:val="Hyperlink"/>
                <w:noProof/>
              </w:rPr>
              <w:t>Zambia</w:t>
            </w:r>
            <w:r w:rsidR="00350268" w:rsidRPr="00120925">
              <w:rPr>
                <w:rStyle w:val="Hyperlink"/>
                <w:rFonts w:cs="Times New Roman"/>
                <w:noProof/>
              </w:rPr>
              <w:t xml:space="preserve"> </w:t>
            </w:r>
            <w:r w:rsidR="00350268" w:rsidRPr="00120925">
              <w:rPr>
                <w:rStyle w:val="Hyperlink"/>
                <w:noProof/>
              </w:rPr>
              <w:t>Governance</w:t>
            </w:r>
            <w:r w:rsidR="00350268">
              <w:rPr>
                <w:noProof/>
                <w:webHidden/>
              </w:rPr>
              <w:tab/>
            </w:r>
            <w:r w:rsidR="00350268">
              <w:rPr>
                <w:noProof/>
                <w:webHidden/>
              </w:rPr>
              <w:fldChar w:fldCharType="begin"/>
            </w:r>
            <w:r w:rsidR="00350268">
              <w:rPr>
                <w:noProof/>
                <w:webHidden/>
              </w:rPr>
              <w:instrText xml:space="preserve"> PAGEREF _Toc57902797 \h </w:instrText>
            </w:r>
            <w:r w:rsidR="00350268">
              <w:rPr>
                <w:noProof/>
                <w:webHidden/>
              </w:rPr>
            </w:r>
            <w:r w:rsidR="00350268">
              <w:rPr>
                <w:noProof/>
                <w:webHidden/>
              </w:rPr>
              <w:fldChar w:fldCharType="separate"/>
            </w:r>
            <w:r w:rsidR="00350268">
              <w:rPr>
                <w:noProof/>
                <w:webHidden/>
              </w:rPr>
              <w:t>5</w:t>
            </w:r>
            <w:r w:rsidR="00350268">
              <w:rPr>
                <w:noProof/>
                <w:webHidden/>
              </w:rPr>
              <w:fldChar w:fldCharType="end"/>
            </w:r>
          </w:hyperlink>
        </w:p>
        <w:p w14:paraId="3BA27ACF" w14:textId="1C72E5BC" w:rsidR="00350268" w:rsidRDefault="00317BA0">
          <w:pPr>
            <w:pStyle w:val="TOC3"/>
            <w:tabs>
              <w:tab w:val="left" w:pos="1320"/>
              <w:tab w:val="right" w:leader="dot" w:pos="9782"/>
            </w:tabs>
            <w:rPr>
              <w:noProof/>
            </w:rPr>
          </w:pPr>
          <w:hyperlink w:anchor="_Toc57902798" w:history="1">
            <w:r w:rsidR="00350268" w:rsidRPr="00120925">
              <w:rPr>
                <w:rStyle w:val="Hyperlink"/>
                <w:rFonts w:cs="Times New Roman"/>
                <w:noProof/>
              </w:rPr>
              <w:t>2.2.3</w:t>
            </w:r>
            <w:r w:rsidR="00350268">
              <w:rPr>
                <w:noProof/>
              </w:rPr>
              <w:tab/>
            </w:r>
            <w:r w:rsidR="00350268" w:rsidRPr="00120925">
              <w:rPr>
                <w:rStyle w:val="Hyperlink"/>
                <w:noProof/>
              </w:rPr>
              <w:t>The</w:t>
            </w:r>
            <w:r w:rsidR="00350268" w:rsidRPr="00120925">
              <w:rPr>
                <w:rStyle w:val="Hyperlink"/>
                <w:rFonts w:cs="Times New Roman"/>
                <w:bCs/>
                <w:noProof/>
              </w:rPr>
              <w:t xml:space="preserve"> </w:t>
            </w:r>
            <w:r w:rsidR="00350268" w:rsidRPr="00120925">
              <w:rPr>
                <w:rStyle w:val="Hyperlink"/>
                <w:noProof/>
              </w:rPr>
              <w:t>State</w:t>
            </w:r>
            <w:r w:rsidR="00350268" w:rsidRPr="00120925">
              <w:rPr>
                <w:rStyle w:val="Hyperlink"/>
                <w:rFonts w:cs="Times New Roman"/>
                <w:bCs/>
                <w:noProof/>
              </w:rPr>
              <w:t xml:space="preserve"> of </w:t>
            </w:r>
            <w:r w:rsidR="00350268" w:rsidRPr="00120925">
              <w:rPr>
                <w:rStyle w:val="Hyperlink"/>
                <w:noProof/>
              </w:rPr>
              <w:t>Human</w:t>
            </w:r>
            <w:r w:rsidR="00350268" w:rsidRPr="00120925">
              <w:rPr>
                <w:rStyle w:val="Hyperlink"/>
                <w:rFonts w:cs="Times New Roman"/>
                <w:bCs/>
                <w:noProof/>
              </w:rPr>
              <w:t xml:space="preserve"> </w:t>
            </w:r>
            <w:r w:rsidR="00350268" w:rsidRPr="00120925">
              <w:rPr>
                <w:rStyle w:val="Hyperlink"/>
                <w:noProof/>
              </w:rPr>
              <w:t>Development</w:t>
            </w:r>
            <w:r w:rsidR="00350268" w:rsidRPr="00120925">
              <w:rPr>
                <w:rStyle w:val="Hyperlink"/>
                <w:rFonts w:cs="Times New Roman"/>
                <w:bCs/>
                <w:noProof/>
              </w:rPr>
              <w:t xml:space="preserve"> in Zambia</w:t>
            </w:r>
            <w:r w:rsidR="00350268">
              <w:rPr>
                <w:noProof/>
                <w:webHidden/>
              </w:rPr>
              <w:tab/>
            </w:r>
            <w:r w:rsidR="00350268">
              <w:rPr>
                <w:noProof/>
                <w:webHidden/>
              </w:rPr>
              <w:fldChar w:fldCharType="begin"/>
            </w:r>
            <w:r w:rsidR="00350268">
              <w:rPr>
                <w:noProof/>
                <w:webHidden/>
              </w:rPr>
              <w:instrText xml:space="preserve"> PAGEREF _Toc57902798 \h </w:instrText>
            </w:r>
            <w:r w:rsidR="00350268">
              <w:rPr>
                <w:noProof/>
                <w:webHidden/>
              </w:rPr>
            </w:r>
            <w:r w:rsidR="00350268">
              <w:rPr>
                <w:noProof/>
                <w:webHidden/>
              </w:rPr>
              <w:fldChar w:fldCharType="separate"/>
            </w:r>
            <w:r w:rsidR="00350268">
              <w:rPr>
                <w:noProof/>
                <w:webHidden/>
              </w:rPr>
              <w:t>5</w:t>
            </w:r>
            <w:r w:rsidR="00350268">
              <w:rPr>
                <w:noProof/>
                <w:webHidden/>
              </w:rPr>
              <w:fldChar w:fldCharType="end"/>
            </w:r>
          </w:hyperlink>
        </w:p>
        <w:p w14:paraId="634E3DC6" w14:textId="7428B010" w:rsidR="00350268" w:rsidRDefault="00317BA0">
          <w:pPr>
            <w:pStyle w:val="TOC2"/>
            <w:rPr>
              <w:rFonts w:asciiTheme="minorHAnsi" w:eastAsiaTheme="minorEastAsia" w:hAnsiTheme="minorHAnsi" w:cstheme="minorBidi"/>
              <w:noProof/>
              <w:sz w:val="22"/>
              <w:szCs w:val="22"/>
            </w:rPr>
          </w:pPr>
          <w:hyperlink w:anchor="_Toc57902799" w:history="1">
            <w:r w:rsidR="00350268" w:rsidRPr="00120925">
              <w:rPr>
                <w:rStyle w:val="Hyperlink"/>
                <w:b/>
                <w:bCs/>
                <w:noProof/>
              </w:rPr>
              <w:t>2.3</w:t>
            </w:r>
            <w:r w:rsidR="00350268">
              <w:rPr>
                <w:rFonts w:asciiTheme="minorHAnsi" w:eastAsiaTheme="minorEastAsia" w:hAnsiTheme="minorHAnsi" w:cstheme="minorBidi"/>
                <w:noProof/>
                <w:sz w:val="22"/>
                <w:szCs w:val="22"/>
              </w:rPr>
              <w:tab/>
            </w:r>
            <w:r w:rsidR="00350268" w:rsidRPr="00120925">
              <w:rPr>
                <w:rStyle w:val="Hyperlink"/>
                <w:b/>
                <w:noProof/>
              </w:rPr>
              <w:t>Policy Environment and Reforms</w:t>
            </w:r>
            <w:r w:rsidR="00350268">
              <w:rPr>
                <w:noProof/>
                <w:webHidden/>
              </w:rPr>
              <w:tab/>
            </w:r>
            <w:r w:rsidR="00350268">
              <w:rPr>
                <w:noProof/>
                <w:webHidden/>
              </w:rPr>
              <w:fldChar w:fldCharType="begin"/>
            </w:r>
            <w:r w:rsidR="00350268">
              <w:rPr>
                <w:noProof/>
                <w:webHidden/>
              </w:rPr>
              <w:instrText xml:space="preserve"> PAGEREF _Toc57902799 \h </w:instrText>
            </w:r>
            <w:r w:rsidR="00350268">
              <w:rPr>
                <w:noProof/>
                <w:webHidden/>
              </w:rPr>
            </w:r>
            <w:r w:rsidR="00350268">
              <w:rPr>
                <w:noProof/>
                <w:webHidden/>
              </w:rPr>
              <w:fldChar w:fldCharType="separate"/>
            </w:r>
            <w:r w:rsidR="00350268">
              <w:rPr>
                <w:noProof/>
                <w:webHidden/>
              </w:rPr>
              <w:t>6</w:t>
            </w:r>
            <w:r w:rsidR="00350268">
              <w:rPr>
                <w:noProof/>
                <w:webHidden/>
              </w:rPr>
              <w:fldChar w:fldCharType="end"/>
            </w:r>
          </w:hyperlink>
        </w:p>
        <w:p w14:paraId="4BA4C852" w14:textId="47DC7139" w:rsidR="00350268" w:rsidRDefault="00317BA0">
          <w:pPr>
            <w:pStyle w:val="TOC2"/>
            <w:rPr>
              <w:rFonts w:asciiTheme="minorHAnsi" w:eastAsiaTheme="minorEastAsia" w:hAnsiTheme="minorHAnsi" w:cstheme="minorBidi"/>
              <w:noProof/>
              <w:sz w:val="22"/>
              <w:szCs w:val="22"/>
            </w:rPr>
          </w:pPr>
          <w:hyperlink w:anchor="_Toc57902800" w:history="1">
            <w:r w:rsidR="00350268" w:rsidRPr="00120925">
              <w:rPr>
                <w:rStyle w:val="Hyperlink"/>
                <w:b/>
                <w:bCs/>
                <w:noProof/>
              </w:rPr>
              <w:t>2.4</w:t>
            </w:r>
            <w:r w:rsidR="00350268">
              <w:rPr>
                <w:rFonts w:asciiTheme="minorHAnsi" w:eastAsiaTheme="minorEastAsia" w:hAnsiTheme="minorHAnsi" w:cstheme="minorBidi"/>
                <w:noProof/>
                <w:sz w:val="22"/>
                <w:szCs w:val="22"/>
              </w:rPr>
              <w:tab/>
            </w:r>
            <w:r w:rsidR="00350268" w:rsidRPr="00120925">
              <w:rPr>
                <w:rStyle w:val="Hyperlink"/>
                <w:b/>
                <w:noProof/>
              </w:rPr>
              <w:t>Natural Resources and the Economy</w:t>
            </w:r>
            <w:r w:rsidR="00350268">
              <w:rPr>
                <w:noProof/>
                <w:webHidden/>
              </w:rPr>
              <w:tab/>
            </w:r>
            <w:r w:rsidR="00350268">
              <w:rPr>
                <w:noProof/>
                <w:webHidden/>
              </w:rPr>
              <w:fldChar w:fldCharType="begin"/>
            </w:r>
            <w:r w:rsidR="00350268">
              <w:rPr>
                <w:noProof/>
                <w:webHidden/>
              </w:rPr>
              <w:instrText xml:space="preserve"> PAGEREF _Toc57902800 \h </w:instrText>
            </w:r>
            <w:r w:rsidR="00350268">
              <w:rPr>
                <w:noProof/>
                <w:webHidden/>
              </w:rPr>
            </w:r>
            <w:r w:rsidR="00350268">
              <w:rPr>
                <w:noProof/>
                <w:webHidden/>
              </w:rPr>
              <w:fldChar w:fldCharType="separate"/>
            </w:r>
            <w:r w:rsidR="00350268">
              <w:rPr>
                <w:noProof/>
                <w:webHidden/>
              </w:rPr>
              <w:t>8</w:t>
            </w:r>
            <w:r w:rsidR="00350268">
              <w:rPr>
                <w:noProof/>
                <w:webHidden/>
              </w:rPr>
              <w:fldChar w:fldCharType="end"/>
            </w:r>
          </w:hyperlink>
        </w:p>
        <w:p w14:paraId="0BA5C124" w14:textId="7D1D59A4" w:rsidR="00350268" w:rsidRDefault="00317BA0">
          <w:pPr>
            <w:pStyle w:val="TOC3"/>
            <w:tabs>
              <w:tab w:val="left" w:pos="1320"/>
              <w:tab w:val="right" w:leader="dot" w:pos="9782"/>
            </w:tabs>
            <w:rPr>
              <w:noProof/>
            </w:rPr>
          </w:pPr>
          <w:hyperlink w:anchor="_Toc57902801" w:history="1">
            <w:r w:rsidR="00350268" w:rsidRPr="00120925">
              <w:rPr>
                <w:rStyle w:val="Hyperlink"/>
                <w:rFonts w:cs="Times New Roman"/>
                <w:noProof/>
              </w:rPr>
              <w:t>2.4.1</w:t>
            </w:r>
            <w:r w:rsidR="00350268">
              <w:rPr>
                <w:noProof/>
              </w:rPr>
              <w:tab/>
            </w:r>
            <w:r w:rsidR="00350268" w:rsidRPr="00120925">
              <w:rPr>
                <w:rStyle w:val="Hyperlink"/>
                <w:noProof/>
              </w:rPr>
              <w:t>Economy</w:t>
            </w:r>
            <w:r w:rsidR="00350268">
              <w:rPr>
                <w:noProof/>
                <w:webHidden/>
              </w:rPr>
              <w:tab/>
            </w:r>
            <w:r w:rsidR="00350268">
              <w:rPr>
                <w:noProof/>
                <w:webHidden/>
              </w:rPr>
              <w:fldChar w:fldCharType="begin"/>
            </w:r>
            <w:r w:rsidR="00350268">
              <w:rPr>
                <w:noProof/>
                <w:webHidden/>
              </w:rPr>
              <w:instrText xml:space="preserve"> PAGEREF _Toc57902801 \h </w:instrText>
            </w:r>
            <w:r w:rsidR="00350268">
              <w:rPr>
                <w:noProof/>
                <w:webHidden/>
              </w:rPr>
            </w:r>
            <w:r w:rsidR="00350268">
              <w:rPr>
                <w:noProof/>
                <w:webHidden/>
              </w:rPr>
              <w:fldChar w:fldCharType="separate"/>
            </w:r>
            <w:r w:rsidR="00350268">
              <w:rPr>
                <w:noProof/>
                <w:webHidden/>
              </w:rPr>
              <w:t>8</w:t>
            </w:r>
            <w:r w:rsidR="00350268">
              <w:rPr>
                <w:noProof/>
                <w:webHidden/>
              </w:rPr>
              <w:fldChar w:fldCharType="end"/>
            </w:r>
          </w:hyperlink>
        </w:p>
        <w:p w14:paraId="70EF4343" w14:textId="7952237C" w:rsidR="00350268" w:rsidRDefault="00317BA0">
          <w:pPr>
            <w:pStyle w:val="TOC3"/>
            <w:tabs>
              <w:tab w:val="left" w:pos="1320"/>
              <w:tab w:val="right" w:leader="dot" w:pos="9782"/>
            </w:tabs>
            <w:rPr>
              <w:noProof/>
            </w:rPr>
          </w:pPr>
          <w:hyperlink w:anchor="_Toc57902802" w:history="1">
            <w:r w:rsidR="00350268" w:rsidRPr="00120925">
              <w:rPr>
                <w:rStyle w:val="Hyperlink"/>
                <w:rFonts w:cs="Times New Roman"/>
                <w:noProof/>
              </w:rPr>
              <w:t>2.4.2</w:t>
            </w:r>
            <w:r w:rsidR="00350268">
              <w:rPr>
                <w:noProof/>
              </w:rPr>
              <w:tab/>
            </w:r>
            <w:r w:rsidR="00350268" w:rsidRPr="00120925">
              <w:rPr>
                <w:rStyle w:val="Hyperlink"/>
                <w:rFonts w:cs="Times New Roman"/>
                <w:bCs/>
                <w:noProof/>
              </w:rPr>
              <w:t>Agriculture, Livestock and Fisheries</w:t>
            </w:r>
            <w:r w:rsidR="00350268">
              <w:rPr>
                <w:noProof/>
                <w:webHidden/>
              </w:rPr>
              <w:tab/>
            </w:r>
            <w:r w:rsidR="00350268">
              <w:rPr>
                <w:noProof/>
                <w:webHidden/>
              </w:rPr>
              <w:fldChar w:fldCharType="begin"/>
            </w:r>
            <w:r w:rsidR="00350268">
              <w:rPr>
                <w:noProof/>
                <w:webHidden/>
              </w:rPr>
              <w:instrText xml:space="preserve"> PAGEREF _Toc57902802 \h </w:instrText>
            </w:r>
            <w:r w:rsidR="00350268">
              <w:rPr>
                <w:noProof/>
                <w:webHidden/>
              </w:rPr>
            </w:r>
            <w:r w:rsidR="00350268">
              <w:rPr>
                <w:noProof/>
                <w:webHidden/>
              </w:rPr>
              <w:fldChar w:fldCharType="separate"/>
            </w:r>
            <w:r w:rsidR="00350268">
              <w:rPr>
                <w:noProof/>
                <w:webHidden/>
              </w:rPr>
              <w:t>9</w:t>
            </w:r>
            <w:r w:rsidR="00350268">
              <w:rPr>
                <w:noProof/>
                <w:webHidden/>
              </w:rPr>
              <w:fldChar w:fldCharType="end"/>
            </w:r>
          </w:hyperlink>
        </w:p>
        <w:p w14:paraId="25F46298" w14:textId="09FEC78A" w:rsidR="00350268" w:rsidRDefault="00317BA0">
          <w:pPr>
            <w:pStyle w:val="TOC3"/>
            <w:tabs>
              <w:tab w:val="left" w:pos="1320"/>
              <w:tab w:val="right" w:leader="dot" w:pos="9782"/>
            </w:tabs>
            <w:rPr>
              <w:noProof/>
            </w:rPr>
          </w:pPr>
          <w:hyperlink w:anchor="_Toc57902803" w:history="1">
            <w:r w:rsidR="00350268" w:rsidRPr="00120925">
              <w:rPr>
                <w:rStyle w:val="Hyperlink"/>
                <w:rFonts w:cs="Times New Roman"/>
                <w:noProof/>
              </w:rPr>
              <w:t>2.4.3</w:t>
            </w:r>
            <w:r w:rsidR="00350268">
              <w:rPr>
                <w:noProof/>
              </w:rPr>
              <w:tab/>
            </w:r>
            <w:r w:rsidR="00350268" w:rsidRPr="00120925">
              <w:rPr>
                <w:rStyle w:val="Hyperlink"/>
                <w:noProof/>
              </w:rPr>
              <w:t>Forestry</w:t>
            </w:r>
            <w:r w:rsidR="00350268">
              <w:rPr>
                <w:noProof/>
                <w:webHidden/>
              </w:rPr>
              <w:tab/>
            </w:r>
            <w:r w:rsidR="00350268">
              <w:rPr>
                <w:noProof/>
                <w:webHidden/>
              </w:rPr>
              <w:fldChar w:fldCharType="begin"/>
            </w:r>
            <w:r w:rsidR="00350268">
              <w:rPr>
                <w:noProof/>
                <w:webHidden/>
              </w:rPr>
              <w:instrText xml:space="preserve"> PAGEREF _Toc57902803 \h </w:instrText>
            </w:r>
            <w:r w:rsidR="00350268">
              <w:rPr>
                <w:noProof/>
                <w:webHidden/>
              </w:rPr>
            </w:r>
            <w:r w:rsidR="00350268">
              <w:rPr>
                <w:noProof/>
                <w:webHidden/>
              </w:rPr>
              <w:fldChar w:fldCharType="separate"/>
            </w:r>
            <w:r w:rsidR="00350268">
              <w:rPr>
                <w:noProof/>
                <w:webHidden/>
              </w:rPr>
              <w:t>11</w:t>
            </w:r>
            <w:r w:rsidR="00350268">
              <w:rPr>
                <w:noProof/>
                <w:webHidden/>
              </w:rPr>
              <w:fldChar w:fldCharType="end"/>
            </w:r>
          </w:hyperlink>
        </w:p>
        <w:p w14:paraId="2B77216F" w14:textId="6A3B574C" w:rsidR="00350268" w:rsidRDefault="00317BA0">
          <w:pPr>
            <w:pStyle w:val="TOC3"/>
            <w:tabs>
              <w:tab w:val="left" w:pos="1320"/>
              <w:tab w:val="right" w:leader="dot" w:pos="9782"/>
            </w:tabs>
            <w:rPr>
              <w:noProof/>
            </w:rPr>
          </w:pPr>
          <w:hyperlink w:anchor="_Toc57902804" w:history="1">
            <w:r w:rsidR="00350268" w:rsidRPr="00120925">
              <w:rPr>
                <w:rStyle w:val="Hyperlink"/>
                <w:rFonts w:cs="Times New Roman"/>
                <w:noProof/>
              </w:rPr>
              <w:t>2.4.4</w:t>
            </w:r>
            <w:r w:rsidR="00350268">
              <w:rPr>
                <w:noProof/>
              </w:rPr>
              <w:tab/>
            </w:r>
            <w:r w:rsidR="00350268" w:rsidRPr="00120925">
              <w:rPr>
                <w:rStyle w:val="Hyperlink"/>
                <w:noProof/>
              </w:rPr>
              <w:t>Wildlife and Tourism</w:t>
            </w:r>
            <w:r w:rsidR="00350268">
              <w:rPr>
                <w:noProof/>
                <w:webHidden/>
              </w:rPr>
              <w:tab/>
            </w:r>
            <w:r w:rsidR="00350268">
              <w:rPr>
                <w:noProof/>
                <w:webHidden/>
              </w:rPr>
              <w:fldChar w:fldCharType="begin"/>
            </w:r>
            <w:r w:rsidR="00350268">
              <w:rPr>
                <w:noProof/>
                <w:webHidden/>
              </w:rPr>
              <w:instrText xml:space="preserve"> PAGEREF _Toc57902804 \h </w:instrText>
            </w:r>
            <w:r w:rsidR="00350268">
              <w:rPr>
                <w:noProof/>
                <w:webHidden/>
              </w:rPr>
            </w:r>
            <w:r w:rsidR="00350268">
              <w:rPr>
                <w:noProof/>
                <w:webHidden/>
              </w:rPr>
              <w:fldChar w:fldCharType="separate"/>
            </w:r>
            <w:r w:rsidR="00350268">
              <w:rPr>
                <w:noProof/>
                <w:webHidden/>
              </w:rPr>
              <w:t>11</w:t>
            </w:r>
            <w:r w:rsidR="00350268">
              <w:rPr>
                <w:noProof/>
                <w:webHidden/>
              </w:rPr>
              <w:fldChar w:fldCharType="end"/>
            </w:r>
          </w:hyperlink>
        </w:p>
        <w:p w14:paraId="144A6C5A" w14:textId="61D98604" w:rsidR="00350268" w:rsidRDefault="00317BA0">
          <w:pPr>
            <w:pStyle w:val="TOC3"/>
            <w:tabs>
              <w:tab w:val="left" w:pos="1320"/>
              <w:tab w:val="right" w:leader="dot" w:pos="9782"/>
            </w:tabs>
            <w:rPr>
              <w:noProof/>
            </w:rPr>
          </w:pPr>
          <w:hyperlink w:anchor="_Toc57902805" w:history="1">
            <w:r w:rsidR="00350268" w:rsidRPr="00120925">
              <w:rPr>
                <w:rStyle w:val="Hyperlink"/>
                <w:rFonts w:cs="Times New Roman"/>
                <w:noProof/>
              </w:rPr>
              <w:t>2.4.5</w:t>
            </w:r>
            <w:r w:rsidR="00350268">
              <w:rPr>
                <w:noProof/>
              </w:rPr>
              <w:tab/>
            </w:r>
            <w:r w:rsidR="00350268" w:rsidRPr="00120925">
              <w:rPr>
                <w:rStyle w:val="Hyperlink"/>
                <w:noProof/>
              </w:rPr>
              <w:t>Mining</w:t>
            </w:r>
            <w:r w:rsidR="00350268">
              <w:rPr>
                <w:noProof/>
                <w:webHidden/>
              </w:rPr>
              <w:tab/>
            </w:r>
            <w:r w:rsidR="00350268">
              <w:rPr>
                <w:noProof/>
                <w:webHidden/>
              </w:rPr>
              <w:fldChar w:fldCharType="begin"/>
            </w:r>
            <w:r w:rsidR="00350268">
              <w:rPr>
                <w:noProof/>
                <w:webHidden/>
              </w:rPr>
              <w:instrText xml:space="preserve"> PAGEREF _Toc57902805 \h </w:instrText>
            </w:r>
            <w:r w:rsidR="00350268">
              <w:rPr>
                <w:noProof/>
                <w:webHidden/>
              </w:rPr>
            </w:r>
            <w:r w:rsidR="00350268">
              <w:rPr>
                <w:noProof/>
                <w:webHidden/>
              </w:rPr>
              <w:fldChar w:fldCharType="separate"/>
            </w:r>
            <w:r w:rsidR="00350268">
              <w:rPr>
                <w:noProof/>
                <w:webHidden/>
              </w:rPr>
              <w:t>12</w:t>
            </w:r>
            <w:r w:rsidR="00350268">
              <w:rPr>
                <w:noProof/>
                <w:webHidden/>
              </w:rPr>
              <w:fldChar w:fldCharType="end"/>
            </w:r>
          </w:hyperlink>
        </w:p>
        <w:p w14:paraId="062B880C" w14:textId="74C8F7F0" w:rsidR="00350268" w:rsidRDefault="00317BA0">
          <w:pPr>
            <w:pStyle w:val="TOC3"/>
            <w:tabs>
              <w:tab w:val="left" w:pos="1320"/>
              <w:tab w:val="right" w:leader="dot" w:pos="9782"/>
            </w:tabs>
            <w:rPr>
              <w:noProof/>
            </w:rPr>
          </w:pPr>
          <w:hyperlink w:anchor="_Toc57902806" w:history="1">
            <w:r w:rsidR="00350268" w:rsidRPr="00120925">
              <w:rPr>
                <w:rStyle w:val="Hyperlink"/>
                <w:rFonts w:cs="Times New Roman"/>
                <w:noProof/>
              </w:rPr>
              <w:t>2.4.6</w:t>
            </w:r>
            <w:r w:rsidR="00350268">
              <w:rPr>
                <w:noProof/>
              </w:rPr>
              <w:tab/>
            </w:r>
            <w:r w:rsidR="00350268" w:rsidRPr="00120925">
              <w:rPr>
                <w:rStyle w:val="Hyperlink"/>
                <w:rFonts w:cs="Times New Roman"/>
                <w:bCs/>
                <w:noProof/>
              </w:rPr>
              <w:t>Transport</w:t>
            </w:r>
            <w:r w:rsidR="00350268">
              <w:rPr>
                <w:noProof/>
                <w:webHidden/>
              </w:rPr>
              <w:tab/>
            </w:r>
            <w:r w:rsidR="00350268">
              <w:rPr>
                <w:noProof/>
                <w:webHidden/>
              </w:rPr>
              <w:fldChar w:fldCharType="begin"/>
            </w:r>
            <w:r w:rsidR="00350268">
              <w:rPr>
                <w:noProof/>
                <w:webHidden/>
              </w:rPr>
              <w:instrText xml:space="preserve"> PAGEREF _Toc57902806 \h </w:instrText>
            </w:r>
            <w:r w:rsidR="00350268">
              <w:rPr>
                <w:noProof/>
                <w:webHidden/>
              </w:rPr>
            </w:r>
            <w:r w:rsidR="00350268">
              <w:rPr>
                <w:noProof/>
                <w:webHidden/>
              </w:rPr>
              <w:fldChar w:fldCharType="separate"/>
            </w:r>
            <w:r w:rsidR="00350268">
              <w:rPr>
                <w:noProof/>
                <w:webHidden/>
              </w:rPr>
              <w:t>13</w:t>
            </w:r>
            <w:r w:rsidR="00350268">
              <w:rPr>
                <w:noProof/>
                <w:webHidden/>
              </w:rPr>
              <w:fldChar w:fldCharType="end"/>
            </w:r>
          </w:hyperlink>
        </w:p>
        <w:p w14:paraId="4F0EF58C" w14:textId="06E5A84F" w:rsidR="00350268" w:rsidRDefault="00317BA0">
          <w:pPr>
            <w:pStyle w:val="TOC3"/>
            <w:tabs>
              <w:tab w:val="left" w:pos="1320"/>
              <w:tab w:val="right" w:leader="dot" w:pos="9782"/>
            </w:tabs>
            <w:rPr>
              <w:noProof/>
            </w:rPr>
          </w:pPr>
          <w:hyperlink w:anchor="_Toc57902807" w:history="1">
            <w:r w:rsidR="00350268" w:rsidRPr="00120925">
              <w:rPr>
                <w:rStyle w:val="Hyperlink"/>
                <w:rFonts w:cs="Times New Roman"/>
                <w:noProof/>
              </w:rPr>
              <w:t>2.4.7</w:t>
            </w:r>
            <w:r w:rsidR="00350268">
              <w:rPr>
                <w:noProof/>
              </w:rPr>
              <w:tab/>
            </w:r>
            <w:r w:rsidR="00350268" w:rsidRPr="00120925">
              <w:rPr>
                <w:rStyle w:val="Hyperlink"/>
                <w:rFonts w:cs="Times New Roman"/>
                <w:bCs/>
                <w:noProof/>
              </w:rPr>
              <w:t>Construction</w:t>
            </w:r>
            <w:r w:rsidR="00350268">
              <w:rPr>
                <w:noProof/>
                <w:webHidden/>
              </w:rPr>
              <w:tab/>
            </w:r>
            <w:r w:rsidR="00350268">
              <w:rPr>
                <w:noProof/>
                <w:webHidden/>
              </w:rPr>
              <w:fldChar w:fldCharType="begin"/>
            </w:r>
            <w:r w:rsidR="00350268">
              <w:rPr>
                <w:noProof/>
                <w:webHidden/>
              </w:rPr>
              <w:instrText xml:space="preserve"> PAGEREF _Toc57902807 \h </w:instrText>
            </w:r>
            <w:r w:rsidR="00350268">
              <w:rPr>
                <w:noProof/>
                <w:webHidden/>
              </w:rPr>
            </w:r>
            <w:r w:rsidR="00350268">
              <w:rPr>
                <w:noProof/>
                <w:webHidden/>
              </w:rPr>
              <w:fldChar w:fldCharType="separate"/>
            </w:r>
            <w:r w:rsidR="00350268">
              <w:rPr>
                <w:noProof/>
                <w:webHidden/>
              </w:rPr>
              <w:t>13</w:t>
            </w:r>
            <w:r w:rsidR="00350268">
              <w:rPr>
                <w:noProof/>
                <w:webHidden/>
              </w:rPr>
              <w:fldChar w:fldCharType="end"/>
            </w:r>
          </w:hyperlink>
        </w:p>
        <w:p w14:paraId="0BEED6C0" w14:textId="25EBAD10" w:rsidR="00350268" w:rsidRDefault="00317BA0">
          <w:pPr>
            <w:pStyle w:val="TOC3"/>
            <w:tabs>
              <w:tab w:val="left" w:pos="1320"/>
              <w:tab w:val="right" w:leader="dot" w:pos="9782"/>
            </w:tabs>
            <w:rPr>
              <w:noProof/>
            </w:rPr>
          </w:pPr>
          <w:hyperlink w:anchor="_Toc57902808" w:history="1">
            <w:r w:rsidR="00350268" w:rsidRPr="00120925">
              <w:rPr>
                <w:rStyle w:val="Hyperlink"/>
                <w:rFonts w:cs="Times New Roman"/>
                <w:noProof/>
              </w:rPr>
              <w:t>2.4.8</w:t>
            </w:r>
            <w:r w:rsidR="00350268">
              <w:rPr>
                <w:noProof/>
              </w:rPr>
              <w:tab/>
            </w:r>
            <w:r w:rsidR="00350268" w:rsidRPr="00120925">
              <w:rPr>
                <w:rStyle w:val="Hyperlink"/>
                <w:rFonts w:cs="Times New Roman"/>
                <w:bCs/>
                <w:noProof/>
              </w:rPr>
              <w:t>Manufacturing</w:t>
            </w:r>
            <w:r w:rsidR="00350268">
              <w:rPr>
                <w:noProof/>
                <w:webHidden/>
              </w:rPr>
              <w:tab/>
            </w:r>
            <w:r w:rsidR="00350268">
              <w:rPr>
                <w:noProof/>
                <w:webHidden/>
              </w:rPr>
              <w:fldChar w:fldCharType="begin"/>
            </w:r>
            <w:r w:rsidR="00350268">
              <w:rPr>
                <w:noProof/>
                <w:webHidden/>
              </w:rPr>
              <w:instrText xml:space="preserve"> PAGEREF _Toc57902808 \h </w:instrText>
            </w:r>
            <w:r w:rsidR="00350268">
              <w:rPr>
                <w:noProof/>
                <w:webHidden/>
              </w:rPr>
            </w:r>
            <w:r w:rsidR="00350268">
              <w:rPr>
                <w:noProof/>
                <w:webHidden/>
              </w:rPr>
              <w:fldChar w:fldCharType="separate"/>
            </w:r>
            <w:r w:rsidR="00350268">
              <w:rPr>
                <w:noProof/>
                <w:webHidden/>
              </w:rPr>
              <w:t>14</w:t>
            </w:r>
            <w:r w:rsidR="00350268">
              <w:rPr>
                <w:noProof/>
                <w:webHidden/>
              </w:rPr>
              <w:fldChar w:fldCharType="end"/>
            </w:r>
          </w:hyperlink>
        </w:p>
        <w:p w14:paraId="64B143E3" w14:textId="61A3349E" w:rsidR="00350268" w:rsidRDefault="00317BA0">
          <w:pPr>
            <w:pStyle w:val="TOC3"/>
            <w:tabs>
              <w:tab w:val="left" w:pos="1320"/>
              <w:tab w:val="right" w:leader="dot" w:pos="9782"/>
            </w:tabs>
            <w:rPr>
              <w:noProof/>
            </w:rPr>
          </w:pPr>
          <w:hyperlink w:anchor="_Toc57902809" w:history="1">
            <w:r w:rsidR="00350268" w:rsidRPr="00120925">
              <w:rPr>
                <w:rStyle w:val="Hyperlink"/>
                <w:rFonts w:cs="Times New Roman"/>
                <w:noProof/>
              </w:rPr>
              <w:t>2.4.9</w:t>
            </w:r>
            <w:r w:rsidR="00350268">
              <w:rPr>
                <w:noProof/>
              </w:rPr>
              <w:tab/>
            </w:r>
            <w:r w:rsidR="00350268" w:rsidRPr="00120925">
              <w:rPr>
                <w:rStyle w:val="Hyperlink"/>
                <w:rFonts w:cs="Times New Roman"/>
                <w:bCs/>
                <w:noProof/>
              </w:rPr>
              <w:t>Energy</w:t>
            </w:r>
            <w:r w:rsidR="00350268">
              <w:rPr>
                <w:noProof/>
                <w:webHidden/>
              </w:rPr>
              <w:tab/>
            </w:r>
            <w:r w:rsidR="00350268">
              <w:rPr>
                <w:noProof/>
                <w:webHidden/>
              </w:rPr>
              <w:fldChar w:fldCharType="begin"/>
            </w:r>
            <w:r w:rsidR="00350268">
              <w:rPr>
                <w:noProof/>
                <w:webHidden/>
              </w:rPr>
              <w:instrText xml:space="preserve"> PAGEREF _Toc57902809 \h </w:instrText>
            </w:r>
            <w:r w:rsidR="00350268">
              <w:rPr>
                <w:noProof/>
                <w:webHidden/>
              </w:rPr>
            </w:r>
            <w:r w:rsidR="00350268">
              <w:rPr>
                <w:noProof/>
                <w:webHidden/>
              </w:rPr>
              <w:fldChar w:fldCharType="separate"/>
            </w:r>
            <w:r w:rsidR="00350268">
              <w:rPr>
                <w:noProof/>
                <w:webHidden/>
              </w:rPr>
              <w:t>14</w:t>
            </w:r>
            <w:r w:rsidR="00350268">
              <w:rPr>
                <w:noProof/>
                <w:webHidden/>
              </w:rPr>
              <w:fldChar w:fldCharType="end"/>
            </w:r>
          </w:hyperlink>
        </w:p>
        <w:p w14:paraId="7F8647E2" w14:textId="69704BCE" w:rsidR="00350268" w:rsidRDefault="00317BA0">
          <w:pPr>
            <w:pStyle w:val="TOC2"/>
            <w:rPr>
              <w:rFonts w:asciiTheme="minorHAnsi" w:eastAsiaTheme="minorEastAsia" w:hAnsiTheme="minorHAnsi" w:cstheme="minorBidi"/>
              <w:noProof/>
              <w:sz w:val="22"/>
              <w:szCs w:val="22"/>
            </w:rPr>
          </w:pPr>
          <w:hyperlink w:anchor="_Toc57902810" w:history="1">
            <w:r w:rsidR="00350268" w:rsidRPr="00120925">
              <w:rPr>
                <w:rStyle w:val="Hyperlink"/>
                <w:b/>
                <w:bCs/>
                <w:noProof/>
              </w:rPr>
              <w:t>2.5</w:t>
            </w:r>
            <w:r w:rsidR="00350268">
              <w:rPr>
                <w:rFonts w:asciiTheme="minorHAnsi" w:eastAsiaTheme="minorEastAsia" w:hAnsiTheme="minorHAnsi" w:cstheme="minorBidi"/>
                <w:noProof/>
                <w:sz w:val="22"/>
                <w:szCs w:val="22"/>
              </w:rPr>
              <w:tab/>
            </w:r>
            <w:r w:rsidR="00350268" w:rsidRPr="00120925">
              <w:rPr>
                <w:rStyle w:val="Hyperlink"/>
                <w:b/>
                <w:noProof/>
              </w:rPr>
              <w:t>Institutional Arrangement for Climate Change Implementation</w:t>
            </w:r>
            <w:r w:rsidR="00350268">
              <w:rPr>
                <w:noProof/>
                <w:webHidden/>
              </w:rPr>
              <w:tab/>
            </w:r>
            <w:r w:rsidR="00350268">
              <w:rPr>
                <w:noProof/>
                <w:webHidden/>
              </w:rPr>
              <w:fldChar w:fldCharType="begin"/>
            </w:r>
            <w:r w:rsidR="00350268">
              <w:rPr>
                <w:noProof/>
                <w:webHidden/>
              </w:rPr>
              <w:instrText xml:space="preserve"> PAGEREF _Toc57902810 \h </w:instrText>
            </w:r>
            <w:r w:rsidR="00350268">
              <w:rPr>
                <w:noProof/>
                <w:webHidden/>
              </w:rPr>
            </w:r>
            <w:r w:rsidR="00350268">
              <w:rPr>
                <w:noProof/>
                <w:webHidden/>
              </w:rPr>
              <w:fldChar w:fldCharType="separate"/>
            </w:r>
            <w:r w:rsidR="00350268">
              <w:rPr>
                <w:noProof/>
                <w:webHidden/>
              </w:rPr>
              <w:t>15</w:t>
            </w:r>
            <w:r w:rsidR="00350268">
              <w:rPr>
                <w:noProof/>
                <w:webHidden/>
              </w:rPr>
              <w:fldChar w:fldCharType="end"/>
            </w:r>
          </w:hyperlink>
        </w:p>
        <w:p w14:paraId="5D80A2EF" w14:textId="0891BE73" w:rsidR="00350268" w:rsidRDefault="00317BA0">
          <w:pPr>
            <w:pStyle w:val="TOC3"/>
            <w:tabs>
              <w:tab w:val="left" w:pos="1320"/>
              <w:tab w:val="right" w:leader="dot" w:pos="9782"/>
            </w:tabs>
            <w:rPr>
              <w:noProof/>
            </w:rPr>
          </w:pPr>
          <w:hyperlink w:anchor="_Toc57902811" w:history="1">
            <w:r w:rsidR="00350268" w:rsidRPr="00120925">
              <w:rPr>
                <w:rStyle w:val="Hyperlink"/>
                <w:rFonts w:cs="Times New Roman"/>
                <w:noProof/>
              </w:rPr>
              <w:t>2.5.1</w:t>
            </w:r>
            <w:r w:rsidR="00350268">
              <w:rPr>
                <w:noProof/>
              </w:rPr>
              <w:tab/>
            </w:r>
            <w:r w:rsidR="00350268" w:rsidRPr="00120925">
              <w:rPr>
                <w:rStyle w:val="Hyperlink"/>
                <w:noProof/>
              </w:rPr>
              <w:t>Institutional Arrangements for preparation of the Biennial Update Report</w:t>
            </w:r>
            <w:r w:rsidR="00350268">
              <w:rPr>
                <w:noProof/>
                <w:webHidden/>
              </w:rPr>
              <w:tab/>
            </w:r>
            <w:r w:rsidR="00350268">
              <w:rPr>
                <w:noProof/>
                <w:webHidden/>
              </w:rPr>
              <w:fldChar w:fldCharType="begin"/>
            </w:r>
            <w:r w:rsidR="00350268">
              <w:rPr>
                <w:noProof/>
                <w:webHidden/>
              </w:rPr>
              <w:instrText xml:space="preserve"> PAGEREF _Toc57902811 \h </w:instrText>
            </w:r>
            <w:r w:rsidR="00350268">
              <w:rPr>
                <w:noProof/>
                <w:webHidden/>
              </w:rPr>
            </w:r>
            <w:r w:rsidR="00350268">
              <w:rPr>
                <w:noProof/>
                <w:webHidden/>
              </w:rPr>
              <w:fldChar w:fldCharType="separate"/>
            </w:r>
            <w:r w:rsidR="00350268">
              <w:rPr>
                <w:noProof/>
                <w:webHidden/>
              </w:rPr>
              <w:t>16</w:t>
            </w:r>
            <w:r w:rsidR="00350268">
              <w:rPr>
                <w:noProof/>
                <w:webHidden/>
              </w:rPr>
              <w:fldChar w:fldCharType="end"/>
            </w:r>
          </w:hyperlink>
        </w:p>
        <w:p w14:paraId="2AF79227" w14:textId="6F2B66D4" w:rsidR="00350268" w:rsidRDefault="00317BA0">
          <w:pPr>
            <w:pStyle w:val="TOC1"/>
            <w:tabs>
              <w:tab w:val="left" w:pos="660"/>
              <w:tab w:val="right" w:leader="dot" w:pos="9782"/>
            </w:tabs>
            <w:rPr>
              <w:rFonts w:asciiTheme="minorHAnsi" w:eastAsiaTheme="minorEastAsia" w:hAnsiTheme="minorHAnsi" w:cstheme="minorBidi"/>
              <w:noProof/>
              <w:sz w:val="22"/>
              <w:szCs w:val="22"/>
            </w:rPr>
          </w:pPr>
          <w:hyperlink w:anchor="_Toc57902812" w:history="1">
            <w:r w:rsidR="00350268" w:rsidRPr="00120925">
              <w:rPr>
                <w:rStyle w:val="Hyperlink"/>
                <w:b/>
                <w:bCs/>
                <w:noProof/>
              </w:rPr>
              <w:t>3.0</w:t>
            </w:r>
            <w:r w:rsidR="00350268">
              <w:rPr>
                <w:rFonts w:asciiTheme="minorHAnsi" w:eastAsiaTheme="minorEastAsia" w:hAnsiTheme="minorHAnsi" w:cstheme="minorBidi"/>
                <w:noProof/>
                <w:sz w:val="22"/>
                <w:szCs w:val="22"/>
              </w:rPr>
              <w:tab/>
            </w:r>
            <w:r w:rsidR="00350268" w:rsidRPr="00120925">
              <w:rPr>
                <w:rStyle w:val="Hyperlink"/>
                <w:b/>
                <w:bCs/>
                <w:noProof/>
              </w:rPr>
              <w:t>NATIONAL GREENHOUSE GAS INVENTORY</w:t>
            </w:r>
            <w:r w:rsidR="00350268">
              <w:rPr>
                <w:noProof/>
                <w:webHidden/>
              </w:rPr>
              <w:tab/>
            </w:r>
            <w:r w:rsidR="00350268">
              <w:rPr>
                <w:noProof/>
                <w:webHidden/>
              </w:rPr>
              <w:fldChar w:fldCharType="begin"/>
            </w:r>
            <w:r w:rsidR="00350268">
              <w:rPr>
                <w:noProof/>
                <w:webHidden/>
              </w:rPr>
              <w:instrText xml:space="preserve"> PAGEREF _Toc57902812 \h </w:instrText>
            </w:r>
            <w:r w:rsidR="00350268">
              <w:rPr>
                <w:noProof/>
                <w:webHidden/>
              </w:rPr>
            </w:r>
            <w:r w:rsidR="00350268">
              <w:rPr>
                <w:noProof/>
                <w:webHidden/>
              </w:rPr>
              <w:fldChar w:fldCharType="separate"/>
            </w:r>
            <w:r w:rsidR="00350268">
              <w:rPr>
                <w:noProof/>
                <w:webHidden/>
              </w:rPr>
              <w:t>18</w:t>
            </w:r>
            <w:r w:rsidR="00350268">
              <w:rPr>
                <w:noProof/>
                <w:webHidden/>
              </w:rPr>
              <w:fldChar w:fldCharType="end"/>
            </w:r>
          </w:hyperlink>
        </w:p>
        <w:p w14:paraId="76AEA826" w14:textId="1795354C" w:rsidR="00350268" w:rsidRDefault="00317BA0">
          <w:pPr>
            <w:pStyle w:val="TOC2"/>
            <w:rPr>
              <w:rFonts w:asciiTheme="minorHAnsi" w:eastAsiaTheme="minorEastAsia" w:hAnsiTheme="minorHAnsi" w:cstheme="minorBidi"/>
              <w:noProof/>
              <w:sz w:val="22"/>
              <w:szCs w:val="22"/>
            </w:rPr>
          </w:pPr>
          <w:hyperlink w:anchor="_Toc57902813" w:history="1">
            <w:r w:rsidR="00350268" w:rsidRPr="00120925">
              <w:rPr>
                <w:rStyle w:val="Hyperlink"/>
                <w:b/>
                <w:bCs/>
                <w:noProof/>
              </w:rPr>
              <w:t>3.1</w:t>
            </w:r>
            <w:r w:rsidR="00350268">
              <w:rPr>
                <w:rFonts w:asciiTheme="minorHAnsi" w:eastAsiaTheme="minorEastAsia" w:hAnsiTheme="minorHAnsi" w:cstheme="minorBidi"/>
                <w:noProof/>
                <w:sz w:val="22"/>
                <w:szCs w:val="22"/>
              </w:rPr>
              <w:tab/>
            </w:r>
            <w:r w:rsidR="00350268" w:rsidRPr="00120925">
              <w:rPr>
                <w:rStyle w:val="Hyperlink"/>
                <w:b/>
                <w:noProof/>
              </w:rPr>
              <w:t>Scope, Methodologies Used and Data Sources</w:t>
            </w:r>
            <w:r w:rsidR="00350268">
              <w:rPr>
                <w:noProof/>
                <w:webHidden/>
              </w:rPr>
              <w:tab/>
            </w:r>
            <w:r w:rsidR="00350268">
              <w:rPr>
                <w:noProof/>
                <w:webHidden/>
              </w:rPr>
              <w:fldChar w:fldCharType="begin"/>
            </w:r>
            <w:r w:rsidR="00350268">
              <w:rPr>
                <w:noProof/>
                <w:webHidden/>
              </w:rPr>
              <w:instrText xml:space="preserve"> PAGEREF _Toc57902813 \h </w:instrText>
            </w:r>
            <w:r w:rsidR="00350268">
              <w:rPr>
                <w:noProof/>
                <w:webHidden/>
              </w:rPr>
            </w:r>
            <w:r w:rsidR="00350268">
              <w:rPr>
                <w:noProof/>
                <w:webHidden/>
              </w:rPr>
              <w:fldChar w:fldCharType="separate"/>
            </w:r>
            <w:r w:rsidR="00350268">
              <w:rPr>
                <w:noProof/>
                <w:webHidden/>
              </w:rPr>
              <w:t>18</w:t>
            </w:r>
            <w:r w:rsidR="00350268">
              <w:rPr>
                <w:noProof/>
                <w:webHidden/>
              </w:rPr>
              <w:fldChar w:fldCharType="end"/>
            </w:r>
          </w:hyperlink>
        </w:p>
        <w:p w14:paraId="2575ACAC" w14:textId="3B879E3C" w:rsidR="00350268" w:rsidRDefault="00317BA0">
          <w:pPr>
            <w:pStyle w:val="TOC3"/>
            <w:tabs>
              <w:tab w:val="left" w:pos="1320"/>
              <w:tab w:val="right" w:leader="dot" w:pos="9782"/>
            </w:tabs>
            <w:rPr>
              <w:noProof/>
            </w:rPr>
          </w:pPr>
          <w:hyperlink w:anchor="_Toc57902814" w:history="1">
            <w:r w:rsidR="00350268" w:rsidRPr="00120925">
              <w:rPr>
                <w:rStyle w:val="Hyperlink"/>
                <w:rFonts w:cs="Times New Roman"/>
                <w:noProof/>
              </w:rPr>
              <w:t>3.1.1</w:t>
            </w:r>
            <w:r w:rsidR="00350268">
              <w:rPr>
                <w:noProof/>
              </w:rPr>
              <w:tab/>
            </w:r>
            <w:r w:rsidR="00350268" w:rsidRPr="00120925">
              <w:rPr>
                <w:rStyle w:val="Hyperlink"/>
                <w:rFonts w:cs="Times New Roman"/>
                <w:bCs/>
                <w:noProof/>
              </w:rPr>
              <w:t>Quality Assurance and Quality Control (QA/QC)</w:t>
            </w:r>
            <w:r w:rsidR="00350268">
              <w:rPr>
                <w:noProof/>
                <w:webHidden/>
              </w:rPr>
              <w:tab/>
            </w:r>
            <w:r w:rsidR="00350268">
              <w:rPr>
                <w:noProof/>
                <w:webHidden/>
              </w:rPr>
              <w:fldChar w:fldCharType="begin"/>
            </w:r>
            <w:r w:rsidR="00350268">
              <w:rPr>
                <w:noProof/>
                <w:webHidden/>
              </w:rPr>
              <w:instrText xml:space="preserve"> PAGEREF _Toc57902814 \h </w:instrText>
            </w:r>
            <w:r w:rsidR="00350268">
              <w:rPr>
                <w:noProof/>
                <w:webHidden/>
              </w:rPr>
            </w:r>
            <w:r w:rsidR="00350268">
              <w:rPr>
                <w:noProof/>
                <w:webHidden/>
              </w:rPr>
              <w:fldChar w:fldCharType="separate"/>
            </w:r>
            <w:r w:rsidR="00350268">
              <w:rPr>
                <w:noProof/>
                <w:webHidden/>
              </w:rPr>
              <w:t>19</w:t>
            </w:r>
            <w:r w:rsidR="00350268">
              <w:rPr>
                <w:noProof/>
                <w:webHidden/>
              </w:rPr>
              <w:fldChar w:fldCharType="end"/>
            </w:r>
          </w:hyperlink>
        </w:p>
        <w:p w14:paraId="2E6E077F" w14:textId="655F4B42" w:rsidR="00350268" w:rsidRDefault="00317BA0">
          <w:pPr>
            <w:pStyle w:val="TOC2"/>
            <w:rPr>
              <w:rFonts w:asciiTheme="minorHAnsi" w:eastAsiaTheme="minorEastAsia" w:hAnsiTheme="minorHAnsi" w:cstheme="minorBidi"/>
              <w:noProof/>
              <w:sz w:val="22"/>
              <w:szCs w:val="22"/>
            </w:rPr>
          </w:pPr>
          <w:hyperlink w:anchor="_Toc57902815" w:history="1">
            <w:r w:rsidR="00350268" w:rsidRPr="00120925">
              <w:rPr>
                <w:rStyle w:val="Hyperlink"/>
                <w:b/>
                <w:bCs/>
                <w:noProof/>
              </w:rPr>
              <w:t>3.2</w:t>
            </w:r>
            <w:r w:rsidR="00350268">
              <w:rPr>
                <w:rFonts w:asciiTheme="minorHAnsi" w:eastAsiaTheme="minorEastAsia" w:hAnsiTheme="minorHAnsi" w:cstheme="minorBidi"/>
                <w:noProof/>
                <w:sz w:val="22"/>
                <w:szCs w:val="22"/>
              </w:rPr>
              <w:tab/>
            </w:r>
            <w:r w:rsidR="00350268" w:rsidRPr="00120925">
              <w:rPr>
                <w:rStyle w:val="Hyperlink"/>
                <w:b/>
                <w:bCs/>
                <w:noProof/>
              </w:rPr>
              <w:t>Trends in Greenhouse Gas Emissions</w:t>
            </w:r>
            <w:r w:rsidR="00350268">
              <w:rPr>
                <w:noProof/>
                <w:webHidden/>
              </w:rPr>
              <w:tab/>
            </w:r>
            <w:r w:rsidR="00350268">
              <w:rPr>
                <w:noProof/>
                <w:webHidden/>
              </w:rPr>
              <w:fldChar w:fldCharType="begin"/>
            </w:r>
            <w:r w:rsidR="00350268">
              <w:rPr>
                <w:noProof/>
                <w:webHidden/>
              </w:rPr>
              <w:instrText xml:space="preserve"> PAGEREF _Toc57902815 \h </w:instrText>
            </w:r>
            <w:r w:rsidR="00350268">
              <w:rPr>
                <w:noProof/>
                <w:webHidden/>
              </w:rPr>
            </w:r>
            <w:r w:rsidR="00350268">
              <w:rPr>
                <w:noProof/>
                <w:webHidden/>
              </w:rPr>
              <w:fldChar w:fldCharType="separate"/>
            </w:r>
            <w:r w:rsidR="00350268">
              <w:rPr>
                <w:noProof/>
                <w:webHidden/>
              </w:rPr>
              <w:t>19</w:t>
            </w:r>
            <w:r w:rsidR="00350268">
              <w:rPr>
                <w:noProof/>
                <w:webHidden/>
              </w:rPr>
              <w:fldChar w:fldCharType="end"/>
            </w:r>
          </w:hyperlink>
        </w:p>
        <w:p w14:paraId="4E2251C7" w14:textId="49FC937E" w:rsidR="00350268" w:rsidRDefault="00317BA0">
          <w:pPr>
            <w:pStyle w:val="TOC3"/>
            <w:tabs>
              <w:tab w:val="left" w:pos="1320"/>
              <w:tab w:val="right" w:leader="dot" w:pos="9782"/>
            </w:tabs>
            <w:rPr>
              <w:noProof/>
            </w:rPr>
          </w:pPr>
          <w:hyperlink w:anchor="_Toc57902816" w:history="1">
            <w:r w:rsidR="00350268" w:rsidRPr="00120925">
              <w:rPr>
                <w:rStyle w:val="Hyperlink"/>
                <w:rFonts w:cs="Times New Roman"/>
                <w:noProof/>
              </w:rPr>
              <w:t>3.2.1</w:t>
            </w:r>
            <w:r w:rsidR="00350268">
              <w:rPr>
                <w:noProof/>
              </w:rPr>
              <w:tab/>
            </w:r>
            <w:r w:rsidR="00350268" w:rsidRPr="00120925">
              <w:rPr>
                <w:rStyle w:val="Hyperlink"/>
                <w:rFonts w:cs="Times New Roman"/>
                <w:noProof/>
              </w:rPr>
              <w:t>Emissions trends for GHG emissions</w:t>
            </w:r>
            <w:r w:rsidR="00350268">
              <w:rPr>
                <w:noProof/>
                <w:webHidden/>
              </w:rPr>
              <w:tab/>
            </w:r>
            <w:r w:rsidR="00350268">
              <w:rPr>
                <w:noProof/>
                <w:webHidden/>
              </w:rPr>
              <w:fldChar w:fldCharType="begin"/>
            </w:r>
            <w:r w:rsidR="00350268">
              <w:rPr>
                <w:noProof/>
                <w:webHidden/>
              </w:rPr>
              <w:instrText xml:space="preserve"> PAGEREF _Toc57902816 \h </w:instrText>
            </w:r>
            <w:r w:rsidR="00350268">
              <w:rPr>
                <w:noProof/>
                <w:webHidden/>
              </w:rPr>
            </w:r>
            <w:r w:rsidR="00350268">
              <w:rPr>
                <w:noProof/>
                <w:webHidden/>
              </w:rPr>
              <w:fldChar w:fldCharType="separate"/>
            </w:r>
            <w:r w:rsidR="00350268">
              <w:rPr>
                <w:noProof/>
                <w:webHidden/>
              </w:rPr>
              <w:t>19</w:t>
            </w:r>
            <w:r w:rsidR="00350268">
              <w:rPr>
                <w:noProof/>
                <w:webHidden/>
              </w:rPr>
              <w:fldChar w:fldCharType="end"/>
            </w:r>
          </w:hyperlink>
        </w:p>
        <w:p w14:paraId="15A81371" w14:textId="6B3A7745" w:rsidR="00350268" w:rsidRDefault="00317BA0">
          <w:pPr>
            <w:pStyle w:val="TOC3"/>
            <w:tabs>
              <w:tab w:val="left" w:pos="1320"/>
              <w:tab w:val="right" w:leader="dot" w:pos="9782"/>
            </w:tabs>
            <w:rPr>
              <w:noProof/>
            </w:rPr>
          </w:pPr>
          <w:hyperlink w:anchor="_Toc57902817" w:history="1">
            <w:r w:rsidR="00350268" w:rsidRPr="00120925">
              <w:rPr>
                <w:rStyle w:val="Hyperlink"/>
                <w:noProof/>
              </w:rPr>
              <w:t xml:space="preserve">3.2.2 </w:t>
            </w:r>
            <w:r w:rsidR="00350268">
              <w:rPr>
                <w:noProof/>
              </w:rPr>
              <w:tab/>
            </w:r>
            <w:r w:rsidR="00350268" w:rsidRPr="00120925">
              <w:rPr>
                <w:rStyle w:val="Hyperlink"/>
                <w:noProof/>
              </w:rPr>
              <w:t>Emission Removal Trends</w:t>
            </w:r>
            <w:r w:rsidR="00350268">
              <w:rPr>
                <w:noProof/>
                <w:webHidden/>
              </w:rPr>
              <w:tab/>
            </w:r>
            <w:r w:rsidR="00350268">
              <w:rPr>
                <w:noProof/>
                <w:webHidden/>
              </w:rPr>
              <w:fldChar w:fldCharType="begin"/>
            </w:r>
            <w:r w:rsidR="00350268">
              <w:rPr>
                <w:noProof/>
                <w:webHidden/>
              </w:rPr>
              <w:instrText xml:space="preserve"> PAGEREF _Toc57902817 \h </w:instrText>
            </w:r>
            <w:r w:rsidR="00350268">
              <w:rPr>
                <w:noProof/>
                <w:webHidden/>
              </w:rPr>
            </w:r>
            <w:r w:rsidR="00350268">
              <w:rPr>
                <w:noProof/>
                <w:webHidden/>
              </w:rPr>
              <w:fldChar w:fldCharType="separate"/>
            </w:r>
            <w:r w:rsidR="00350268">
              <w:rPr>
                <w:noProof/>
                <w:webHidden/>
              </w:rPr>
              <w:t>24</w:t>
            </w:r>
            <w:r w:rsidR="00350268">
              <w:rPr>
                <w:noProof/>
                <w:webHidden/>
              </w:rPr>
              <w:fldChar w:fldCharType="end"/>
            </w:r>
          </w:hyperlink>
        </w:p>
        <w:p w14:paraId="6BFE88DA" w14:textId="3511D943" w:rsidR="00350268" w:rsidRDefault="00317BA0">
          <w:pPr>
            <w:pStyle w:val="TOC2"/>
            <w:rPr>
              <w:rFonts w:asciiTheme="minorHAnsi" w:eastAsiaTheme="minorEastAsia" w:hAnsiTheme="minorHAnsi" w:cstheme="minorBidi"/>
              <w:noProof/>
              <w:sz w:val="22"/>
              <w:szCs w:val="22"/>
            </w:rPr>
          </w:pPr>
          <w:hyperlink w:anchor="_Toc57902818" w:history="1">
            <w:r w:rsidR="00350268" w:rsidRPr="00120925">
              <w:rPr>
                <w:rStyle w:val="Hyperlink"/>
                <w:b/>
                <w:bCs/>
                <w:noProof/>
              </w:rPr>
              <w:t>3.3</w:t>
            </w:r>
            <w:r w:rsidR="00350268">
              <w:rPr>
                <w:rFonts w:asciiTheme="minorHAnsi" w:eastAsiaTheme="minorEastAsia" w:hAnsiTheme="minorHAnsi" w:cstheme="minorBidi"/>
                <w:noProof/>
                <w:sz w:val="22"/>
                <w:szCs w:val="22"/>
              </w:rPr>
              <w:tab/>
            </w:r>
            <w:r w:rsidR="00350268" w:rsidRPr="00120925">
              <w:rPr>
                <w:rStyle w:val="Hyperlink"/>
                <w:b/>
                <w:noProof/>
              </w:rPr>
              <w:t>Emission Trends by Gas</w:t>
            </w:r>
            <w:r w:rsidR="00350268">
              <w:rPr>
                <w:noProof/>
                <w:webHidden/>
              </w:rPr>
              <w:tab/>
            </w:r>
            <w:r w:rsidR="00350268">
              <w:rPr>
                <w:noProof/>
                <w:webHidden/>
              </w:rPr>
              <w:fldChar w:fldCharType="begin"/>
            </w:r>
            <w:r w:rsidR="00350268">
              <w:rPr>
                <w:noProof/>
                <w:webHidden/>
              </w:rPr>
              <w:instrText xml:space="preserve"> PAGEREF _Toc57902818 \h </w:instrText>
            </w:r>
            <w:r w:rsidR="00350268">
              <w:rPr>
                <w:noProof/>
                <w:webHidden/>
              </w:rPr>
            </w:r>
            <w:r w:rsidR="00350268">
              <w:rPr>
                <w:noProof/>
                <w:webHidden/>
              </w:rPr>
              <w:fldChar w:fldCharType="separate"/>
            </w:r>
            <w:r w:rsidR="00350268">
              <w:rPr>
                <w:noProof/>
                <w:webHidden/>
              </w:rPr>
              <w:t>25</w:t>
            </w:r>
            <w:r w:rsidR="00350268">
              <w:rPr>
                <w:noProof/>
                <w:webHidden/>
              </w:rPr>
              <w:fldChar w:fldCharType="end"/>
            </w:r>
          </w:hyperlink>
        </w:p>
        <w:p w14:paraId="1ED4F2E2" w14:textId="33539852" w:rsidR="00350268" w:rsidRDefault="00317BA0">
          <w:pPr>
            <w:pStyle w:val="TOC2"/>
            <w:rPr>
              <w:rFonts w:asciiTheme="minorHAnsi" w:eastAsiaTheme="minorEastAsia" w:hAnsiTheme="minorHAnsi" w:cstheme="minorBidi"/>
              <w:noProof/>
              <w:sz w:val="22"/>
              <w:szCs w:val="22"/>
            </w:rPr>
          </w:pPr>
          <w:hyperlink w:anchor="_Toc57902819" w:history="1">
            <w:r w:rsidR="00350268" w:rsidRPr="00120925">
              <w:rPr>
                <w:rStyle w:val="Hyperlink"/>
                <w:b/>
                <w:bCs/>
                <w:noProof/>
              </w:rPr>
              <w:t>3.4</w:t>
            </w:r>
            <w:r w:rsidR="00350268">
              <w:rPr>
                <w:rFonts w:asciiTheme="minorHAnsi" w:eastAsiaTheme="minorEastAsia" w:hAnsiTheme="minorHAnsi" w:cstheme="minorBidi"/>
                <w:noProof/>
                <w:sz w:val="22"/>
                <w:szCs w:val="22"/>
              </w:rPr>
              <w:tab/>
            </w:r>
            <w:r w:rsidR="00350268" w:rsidRPr="00120925">
              <w:rPr>
                <w:rStyle w:val="Hyperlink"/>
                <w:b/>
                <w:noProof/>
              </w:rPr>
              <w:t xml:space="preserve">Key </w:t>
            </w:r>
            <w:r w:rsidR="00350268" w:rsidRPr="00120925">
              <w:rPr>
                <w:rStyle w:val="Hyperlink"/>
                <w:b/>
                <w:bCs/>
                <w:noProof/>
              </w:rPr>
              <w:t>Category</w:t>
            </w:r>
            <w:r w:rsidR="00350268" w:rsidRPr="00120925">
              <w:rPr>
                <w:rStyle w:val="Hyperlink"/>
                <w:b/>
                <w:noProof/>
              </w:rPr>
              <w:t xml:space="preserve"> Analysis</w:t>
            </w:r>
            <w:r w:rsidR="00350268">
              <w:rPr>
                <w:noProof/>
                <w:webHidden/>
              </w:rPr>
              <w:tab/>
            </w:r>
            <w:r w:rsidR="00350268">
              <w:rPr>
                <w:noProof/>
                <w:webHidden/>
              </w:rPr>
              <w:fldChar w:fldCharType="begin"/>
            </w:r>
            <w:r w:rsidR="00350268">
              <w:rPr>
                <w:noProof/>
                <w:webHidden/>
              </w:rPr>
              <w:instrText xml:space="preserve"> PAGEREF _Toc57902819 \h </w:instrText>
            </w:r>
            <w:r w:rsidR="00350268">
              <w:rPr>
                <w:noProof/>
                <w:webHidden/>
              </w:rPr>
            </w:r>
            <w:r w:rsidR="00350268">
              <w:rPr>
                <w:noProof/>
                <w:webHidden/>
              </w:rPr>
              <w:fldChar w:fldCharType="separate"/>
            </w:r>
            <w:r w:rsidR="00350268">
              <w:rPr>
                <w:noProof/>
                <w:webHidden/>
              </w:rPr>
              <w:t>49</w:t>
            </w:r>
            <w:r w:rsidR="00350268">
              <w:rPr>
                <w:noProof/>
                <w:webHidden/>
              </w:rPr>
              <w:fldChar w:fldCharType="end"/>
            </w:r>
          </w:hyperlink>
        </w:p>
        <w:p w14:paraId="6A7679ED" w14:textId="0C334C99" w:rsidR="00350268" w:rsidRDefault="00317BA0">
          <w:pPr>
            <w:pStyle w:val="TOC2"/>
            <w:rPr>
              <w:rFonts w:asciiTheme="minorHAnsi" w:eastAsiaTheme="minorEastAsia" w:hAnsiTheme="minorHAnsi" w:cstheme="minorBidi"/>
              <w:noProof/>
              <w:sz w:val="22"/>
              <w:szCs w:val="22"/>
            </w:rPr>
          </w:pPr>
          <w:hyperlink w:anchor="_Toc57902820" w:history="1">
            <w:r w:rsidR="00350268" w:rsidRPr="00120925">
              <w:rPr>
                <w:rStyle w:val="Hyperlink"/>
                <w:b/>
                <w:bCs/>
                <w:noProof/>
              </w:rPr>
              <w:t>3.5</w:t>
            </w:r>
            <w:r w:rsidR="00350268">
              <w:rPr>
                <w:rFonts w:asciiTheme="minorHAnsi" w:eastAsiaTheme="minorEastAsia" w:hAnsiTheme="minorHAnsi" w:cstheme="minorBidi"/>
                <w:noProof/>
                <w:sz w:val="22"/>
                <w:szCs w:val="22"/>
              </w:rPr>
              <w:tab/>
            </w:r>
            <w:r w:rsidR="00350268" w:rsidRPr="00120925">
              <w:rPr>
                <w:rStyle w:val="Hyperlink"/>
                <w:b/>
                <w:noProof/>
              </w:rPr>
              <w:t>Recalculations</w:t>
            </w:r>
            <w:r w:rsidR="00350268">
              <w:rPr>
                <w:noProof/>
                <w:webHidden/>
              </w:rPr>
              <w:tab/>
            </w:r>
            <w:r w:rsidR="00350268">
              <w:rPr>
                <w:noProof/>
                <w:webHidden/>
              </w:rPr>
              <w:fldChar w:fldCharType="begin"/>
            </w:r>
            <w:r w:rsidR="00350268">
              <w:rPr>
                <w:noProof/>
                <w:webHidden/>
              </w:rPr>
              <w:instrText xml:space="preserve"> PAGEREF _Toc57902820 \h </w:instrText>
            </w:r>
            <w:r w:rsidR="00350268">
              <w:rPr>
                <w:noProof/>
                <w:webHidden/>
              </w:rPr>
            </w:r>
            <w:r w:rsidR="00350268">
              <w:rPr>
                <w:noProof/>
                <w:webHidden/>
              </w:rPr>
              <w:fldChar w:fldCharType="separate"/>
            </w:r>
            <w:r w:rsidR="00350268">
              <w:rPr>
                <w:noProof/>
                <w:webHidden/>
              </w:rPr>
              <w:t>49</w:t>
            </w:r>
            <w:r w:rsidR="00350268">
              <w:rPr>
                <w:noProof/>
                <w:webHidden/>
              </w:rPr>
              <w:fldChar w:fldCharType="end"/>
            </w:r>
          </w:hyperlink>
        </w:p>
        <w:p w14:paraId="5E307148" w14:textId="5DECED28" w:rsidR="00350268" w:rsidRDefault="00317BA0">
          <w:pPr>
            <w:pStyle w:val="TOC2"/>
            <w:rPr>
              <w:rFonts w:asciiTheme="minorHAnsi" w:eastAsiaTheme="minorEastAsia" w:hAnsiTheme="minorHAnsi" w:cstheme="minorBidi"/>
              <w:noProof/>
              <w:sz w:val="22"/>
              <w:szCs w:val="22"/>
            </w:rPr>
          </w:pPr>
          <w:hyperlink w:anchor="_Toc57902821" w:history="1">
            <w:r w:rsidR="00350268" w:rsidRPr="00120925">
              <w:rPr>
                <w:rStyle w:val="Hyperlink"/>
                <w:b/>
                <w:bCs/>
                <w:noProof/>
              </w:rPr>
              <w:t>3.6</w:t>
            </w:r>
            <w:r w:rsidR="00350268">
              <w:rPr>
                <w:rFonts w:asciiTheme="minorHAnsi" w:eastAsiaTheme="minorEastAsia" w:hAnsiTheme="minorHAnsi" w:cstheme="minorBidi"/>
                <w:noProof/>
                <w:sz w:val="22"/>
                <w:szCs w:val="22"/>
              </w:rPr>
              <w:tab/>
            </w:r>
            <w:r w:rsidR="00350268" w:rsidRPr="00120925">
              <w:rPr>
                <w:rStyle w:val="Hyperlink"/>
                <w:b/>
                <w:noProof/>
              </w:rPr>
              <w:t>Energy</w:t>
            </w:r>
            <w:r w:rsidR="00350268">
              <w:rPr>
                <w:noProof/>
                <w:webHidden/>
              </w:rPr>
              <w:tab/>
            </w:r>
            <w:r w:rsidR="00350268">
              <w:rPr>
                <w:noProof/>
                <w:webHidden/>
              </w:rPr>
              <w:fldChar w:fldCharType="begin"/>
            </w:r>
            <w:r w:rsidR="00350268">
              <w:rPr>
                <w:noProof/>
                <w:webHidden/>
              </w:rPr>
              <w:instrText xml:space="preserve"> PAGEREF _Toc57902821 \h </w:instrText>
            </w:r>
            <w:r w:rsidR="00350268">
              <w:rPr>
                <w:noProof/>
                <w:webHidden/>
              </w:rPr>
            </w:r>
            <w:r w:rsidR="00350268">
              <w:rPr>
                <w:noProof/>
                <w:webHidden/>
              </w:rPr>
              <w:fldChar w:fldCharType="separate"/>
            </w:r>
            <w:r w:rsidR="00350268">
              <w:rPr>
                <w:noProof/>
                <w:webHidden/>
              </w:rPr>
              <w:t>50</w:t>
            </w:r>
            <w:r w:rsidR="00350268">
              <w:rPr>
                <w:noProof/>
                <w:webHidden/>
              </w:rPr>
              <w:fldChar w:fldCharType="end"/>
            </w:r>
          </w:hyperlink>
        </w:p>
        <w:p w14:paraId="0376BE7D" w14:textId="3835B467" w:rsidR="00350268" w:rsidRDefault="00317BA0">
          <w:pPr>
            <w:pStyle w:val="TOC3"/>
            <w:tabs>
              <w:tab w:val="left" w:pos="1320"/>
              <w:tab w:val="right" w:leader="dot" w:pos="9782"/>
            </w:tabs>
            <w:rPr>
              <w:noProof/>
            </w:rPr>
          </w:pPr>
          <w:hyperlink w:anchor="_Toc57902822" w:history="1">
            <w:r w:rsidR="00350268" w:rsidRPr="00120925">
              <w:rPr>
                <w:rStyle w:val="Hyperlink"/>
                <w:rFonts w:cs="Times New Roman"/>
                <w:noProof/>
              </w:rPr>
              <w:t>3.6.1</w:t>
            </w:r>
            <w:r w:rsidR="00350268">
              <w:rPr>
                <w:noProof/>
              </w:rPr>
              <w:tab/>
            </w:r>
            <w:r w:rsidR="00350268" w:rsidRPr="00120925">
              <w:rPr>
                <w:rStyle w:val="Hyperlink"/>
                <w:noProof/>
              </w:rPr>
              <w:t>Overview</w:t>
            </w:r>
            <w:r w:rsidR="00350268">
              <w:rPr>
                <w:noProof/>
                <w:webHidden/>
              </w:rPr>
              <w:tab/>
            </w:r>
            <w:r w:rsidR="00350268">
              <w:rPr>
                <w:noProof/>
                <w:webHidden/>
              </w:rPr>
              <w:fldChar w:fldCharType="begin"/>
            </w:r>
            <w:r w:rsidR="00350268">
              <w:rPr>
                <w:noProof/>
                <w:webHidden/>
              </w:rPr>
              <w:instrText xml:space="preserve"> PAGEREF _Toc57902822 \h </w:instrText>
            </w:r>
            <w:r w:rsidR="00350268">
              <w:rPr>
                <w:noProof/>
                <w:webHidden/>
              </w:rPr>
            </w:r>
            <w:r w:rsidR="00350268">
              <w:rPr>
                <w:noProof/>
                <w:webHidden/>
              </w:rPr>
              <w:fldChar w:fldCharType="separate"/>
            </w:r>
            <w:r w:rsidR="00350268">
              <w:rPr>
                <w:noProof/>
                <w:webHidden/>
              </w:rPr>
              <w:t>50</w:t>
            </w:r>
            <w:r w:rsidR="00350268">
              <w:rPr>
                <w:noProof/>
                <w:webHidden/>
              </w:rPr>
              <w:fldChar w:fldCharType="end"/>
            </w:r>
          </w:hyperlink>
        </w:p>
        <w:p w14:paraId="7D766107" w14:textId="2D2AA848" w:rsidR="00350268" w:rsidRDefault="00317BA0">
          <w:pPr>
            <w:pStyle w:val="TOC3"/>
            <w:tabs>
              <w:tab w:val="left" w:pos="1320"/>
              <w:tab w:val="right" w:leader="dot" w:pos="9782"/>
            </w:tabs>
            <w:rPr>
              <w:noProof/>
            </w:rPr>
          </w:pPr>
          <w:hyperlink w:anchor="_Toc57902823" w:history="1">
            <w:r w:rsidR="00350268" w:rsidRPr="00120925">
              <w:rPr>
                <w:rStyle w:val="Hyperlink"/>
                <w:rFonts w:cs="Times New Roman"/>
                <w:noProof/>
              </w:rPr>
              <w:t>3.6.2</w:t>
            </w:r>
            <w:r w:rsidR="00350268">
              <w:rPr>
                <w:noProof/>
              </w:rPr>
              <w:tab/>
            </w:r>
            <w:r w:rsidR="00350268" w:rsidRPr="00120925">
              <w:rPr>
                <w:rStyle w:val="Hyperlink"/>
                <w:noProof/>
              </w:rPr>
              <w:t>Emissions</w:t>
            </w:r>
            <w:r w:rsidR="00350268" w:rsidRPr="00120925">
              <w:rPr>
                <w:rStyle w:val="Hyperlink"/>
                <w:rFonts w:cs="Times New Roman"/>
                <w:noProof/>
              </w:rPr>
              <w:t xml:space="preserve"> </w:t>
            </w:r>
            <w:r w:rsidR="00350268" w:rsidRPr="00120925">
              <w:rPr>
                <w:rStyle w:val="Hyperlink"/>
                <w:noProof/>
              </w:rPr>
              <w:t>Based</w:t>
            </w:r>
            <w:r w:rsidR="00350268" w:rsidRPr="00120925">
              <w:rPr>
                <w:rStyle w:val="Hyperlink"/>
                <w:rFonts w:cs="Times New Roman"/>
                <w:noProof/>
              </w:rPr>
              <w:t xml:space="preserve"> </w:t>
            </w:r>
            <w:r w:rsidR="00350268" w:rsidRPr="00120925">
              <w:rPr>
                <w:rStyle w:val="Hyperlink"/>
                <w:noProof/>
              </w:rPr>
              <w:t>on</w:t>
            </w:r>
            <w:r w:rsidR="00350268" w:rsidRPr="00120925">
              <w:rPr>
                <w:rStyle w:val="Hyperlink"/>
                <w:rFonts w:cs="Times New Roman"/>
                <w:noProof/>
              </w:rPr>
              <w:t xml:space="preserve"> </w:t>
            </w:r>
            <w:r w:rsidR="00350268" w:rsidRPr="00120925">
              <w:rPr>
                <w:rStyle w:val="Hyperlink"/>
                <w:noProof/>
              </w:rPr>
              <w:t>Reference</w:t>
            </w:r>
            <w:r w:rsidR="00350268" w:rsidRPr="00120925">
              <w:rPr>
                <w:rStyle w:val="Hyperlink"/>
                <w:rFonts w:cs="Times New Roman"/>
                <w:noProof/>
              </w:rPr>
              <w:t xml:space="preserve"> </w:t>
            </w:r>
            <w:r w:rsidR="00350268" w:rsidRPr="00120925">
              <w:rPr>
                <w:rStyle w:val="Hyperlink"/>
                <w:noProof/>
              </w:rPr>
              <w:t>Approach</w:t>
            </w:r>
            <w:r w:rsidR="00350268">
              <w:rPr>
                <w:noProof/>
                <w:webHidden/>
              </w:rPr>
              <w:tab/>
            </w:r>
            <w:r w:rsidR="00350268">
              <w:rPr>
                <w:noProof/>
                <w:webHidden/>
              </w:rPr>
              <w:fldChar w:fldCharType="begin"/>
            </w:r>
            <w:r w:rsidR="00350268">
              <w:rPr>
                <w:noProof/>
                <w:webHidden/>
              </w:rPr>
              <w:instrText xml:space="preserve"> PAGEREF _Toc57902823 \h </w:instrText>
            </w:r>
            <w:r w:rsidR="00350268">
              <w:rPr>
                <w:noProof/>
                <w:webHidden/>
              </w:rPr>
            </w:r>
            <w:r w:rsidR="00350268">
              <w:rPr>
                <w:noProof/>
                <w:webHidden/>
              </w:rPr>
              <w:fldChar w:fldCharType="separate"/>
            </w:r>
            <w:r w:rsidR="00350268">
              <w:rPr>
                <w:noProof/>
                <w:webHidden/>
              </w:rPr>
              <w:t>50</w:t>
            </w:r>
            <w:r w:rsidR="00350268">
              <w:rPr>
                <w:noProof/>
                <w:webHidden/>
              </w:rPr>
              <w:fldChar w:fldCharType="end"/>
            </w:r>
          </w:hyperlink>
        </w:p>
        <w:p w14:paraId="41753C69" w14:textId="3881E547" w:rsidR="00350268" w:rsidRDefault="00317BA0">
          <w:pPr>
            <w:pStyle w:val="TOC3"/>
            <w:tabs>
              <w:tab w:val="left" w:pos="1320"/>
              <w:tab w:val="right" w:leader="dot" w:pos="9782"/>
            </w:tabs>
            <w:rPr>
              <w:noProof/>
            </w:rPr>
          </w:pPr>
          <w:hyperlink w:anchor="_Toc57902824" w:history="1">
            <w:r w:rsidR="00350268" w:rsidRPr="00120925">
              <w:rPr>
                <w:rStyle w:val="Hyperlink"/>
                <w:rFonts w:cs="Times New Roman"/>
                <w:noProof/>
              </w:rPr>
              <w:t>3.6.3</w:t>
            </w:r>
            <w:r w:rsidR="00350268">
              <w:rPr>
                <w:noProof/>
              </w:rPr>
              <w:tab/>
            </w:r>
            <w:r w:rsidR="00350268" w:rsidRPr="00120925">
              <w:rPr>
                <w:rStyle w:val="Hyperlink"/>
                <w:noProof/>
              </w:rPr>
              <w:t>Emissions</w:t>
            </w:r>
            <w:r w:rsidR="00350268" w:rsidRPr="00120925">
              <w:rPr>
                <w:rStyle w:val="Hyperlink"/>
                <w:rFonts w:cs="Times New Roman"/>
                <w:noProof/>
              </w:rPr>
              <w:t xml:space="preserve"> </w:t>
            </w:r>
            <w:r w:rsidR="00350268" w:rsidRPr="00120925">
              <w:rPr>
                <w:rStyle w:val="Hyperlink"/>
                <w:noProof/>
              </w:rPr>
              <w:t>Trends</w:t>
            </w:r>
            <w:r w:rsidR="00350268">
              <w:rPr>
                <w:noProof/>
                <w:webHidden/>
              </w:rPr>
              <w:tab/>
            </w:r>
            <w:r w:rsidR="00350268">
              <w:rPr>
                <w:noProof/>
                <w:webHidden/>
              </w:rPr>
              <w:fldChar w:fldCharType="begin"/>
            </w:r>
            <w:r w:rsidR="00350268">
              <w:rPr>
                <w:noProof/>
                <w:webHidden/>
              </w:rPr>
              <w:instrText xml:space="preserve"> PAGEREF _Toc57902824 \h </w:instrText>
            </w:r>
            <w:r w:rsidR="00350268">
              <w:rPr>
                <w:noProof/>
                <w:webHidden/>
              </w:rPr>
            </w:r>
            <w:r w:rsidR="00350268">
              <w:rPr>
                <w:noProof/>
                <w:webHidden/>
              </w:rPr>
              <w:fldChar w:fldCharType="separate"/>
            </w:r>
            <w:r w:rsidR="00350268">
              <w:rPr>
                <w:noProof/>
                <w:webHidden/>
              </w:rPr>
              <w:t>51</w:t>
            </w:r>
            <w:r w:rsidR="00350268">
              <w:rPr>
                <w:noProof/>
                <w:webHidden/>
              </w:rPr>
              <w:fldChar w:fldCharType="end"/>
            </w:r>
          </w:hyperlink>
        </w:p>
        <w:p w14:paraId="499B4D27" w14:textId="13552B60" w:rsidR="00350268" w:rsidRDefault="00317BA0">
          <w:pPr>
            <w:pStyle w:val="TOC3"/>
            <w:tabs>
              <w:tab w:val="left" w:pos="1320"/>
              <w:tab w:val="right" w:leader="dot" w:pos="9782"/>
            </w:tabs>
            <w:rPr>
              <w:noProof/>
            </w:rPr>
          </w:pPr>
          <w:hyperlink w:anchor="_Toc57902825" w:history="1">
            <w:r w:rsidR="00350268" w:rsidRPr="00120925">
              <w:rPr>
                <w:rStyle w:val="Hyperlink"/>
                <w:rFonts w:cs="Times New Roman"/>
                <w:noProof/>
              </w:rPr>
              <w:t>3.6.4</w:t>
            </w:r>
            <w:r w:rsidR="00350268">
              <w:rPr>
                <w:noProof/>
              </w:rPr>
              <w:tab/>
            </w:r>
            <w:r w:rsidR="00350268" w:rsidRPr="00120925">
              <w:rPr>
                <w:rStyle w:val="Hyperlink"/>
                <w:noProof/>
              </w:rPr>
              <w:t>Emissions from Categories</w:t>
            </w:r>
            <w:r w:rsidR="00350268">
              <w:rPr>
                <w:noProof/>
                <w:webHidden/>
              </w:rPr>
              <w:tab/>
            </w:r>
            <w:r w:rsidR="00350268">
              <w:rPr>
                <w:noProof/>
                <w:webHidden/>
              </w:rPr>
              <w:fldChar w:fldCharType="begin"/>
            </w:r>
            <w:r w:rsidR="00350268">
              <w:rPr>
                <w:noProof/>
                <w:webHidden/>
              </w:rPr>
              <w:instrText xml:space="preserve"> PAGEREF _Toc57902825 \h </w:instrText>
            </w:r>
            <w:r w:rsidR="00350268">
              <w:rPr>
                <w:noProof/>
                <w:webHidden/>
              </w:rPr>
            </w:r>
            <w:r w:rsidR="00350268">
              <w:rPr>
                <w:noProof/>
                <w:webHidden/>
              </w:rPr>
              <w:fldChar w:fldCharType="separate"/>
            </w:r>
            <w:r w:rsidR="00350268">
              <w:rPr>
                <w:noProof/>
                <w:webHidden/>
              </w:rPr>
              <w:t>52</w:t>
            </w:r>
            <w:r w:rsidR="00350268">
              <w:rPr>
                <w:noProof/>
                <w:webHidden/>
              </w:rPr>
              <w:fldChar w:fldCharType="end"/>
            </w:r>
          </w:hyperlink>
        </w:p>
        <w:p w14:paraId="65EBB62B" w14:textId="03483274" w:rsidR="00350268" w:rsidRDefault="00317BA0">
          <w:pPr>
            <w:pStyle w:val="TOC3"/>
            <w:tabs>
              <w:tab w:val="left" w:pos="1320"/>
              <w:tab w:val="right" w:leader="dot" w:pos="9782"/>
            </w:tabs>
            <w:rPr>
              <w:noProof/>
            </w:rPr>
          </w:pPr>
          <w:hyperlink w:anchor="_Toc57902826" w:history="1">
            <w:r w:rsidR="00350268" w:rsidRPr="00120925">
              <w:rPr>
                <w:rStyle w:val="Hyperlink"/>
                <w:rFonts w:cs="Times New Roman"/>
                <w:noProof/>
              </w:rPr>
              <w:t>3.6.5</w:t>
            </w:r>
            <w:r w:rsidR="00350268">
              <w:rPr>
                <w:noProof/>
              </w:rPr>
              <w:tab/>
            </w:r>
            <w:r w:rsidR="00350268" w:rsidRPr="00120925">
              <w:rPr>
                <w:rStyle w:val="Hyperlink"/>
                <w:noProof/>
              </w:rPr>
              <w:t>Uncertainties</w:t>
            </w:r>
            <w:r w:rsidR="00350268">
              <w:rPr>
                <w:noProof/>
                <w:webHidden/>
              </w:rPr>
              <w:tab/>
            </w:r>
            <w:r w:rsidR="00350268">
              <w:rPr>
                <w:noProof/>
                <w:webHidden/>
              </w:rPr>
              <w:fldChar w:fldCharType="begin"/>
            </w:r>
            <w:r w:rsidR="00350268">
              <w:rPr>
                <w:noProof/>
                <w:webHidden/>
              </w:rPr>
              <w:instrText xml:space="preserve"> PAGEREF _Toc57902826 \h </w:instrText>
            </w:r>
            <w:r w:rsidR="00350268">
              <w:rPr>
                <w:noProof/>
                <w:webHidden/>
              </w:rPr>
            </w:r>
            <w:r w:rsidR="00350268">
              <w:rPr>
                <w:noProof/>
                <w:webHidden/>
              </w:rPr>
              <w:fldChar w:fldCharType="separate"/>
            </w:r>
            <w:r w:rsidR="00350268">
              <w:rPr>
                <w:noProof/>
                <w:webHidden/>
              </w:rPr>
              <w:t>54</w:t>
            </w:r>
            <w:r w:rsidR="00350268">
              <w:rPr>
                <w:noProof/>
                <w:webHidden/>
              </w:rPr>
              <w:fldChar w:fldCharType="end"/>
            </w:r>
          </w:hyperlink>
        </w:p>
        <w:p w14:paraId="1EB88A22" w14:textId="548ACDD3" w:rsidR="00350268" w:rsidRDefault="00317BA0">
          <w:pPr>
            <w:pStyle w:val="TOC3"/>
            <w:tabs>
              <w:tab w:val="left" w:pos="1320"/>
              <w:tab w:val="right" w:leader="dot" w:pos="9782"/>
            </w:tabs>
            <w:rPr>
              <w:noProof/>
            </w:rPr>
          </w:pPr>
          <w:hyperlink w:anchor="_Toc57902827" w:history="1">
            <w:r w:rsidR="00350268" w:rsidRPr="00120925">
              <w:rPr>
                <w:rStyle w:val="Hyperlink"/>
                <w:rFonts w:cs="Times New Roman"/>
                <w:noProof/>
              </w:rPr>
              <w:t>3.6.6</w:t>
            </w:r>
            <w:r w:rsidR="00350268">
              <w:rPr>
                <w:noProof/>
              </w:rPr>
              <w:tab/>
            </w:r>
            <w:r w:rsidR="00350268" w:rsidRPr="00120925">
              <w:rPr>
                <w:rStyle w:val="Hyperlink"/>
                <w:noProof/>
              </w:rPr>
              <w:t>Recalculations</w:t>
            </w:r>
            <w:r w:rsidR="00350268">
              <w:rPr>
                <w:noProof/>
                <w:webHidden/>
              </w:rPr>
              <w:tab/>
            </w:r>
            <w:r w:rsidR="00350268">
              <w:rPr>
                <w:noProof/>
                <w:webHidden/>
              </w:rPr>
              <w:fldChar w:fldCharType="begin"/>
            </w:r>
            <w:r w:rsidR="00350268">
              <w:rPr>
                <w:noProof/>
                <w:webHidden/>
              </w:rPr>
              <w:instrText xml:space="preserve"> PAGEREF _Toc57902827 \h </w:instrText>
            </w:r>
            <w:r w:rsidR="00350268">
              <w:rPr>
                <w:noProof/>
                <w:webHidden/>
              </w:rPr>
            </w:r>
            <w:r w:rsidR="00350268">
              <w:rPr>
                <w:noProof/>
                <w:webHidden/>
              </w:rPr>
              <w:fldChar w:fldCharType="separate"/>
            </w:r>
            <w:r w:rsidR="00350268">
              <w:rPr>
                <w:noProof/>
                <w:webHidden/>
              </w:rPr>
              <w:t>54</w:t>
            </w:r>
            <w:r w:rsidR="00350268">
              <w:rPr>
                <w:noProof/>
                <w:webHidden/>
              </w:rPr>
              <w:fldChar w:fldCharType="end"/>
            </w:r>
          </w:hyperlink>
        </w:p>
        <w:p w14:paraId="2897ED28" w14:textId="6C9B207E" w:rsidR="00350268" w:rsidRDefault="00317BA0">
          <w:pPr>
            <w:pStyle w:val="TOC3"/>
            <w:tabs>
              <w:tab w:val="left" w:pos="1320"/>
              <w:tab w:val="right" w:leader="dot" w:pos="9782"/>
            </w:tabs>
            <w:rPr>
              <w:noProof/>
            </w:rPr>
          </w:pPr>
          <w:hyperlink w:anchor="_Toc57902828" w:history="1">
            <w:r w:rsidR="00350268" w:rsidRPr="00120925">
              <w:rPr>
                <w:rStyle w:val="Hyperlink"/>
                <w:rFonts w:cs="Times New Roman"/>
                <w:noProof/>
              </w:rPr>
              <w:t>3.6.7</w:t>
            </w:r>
            <w:r w:rsidR="00350268">
              <w:rPr>
                <w:noProof/>
              </w:rPr>
              <w:tab/>
            </w:r>
            <w:r w:rsidR="00350268" w:rsidRPr="00120925">
              <w:rPr>
                <w:rStyle w:val="Hyperlink"/>
                <w:noProof/>
              </w:rPr>
              <w:t>QA</w:t>
            </w:r>
            <w:r w:rsidR="00350268" w:rsidRPr="00120925">
              <w:rPr>
                <w:rStyle w:val="Hyperlink"/>
                <w:rFonts w:cs="Times New Roman"/>
                <w:noProof/>
              </w:rPr>
              <w:t>/QC and Verification</w:t>
            </w:r>
            <w:r w:rsidR="00350268">
              <w:rPr>
                <w:noProof/>
                <w:webHidden/>
              </w:rPr>
              <w:tab/>
            </w:r>
            <w:r w:rsidR="00350268">
              <w:rPr>
                <w:noProof/>
                <w:webHidden/>
              </w:rPr>
              <w:fldChar w:fldCharType="begin"/>
            </w:r>
            <w:r w:rsidR="00350268">
              <w:rPr>
                <w:noProof/>
                <w:webHidden/>
              </w:rPr>
              <w:instrText xml:space="preserve"> PAGEREF _Toc57902828 \h </w:instrText>
            </w:r>
            <w:r w:rsidR="00350268">
              <w:rPr>
                <w:noProof/>
                <w:webHidden/>
              </w:rPr>
            </w:r>
            <w:r w:rsidR="00350268">
              <w:rPr>
                <w:noProof/>
                <w:webHidden/>
              </w:rPr>
              <w:fldChar w:fldCharType="separate"/>
            </w:r>
            <w:r w:rsidR="00350268">
              <w:rPr>
                <w:noProof/>
                <w:webHidden/>
              </w:rPr>
              <w:t>54</w:t>
            </w:r>
            <w:r w:rsidR="00350268">
              <w:rPr>
                <w:noProof/>
                <w:webHidden/>
              </w:rPr>
              <w:fldChar w:fldCharType="end"/>
            </w:r>
          </w:hyperlink>
        </w:p>
        <w:p w14:paraId="6771D0D9" w14:textId="19214D47" w:rsidR="00350268" w:rsidRDefault="00317BA0">
          <w:pPr>
            <w:pStyle w:val="TOC3"/>
            <w:tabs>
              <w:tab w:val="left" w:pos="1320"/>
              <w:tab w:val="right" w:leader="dot" w:pos="9782"/>
            </w:tabs>
            <w:rPr>
              <w:noProof/>
            </w:rPr>
          </w:pPr>
          <w:hyperlink w:anchor="_Toc57902829" w:history="1">
            <w:r w:rsidR="00350268" w:rsidRPr="00120925">
              <w:rPr>
                <w:rStyle w:val="Hyperlink"/>
                <w:rFonts w:cs="Times New Roman"/>
                <w:noProof/>
              </w:rPr>
              <w:t>3.6.8</w:t>
            </w:r>
            <w:r w:rsidR="00350268">
              <w:rPr>
                <w:noProof/>
              </w:rPr>
              <w:tab/>
            </w:r>
            <w:r w:rsidR="00350268" w:rsidRPr="00120925">
              <w:rPr>
                <w:rStyle w:val="Hyperlink"/>
                <w:noProof/>
              </w:rPr>
              <w:t>Planned</w:t>
            </w:r>
            <w:r w:rsidR="00350268" w:rsidRPr="00120925">
              <w:rPr>
                <w:rStyle w:val="Hyperlink"/>
                <w:rFonts w:cs="Times New Roman"/>
                <w:noProof/>
              </w:rPr>
              <w:t xml:space="preserve"> </w:t>
            </w:r>
            <w:r w:rsidR="00350268" w:rsidRPr="00120925">
              <w:rPr>
                <w:rStyle w:val="Hyperlink"/>
                <w:noProof/>
              </w:rPr>
              <w:t>Improvements</w:t>
            </w:r>
            <w:r w:rsidR="00350268">
              <w:rPr>
                <w:noProof/>
                <w:webHidden/>
              </w:rPr>
              <w:tab/>
            </w:r>
            <w:r w:rsidR="00350268">
              <w:rPr>
                <w:noProof/>
                <w:webHidden/>
              </w:rPr>
              <w:fldChar w:fldCharType="begin"/>
            </w:r>
            <w:r w:rsidR="00350268">
              <w:rPr>
                <w:noProof/>
                <w:webHidden/>
              </w:rPr>
              <w:instrText xml:space="preserve"> PAGEREF _Toc57902829 \h </w:instrText>
            </w:r>
            <w:r w:rsidR="00350268">
              <w:rPr>
                <w:noProof/>
                <w:webHidden/>
              </w:rPr>
            </w:r>
            <w:r w:rsidR="00350268">
              <w:rPr>
                <w:noProof/>
                <w:webHidden/>
              </w:rPr>
              <w:fldChar w:fldCharType="separate"/>
            </w:r>
            <w:r w:rsidR="00350268">
              <w:rPr>
                <w:noProof/>
                <w:webHidden/>
              </w:rPr>
              <w:t>55</w:t>
            </w:r>
            <w:r w:rsidR="00350268">
              <w:rPr>
                <w:noProof/>
                <w:webHidden/>
              </w:rPr>
              <w:fldChar w:fldCharType="end"/>
            </w:r>
          </w:hyperlink>
        </w:p>
        <w:p w14:paraId="14661350" w14:textId="498158B9" w:rsidR="00350268" w:rsidRDefault="00317BA0">
          <w:pPr>
            <w:pStyle w:val="TOC3"/>
            <w:tabs>
              <w:tab w:val="left" w:pos="1320"/>
              <w:tab w:val="right" w:leader="dot" w:pos="9782"/>
            </w:tabs>
            <w:rPr>
              <w:noProof/>
            </w:rPr>
          </w:pPr>
          <w:hyperlink w:anchor="_Toc57902830" w:history="1">
            <w:r w:rsidR="00350268" w:rsidRPr="00120925">
              <w:rPr>
                <w:rStyle w:val="Hyperlink"/>
                <w:rFonts w:cs="Times New Roman"/>
                <w:noProof/>
              </w:rPr>
              <w:t>3.6.9</w:t>
            </w:r>
            <w:r w:rsidR="00350268">
              <w:rPr>
                <w:noProof/>
              </w:rPr>
              <w:tab/>
            </w:r>
            <w:r w:rsidR="00350268" w:rsidRPr="00120925">
              <w:rPr>
                <w:rStyle w:val="Hyperlink"/>
                <w:noProof/>
              </w:rPr>
              <w:t>Carbon</w:t>
            </w:r>
            <w:r w:rsidR="00350268" w:rsidRPr="00120925">
              <w:rPr>
                <w:rStyle w:val="Hyperlink"/>
                <w:rFonts w:cs="Times New Roman"/>
                <w:noProof/>
              </w:rPr>
              <w:t xml:space="preserve"> </w:t>
            </w:r>
            <w:r w:rsidR="00350268" w:rsidRPr="00120925">
              <w:rPr>
                <w:rStyle w:val="Hyperlink"/>
                <w:noProof/>
              </w:rPr>
              <w:t>Capture</w:t>
            </w:r>
            <w:r w:rsidR="00350268" w:rsidRPr="00120925">
              <w:rPr>
                <w:rStyle w:val="Hyperlink"/>
                <w:rFonts w:cs="Times New Roman"/>
                <w:noProof/>
              </w:rPr>
              <w:t xml:space="preserve"> </w:t>
            </w:r>
            <w:r w:rsidR="00350268" w:rsidRPr="00120925">
              <w:rPr>
                <w:rStyle w:val="Hyperlink"/>
                <w:noProof/>
              </w:rPr>
              <w:t>and</w:t>
            </w:r>
            <w:r w:rsidR="00350268" w:rsidRPr="00120925">
              <w:rPr>
                <w:rStyle w:val="Hyperlink"/>
                <w:rFonts w:cs="Times New Roman"/>
                <w:noProof/>
              </w:rPr>
              <w:t xml:space="preserve"> </w:t>
            </w:r>
            <w:r w:rsidR="00350268" w:rsidRPr="00120925">
              <w:rPr>
                <w:rStyle w:val="Hyperlink"/>
                <w:noProof/>
              </w:rPr>
              <w:t>Storage</w:t>
            </w:r>
            <w:r w:rsidR="00350268">
              <w:rPr>
                <w:noProof/>
                <w:webHidden/>
              </w:rPr>
              <w:tab/>
            </w:r>
            <w:r w:rsidR="00350268">
              <w:rPr>
                <w:noProof/>
                <w:webHidden/>
              </w:rPr>
              <w:fldChar w:fldCharType="begin"/>
            </w:r>
            <w:r w:rsidR="00350268">
              <w:rPr>
                <w:noProof/>
                <w:webHidden/>
              </w:rPr>
              <w:instrText xml:space="preserve"> PAGEREF _Toc57902830 \h </w:instrText>
            </w:r>
            <w:r w:rsidR="00350268">
              <w:rPr>
                <w:noProof/>
                <w:webHidden/>
              </w:rPr>
            </w:r>
            <w:r w:rsidR="00350268">
              <w:rPr>
                <w:noProof/>
                <w:webHidden/>
              </w:rPr>
              <w:fldChar w:fldCharType="separate"/>
            </w:r>
            <w:r w:rsidR="00350268">
              <w:rPr>
                <w:noProof/>
                <w:webHidden/>
              </w:rPr>
              <w:t>55</w:t>
            </w:r>
            <w:r w:rsidR="00350268">
              <w:rPr>
                <w:noProof/>
                <w:webHidden/>
              </w:rPr>
              <w:fldChar w:fldCharType="end"/>
            </w:r>
          </w:hyperlink>
        </w:p>
        <w:p w14:paraId="2AFFAEEB" w14:textId="1DB4DB7C" w:rsidR="00350268" w:rsidRDefault="00317BA0">
          <w:pPr>
            <w:pStyle w:val="TOC2"/>
            <w:rPr>
              <w:rFonts w:asciiTheme="minorHAnsi" w:eastAsiaTheme="minorEastAsia" w:hAnsiTheme="minorHAnsi" w:cstheme="minorBidi"/>
              <w:noProof/>
              <w:sz w:val="22"/>
              <w:szCs w:val="22"/>
            </w:rPr>
          </w:pPr>
          <w:hyperlink w:anchor="_Toc57902831" w:history="1">
            <w:r w:rsidR="00350268" w:rsidRPr="00120925">
              <w:rPr>
                <w:rStyle w:val="Hyperlink"/>
                <w:b/>
                <w:bCs/>
                <w:noProof/>
              </w:rPr>
              <w:t>3.7</w:t>
            </w:r>
            <w:r w:rsidR="00350268">
              <w:rPr>
                <w:rFonts w:asciiTheme="minorHAnsi" w:eastAsiaTheme="minorEastAsia" w:hAnsiTheme="minorHAnsi" w:cstheme="minorBidi"/>
                <w:noProof/>
                <w:sz w:val="22"/>
                <w:szCs w:val="22"/>
              </w:rPr>
              <w:tab/>
            </w:r>
            <w:r w:rsidR="00350268" w:rsidRPr="00120925">
              <w:rPr>
                <w:rStyle w:val="Hyperlink"/>
                <w:b/>
                <w:noProof/>
              </w:rPr>
              <w:t>Industrial Processes and Product Use</w:t>
            </w:r>
            <w:r w:rsidR="00350268">
              <w:rPr>
                <w:noProof/>
                <w:webHidden/>
              </w:rPr>
              <w:tab/>
            </w:r>
            <w:r w:rsidR="00350268">
              <w:rPr>
                <w:noProof/>
                <w:webHidden/>
              </w:rPr>
              <w:fldChar w:fldCharType="begin"/>
            </w:r>
            <w:r w:rsidR="00350268">
              <w:rPr>
                <w:noProof/>
                <w:webHidden/>
              </w:rPr>
              <w:instrText xml:space="preserve"> PAGEREF _Toc57902831 \h </w:instrText>
            </w:r>
            <w:r w:rsidR="00350268">
              <w:rPr>
                <w:noProof/>
                <w:webHidden/>
              </w:rPr>
            </w:r>
            <w:r w:rsidR="00350268">
              <w:rPr>
                <w:noProof/>
                <w:webHidden/>
              </w:rPr>
              <w:fldChar w:fldCharType="separate"/>
            </w:r>
            <w:r w:rsidR="00350268">
              <w:rPr>
                <w:noProof/>
                <w:webHidden/>
              </w:rPr>
              <w:t>55</w:t>
            </w:r>
            <w:r w:rsidR="00350268">
              <w:rPr>
                <w:noProof/>
                <w:webHidden/>
              </w:rPr>
              <w:fldChar w:fldCharType="end"/>
            </w:r>
          </w:hyperlink>
        </w:p>
        <w:p w14:paraId="2DE63275" w14:textId="2D5D229C" w:rsidR="00350268" w:rsidRDefault="00317BA0">
          <w:pPr>
            <w:pStyle w:val="TOC3"/>
            <w:tabs>
              <w:tab w:val="left" w:pos="1320"/>
              <w:tab w:val="right" w:leader="dot" w:pos="9782"/>
            </w:tabs>
            <w:rPr>
              <w:noProof/>
            </w:rPr>
          </w:pPr>
          <w:hyperlink w:anchor="_Toc57902832" w:history="1">
            <w:r w:rsidR="00350268" w:rsidRPr="00120925">
              <w:rPr>
                <w:rStyle w:val="Hyperlink"/>
                <w:rFonts w:cs="Times New Roman"/>
                <w:noProof/>
              </w:rPr>
              <w:t>3.7.1</w:t>
            </w:r>
            <w:r w:rsidR="00350268">
              <w:rPr>
                <w:noProof/>
              </w:rPr>
              <w:tab/>
            </w:r>
            <w:r w:rsidR="00350268" w:rsidRPr="00120925">
              <w:rPr>
                <w:rStyle w:val="Hyperlink"/>
                <w:noProof/>
              </w:rPr>
              <w:t>Overall emission trends under IPPU</w:t>
            </w:r>
            <w:r w:rsidR="00350268">
              <w:rPr>
                <w:noProof/>
                <w:webHidden/>
              </w:rPr>
              <w:tab/>
            </w:r>
            <w:r w:rsidR="00350268">
              <w:rPr>
                <w:noProof/>
                <w:webHidden/>
              </w:rPr>
              <w:fldChar w:fldCharType="begin"/>
            </w:r>
            <w:r w:rsidR="00350268">
              <w:rPr>
                <w:noProof/>
                <w:webHidden/>
              </w:rPr>
              <w:instrText xml:space="preserve"> PAGEREF _Toc57902832 \h </w:instrText>
            </w:r>
            <w:r w:rsidR="00350268">
              <w:rPr>
                <w:noProof/>
                <w:webHidden/>
              </w:rPr>
            </w:r>
            <w:r w:rsidR="00350268">
              <w:rPr>
                <w:noProof/>
                <w:webHidden/>
              </w:rPr>
              <w:fldChar w:fldCharType="separate"/>
            </w:r>
            <w:r w:rsidR="00350268">
              <w:rPr>
                <w:noProof/>
                <w:webHidden/>
              </w:rPr>
              <w:t>55</w:t>
            </w:r>
            <w:r w:rsidR="00350268">
              <w:rPr>
                <w:noProof/>
                <w:webHidden/>
              </w:rPr>
              <w:fldChar w:fldCharType="end"/>
            </w:r>
          </w:hyperlink>
        </w:p>
        <w:p w14:paraId="732A781C" w14:textId="294193E9" w:rsidR="00350268" w:rsidRDefault="00317BA0">
          <w:pPr>
            <w:pStyle w:val="TOC3"/>
            <w:tabs>
              <w:tab w:val="left" w:pos="1320"/>
              <w:tab w:val="right" w:leader="dot" w:pos="9782"/>
            </w:tabs>
            <w:rPr>
              <w:noProof/>
            </w:rPr>
          </w:pPr>
          <w:hyperlink w:anchor="_Toc57902833" w:history="1">
            <w:r w:rsidR="00350268" w:rsidRPr="00120925">
              <w:rPr>
                <w:rStyle w:val="Hyperlink"/>
                <w:rFonts w:cs="Times New Roman"/>
                <w:noProof/>
              </w:rPr>
              <w:t>3.7.2</w:t>
            </w:r>
            <w:r w:rsidR="00350268">
              <w:rPr>
                <w:noProof/>
              </w:rPr>
              <w:tab/>
            </w:r>
            <w:r w:rsidR="00350268" w:rsidRPr="00120925">
              <w:rPr>
                <w:rStyle w:val="Hyperlink"/>
                <w:noProof/>
              </w:rPr>
              <w:t>Emissions</w:t>
            </w:r>
            <w:r w:rsidR="00350268" w:rsidRPr="00120925">
              <w:rPr>
                <w:rStyle w:val="Hyperlink"/>
                <w:rFonts w:cs="Times New Roman"/>
                <w:noProof/>
              </w:rPr>
              <w:t xml:space="preserve"> </w:t>
            </w:r>
            <w:r w:rsidR="00350268" w:rsidRPr="00120925">
              <w:rPr>
                <w:rStyle w:val="Hyperlink"/>
                <w:noProof/>
              </w:rPr>
              <w:t>Trends</w:t>
            </w:r>
            <w:r w:rsidR="00350268" w:rsidRPr="00120925">
              <w:rPr>
                <w:rStyle w:val="Hyperlink"/>
                <w:rFonts w:cs="Times New Roman"/>
                <w:noProof/>
              </w:rPr>
              <w:t xml:space="preserve"> </w:t>
            </w:r>
            <w:r w:rsidR="00350268" w:rsidRPr="00120925">
              <w:rPr>
                <w:rStyle w:val="Hyperlink"/>
                <w:noProof/>
              </w:rPr>
              <w:t>under</w:t>
            </w:r>
            <w:r w:rsidR="00350268" w:rsidRPr="00120925">
              <w:rPr>
                <w:rStyle w:val="Hyperlink"/>
                <w:rFonts w:cs="Times New Roman"/>
                <w:noProof/>
              </w:rPr>
              <w:t xml:space="preserve"> </w:t>
            </w:r>
            <w:r w:rsidR="00350268" w:rsidRPr="00120925">
              <w:rPr>
                <w:rStyle w:val="Hyperlink"/>
                <w:noProof/>
              </w:rPr>
              <w:t>IPPU</w:t>
            </w:r>
            <w:r w:rsidR="00350268">
              <w:rPr>
                <w:noProof/>
                <w:webHidden/>
              </w:rPr>
              <w:tab/>
            </w:r>
            <w:r w:rsidR="00350268">
              <w:rPr>
                <w:noProof/>
                <w:webHidden/>
              </w:rPr>
              <w:fldChar w:fldCharType="begin"/>
            </w:r>
            <w:r w:rsidR="00350268">
              <w:rPr>
                <w:noProof/>
                <w:webHidden/>
              </w:rPr>
              <w:instrText xml:space="preserve"> PAGEREF _Toc57902833 \h </w:instrText>
            </w:r>
            <w:r w:rsidR="00350268">
              <w:rPr>
                <w:noProof/>
                <w:webHidden/>
              </w:rPr>
            </w:r>
            <w:r w:rsidR="00350268">
              <w:rPr>
                <w:noProof/>
                <w:webHidden/>
              </w:rPr>
              <w:fldChar w:fldCharType="separate"/>
            </w:r>
            <w:r w:rsidR="00350268">
              <w:rPr>
                <w:noProof/>
                <w:webHidden/>
              </w:rPr>
              <w:t>56</w:t>
            </w:r>
            <w:r w:rsidR="00350268">
              <w:rPr>
                <w:noProof/>
                <w:webHidden/>
              </w:rPr>
              <w:fldChar w:fldCharType="end"/>
            </w:r>
          </w:hyperlink>
        </w:p>
        <w:p w14:paraId="3F4EC08F" w14:textId="6D2F07B0" w:rsidR="00350268" w:rsidRDefault="00317BA0">
          <w:pPr>
            <w:pStyle w:val="TOC3"/>
            <w:tabs>
              <w:tab w:val="left" w:pos="1320"/>
              <w:tab w:val="right" w:leader="dot" w:pos="9782"/>
            </w:tabs>
            <w:rPr>
              <w:noProof/>
            </w:rPr>
          </w:pPr>
          <w:hyperlink w:anchor="_Toc57902834" w:history="1">
            <w:r w:rsidR="00350268" w:rsidRPr="00120925">
              <w:rPr>
                <w:rStyle w:val="Hyperlink"/>
                <w:rFonts w:cs="Times New Roman"/>
                <w:noProof/>
              </w:rPr>
              <w:t>3.7.3</w:t>
            </w:r>
            <w:r w:rsidR="00350268">
              <w:rPr>
                <w:noProof/>
              </w:rPr>
              <w:tab/>
            </w:r>
            <w:r w:rsidR="00350268" w:rsidRPr="00120925">
              <w:rPr>
                <w:rStyle w:val="Hyperlink"/>
                <w:noProof/>
              </w:rPr>
              <w:t>Emissions by gas</w:t>
            </w:r>
            <w:r w:rsidR="00350268">
              <w:rPr>
                <w:noProof/>
                <w:webHidden/>
              </w:rPr>
              <w:tab/>
            </w:r>
            <w:r w:rsidR="00350268">
              <w:rPr>
                <w:noProof/>
                <w:webHidden/>
              </w:rPr>
              <w:fldChar w:fldCharType="begin"/>
            </w:r>
            <w:r w:rsidR="00350268">
              <w:rPr>
                <w:noProof/>
                <w:webHidden/>
              </w:rPr>
              <w:instrText xml:space="preserve"> PAGEREF _Toc57902834 \h </w:instrText>
            </w:r>
            <w:r w:rsidR="00350268">
              <w:rPr>
                <w:noProof/>
                <w:webHidden/>
              </w:rPr>
            </w:r>
            <w:r w:rsidR="00350268">
              <w:rPr>
                <w:noProof/>
                <w:webHidden/>
              </w:rPr>
              <w:fldChar w:fldCharType="separate"/>
            </w:r>
            <w:r w:rsidR="00350268">
              <w:rPr>
                <w:noProof/>
                <w:webHidden/>
              </w:rPr>
              <w:t>57</w:t>
            </w:r>
            <w:r w:rsidR="00350268">
              <w:rPr>
                <w:noProof/>
                <w:webHidden/>
              </w:rPr>
              <w:fldChar w:fldCharType="end"/>
            </w:r>
          </w:hyperlink>
        </w:p>
        <w:p w14:paraId="4B3E077D" w14:textId="19F8D649" w:rsidR="00350268" w:rsidRDefault="00317BA0">
          <w:pPr>
            <w:pStyle w:val="TOC3"/>
            <w:tabs>
              <w:tab w:val="left" w:pos="1320"/>
              <w:tab w:val="right" w:leader="dot" w:pos="9782"/>
            </w:tabs>
            <w:rPr>
              <w:noProof/>
            </w:rPr>
          </w:pPr>
          <w:hyperlink w:anchor="_Toc57902835" w:history="1">
            <w:r w:rsidR="00350268" w:rsidRPr="00120925">
              <w:rPr>
                <w:rStyle w:val="Hyperlink"/>
                <w:rFonts w:cs="Times New Roman"/>
                <w:noProof/>
              </w:rPr>
              <w:t>3.7.4</w:t>
            </w:r>
            <w:r w:rsidR="00350268">
              <w:rPr>
                <w:noProof/>
              </w:rPr>
              <w:tab/>
            </w:r>
            <w:r w:rsidR="00350268" w:rsidRPr="00120925">
              <w:rPr>
                <w:rStyle w:val="Hyperlink"/>
                <w:noProof/>
              </w:rPr>
              <w:t>Emissions Trends by Category Under IPPU</w:t>
            </w:r>
            <w:r w:rsidR="00350268">
              <w:rPr>
                <w:noProof/>
                <w:webHidden/>
              </w:rPr>
              <w:tab/>
            </w:r>
            <w:r w:rsidR="00350268">
              <w:rPr>
                <w:noProof/>
                <w:webHidden/>
              </w:rPr>
              <w:fldChar w:fldCharType="begin"/>
            </w:r>
            <w:r w:rsidR="00350268">
              <w:rPr>
                <w:noProof/>
                <w:webHidden/>
              </w:rPr>
              <w:instrText xml:space="preserve"> PAGEREF _Toc57902835 \h </w:instrText>
            </w:r>
            <w:r w:rsidR="00350268">
              <w:rPr>
                <w:noProof/>
                <w:webHidden/>
              </w:rPr>
            </w:r>
            <w:r w:rsidR="00350268">
              <w:rPr>
                <w:noProof/>
                <w:webHidden/>
              </w:rPr>
              <w:fldChar w:fldCharType="separate"/>
            </w:r>
            <w:r w:rsidR="00350268">
              <w:rPr>
                <w:noProof/>
                <w:webHidden/>
              </w:rPr>
              <w:t>58</w:t>
            </w:r>
            <w:r w:rsidR="00350268">
              <w:rPr>
                <w:noProof/>
                <w:webHidden/>
              </w:rPr>
              <w:fldChar w:fldCharType="end"/>
            </w:r>
          </w:hyperlink>
        </w:p>
        <w:p w14:paraId="25B22293" w14:textId="11D8C87A" w:rsidR="00350268" w:rsidRDefault="00317BA0">
          <w:pPr>
            <w:pStyle w:val="TOC3"/>
            <w:tabs>
              <w:tab w:val="left" w:pos="1320"/>
              <w:tab w:val="right" w:leader="dot" w:pos="9782"/>
            </w:tabs>
            <w:rPr>
              <w:noProof/>
            </w:rPr>
          </w:pPr>
          <w:hyperlink w:anchor="_Toc57902836" w:history="1">
            <w:r w:rsidR="00350268" w:rsidRPr="00120925">
              <w:rPr>
                <w:rStyle w:val="Hyperlink"/>
                <w:rFonts w:cs="Times New Roman"/>
                <w:noProof/>
              </w:rPr>
              <w:t>3.7.5</w:t>
            </w:r>
            <w:r w:rsidR="00350268">
              <w:rPr>
                <w:noProof/>
              </w:rPr>
              <w:tab/>
            </w:r>
            <w:r w:rsidR="00350268" w:rsidRPr="00120925">
              <w:rPr>
                <w:rStyle w:val="Hyperlink"/>
                <w:noProof/>
              </w:rPr>
              <w:t>Uncertainties</w:t>
            </w:r>
            <w:r w:rsidR="00350268">
              <w:rPr>
                <w:noProof/>
                <w:webHidden/>
              </w:rPr>
              <w:tab/>
            </w:r>
            <w:r w:rsidR="00350268">
              <w:rPr>
                <w:noProof/>
                <w:webHidden/>
              </w:rPr>
              <w:fldChar w:fldCharType="begin"/>
            </w:r>
            <w:r w:rsidR="00350268">
              <w:rPr>
                <w:noProof/>
                <w:webHidden/>
              </w:rPr>
              <w:instrText xml:space="preserve"> PAGEREF _Toc57902836 \h </w:instrText>
            </w:r>
            <w:r w:rsidR="00350268">
              <w:rPr>
                <w:noProof/>
                <w:webHidden/>
              </w:rPr>
            </w:r>
            <w:r w:rsidR="00350268">
              <w:rPr>
                <w:noProof/>
                <w:webHidden/>
              </w:rPr>
              <w:fldChar w:fldCharType="separate"/>
            </w:r>
            <w:r w:rsidR="00350268">
              <w:rPr>
                <w:noProof/>
                <w:webHidden/>
              </w:rPr>
              <w:t>60</w:t>
            </w:r>
            <w:r w:rsidR="00350268">
              <w:rPr>
                <w:noProof/>
                <w:webHidden/>
              </w:rPr>
              <w:fldChar w:fldCharType="end"/>
            </w:r>
          </w:hyperlink>
        </w:p>
        <w:p w14:paraId="3DE524EA" w14:textId="52C25A8C" w:rsidR="00350268" w:rsidRDefault="00317BA0">
          <w:pPr>
            <w:pStyle w:val="TOC3"/>
            <w:tabs>
              <w:tab w:val="left" w:pos="1320"/>
              <w:tab w:val="right" w:leader="dot" w:pos="9782"/>
            </w:tabs>
            <w:rPr>
              <w:noProof/>
            </w:rPr>
          </w:pPr>
          <w:hyperlink w:anchor="_Toc57902837" w:history="1">
            <w:r w:rsidR="00350268" w:rsidRPr="00120925">
              <w:rPr>
                <w:rStyle w:val="Hyperlink"/>
                <w:rFonts w:cs="Times New Roman"/>
                <w:noProof/>
              </w:rPr>
              <w:t>3.7.6</w:t>
            </w:r>
            <w:r w:rsidR="00350268">
              <w:rPr>
                <w:noProof/>
              </w:rPr>
              <w:tab/>
            </w:r>
            <w:r w:rsidR="00350268" w:rsidRPr="00120925">
              <w:rPr>
                <w:rStyle w:val="Hyperlink"/>
                <w:noProof/>
              </w:rPr>
              <w:t>QA</w:t>
            </w:r>
            <w:r w:rsidR="00350268" w:rsidRPr="00120925">
              <w:rPr>
                <w:rStyle w:val="Hyperlink"/>
                <w:rFonts w:cs="Times New Roman"/>
                <w:noProof/>
              </w:rPr>
              <w:t>/</w:t>
            </w:r>
            <w:r w:rsidR="00350268" w:rsidRPr="00120925">
              <w:rPr>
                <w:rStyle w:val="Hyperlink"/>
                <w:noProof/>
              </w:rPr>
              <w:t>QC</w:t>
            </w:r>
            <w:r w:rsidR="00350268" w:rsidRPr="00120925">
              <w:rPr>
                <w:rStyle w:val="Hyperlink"/>
                <w:rFonts w:cs="Times New Roman"/>
                <w:noProof/>
              </w:rPr>
              <w:t xml:space="preserve"> </w:t>
            </w:r>
            <w:r w:rsidR="00350268" w:rsidRPr="00120925">
              <w:rPr>
                <w:rStyle w:val="Hyperlink"/>
                <w:noProof/>
              </w:rPr>
              <w:t>and</w:t>
            </w:r>
            <w:r w:rsidR="00350268" w:rsidRPr="00120925">
              <w:rPr>
                <w:rStyle w:val="Hyperlink"/>
                <w:rFonts w:cs="Times New Roman"/>
                <w:noProof/>
              </w:rPr>
              <w:t xml:space="preserve"> </w:t>
            </w:r>
            <w:r w:rsidR="00350268" w:rsidRPr="00120925">
              <w:rPr>
                <w:rStyle w:val="Hyperlink"/>
                <w:noProof/>
              </w:rPr>
              <w:t>verification</w:t>
            </w:r>
            <w:r w:rsidR="00350268">
              <w:rPr>
                <w:noProof/>
                <w:webHidden/>
              </w:rPr>
              <w:tab/>
            </w:r>
            <w:r w:rsidR="00350268">
              <w:rPr>
                <w:noProof/>
                <w:webHidden/>
              </w:rPr>
              <w:fldChar w:fldCharType="begin"/>
            </w:r>
            <w:r w:rsidR="00350268">
              <w:rPr>
                <w:noProof/>
                <w:webHidden/>
              </w:rPr>
              <w:instrText xml:space="preserve"> PAGEREF _Toc57902837 \h </w:instrText>
            </w:r>
            <w:r w:rsidR="00350268">
              <w:rPr>
                <w:noProof/>
                <w:webHidden/>
              </w:rPr>
            </w:r>
            <w:r w:rsidR="00350268">
              <w:rPr>
                <w:noProof/>
                <w:webHidden/>
              </w:rPr>
              <w:fldChar w:fldCharType="separate"/>
            </w:r>
            <w:r w:rsidR="00350268">
              <w:rPr>
                <w:noProof/>
                <w:webHidden/>
              </w:rPr>
              <w:t>61</w:t>
            </w:r>
            <w:r w:rsidR="00350268">
              <w:rPr>
                <w:noProof/>
                <w:webHidden/>
              </w:rPr>
              <w:fldChar w:fldCharType="end"/>
            </w:r>
          </w:hyperlink>
        </w:p>
        <w:p w14:paraId="1AC5F1BD" w14:textId="137CFF4E" w:rsidR="00350268" w:rsidRDefault="00317BA0">
          <w:pPr>
            <w:pStyle w:val="TOC3"/>
            <w:tabs>
              <w:tab w:val="left" w:pos="1320"/>
              <w:tab w:val="right" w:leader="dot" w:pos="9782"/>
            </w:tabs>
            <w:rPr>
              <w:noProof/>
            </w:rPr>
          </w:pPr>
          <w:hyperlink w:anchor="_Toc57902838" w:history="1">
            <w:r w:rsidR="00350268" w:rsidRPr="00120925">
              <w:rPr>
                <w:rStyle w:val="Hyperlink"/>
                <w:rFonts w:cs="Times New Roman"/>
                <w:noProof/>
              </w:rPr>
              <w:t>3.7.7</w:t>
            </w:r>
            <w:r w:rsidR="00350268">
              <w:rPr>
                <w:noProof/>
              </w:rPr>
              <w:tab/>
            </w:r>
            <w:r w:rsidR="00350268" w:rsidRPr="00120925">
              <w:rPr>
                <w:rStyle w:val="Hyperlink"/>
                <w:noProof/>
              </w:rPr>
              <w:t>Recalculations</w:t>
            </w:r>
            <w:r w:rsidR="00350268">
              <w:rPr>
                <w:noProof/>
                <w:webHidden/>
              </w:rPr>
              <w:tab/>
            </w:r>
            <w:r w:rsidR="00350268">
              <w:rPr>
                <w:noProof/>
                <w:webHidden/>
              </w:rPr>
              <w:fldChar w:fldCharType="begin"/>
            </w:r>
            <w:r w:rsidR="00350268">
              <w:rPr>
                <w:noProof/>
                <w:webHidden/>
              </w:rPr>
              <w:instrText xml:space="preserve"> PAGEREF _Toc57902838 \h </w:instrText>
            </w:r>
            <w:r w:rsidR="00350268">
              <w:rPr>
                <w:noProof/>
                <w:webHidden/>
              </w:rPr>
            </w:r>
            <w:r w:rsidR="00350268">
              <w:rPr>
                <w:noProof/>
                <w:webHidden/>
              </w:rPr>
              <w:fldChar w:fldCharType="separate"/>
            </w:r>
            <w:r w:rsidR="00350268">
              <w:rPr>
                <w:noProof/>
                <w:webHidden/>
              </w:rPr>
              <w:t>61</w:t>
            </w:r>
            <w:r w:rsidR="00350268">
              <w:rPr>
                <w:noProof/>
                <w:webHidden/>
              </w:rPr>
              <w:fldChar w:fldCharType="end"/>
            </w:r>
          </w:hyperlink>
        </w:p>
        <w:p w14:paraId="36D79323" w14:textId="7DB0C3D8" w:rsidR="00350268" w:rsidRDefault="00317BA0">
          <w:pPr>
            <w:pStyle w:val="TOC3"/>
            <w:tabs>
              <w:tab w:val="left" w:pos="1320"/>
              <w:tab w:val="right" w:leader="dot" w:pos="9782"/>
            </w:tabs>
            <w:rPr>
              <w:noProof/>
            </w:rPr>
          </w:pPr>
          <w:hyperlink w:anchor="_Toc57902839" w:history="1">
            <w:r w:rsidR="00350268" w:rsidRPr="00120925">
              <w:rPr>
                <w:rStyle w:val="Hyperlink"/>
                <w:rFonts w:cs="Times New Roman"/>
                <w:noProof/>
              </w:rPr>
              <w:t>3.7.8</w:t>
            </w:r>
            <w:r w:rsidR="00350268">
              <w:rPr>
                <w:noProof/>
              </w:rPr>
              <w:tab/>
            </w:r>
            <w:r w:rsidR="00350268" w:rsidRPr="00120925">
              <w:rPr>
                <w:rStyle w:val="Hyperlink"/>
                <w:noProof/>
              </w:rPr>
              <w:t>Planned</w:t>
            </w:r>
            <w:r w:rsidR="00350268" w:rsidRPr="00120925">
              <w:rPr>
                <w:rStyle w:val="Hyperlink"/>
                <w:rFonts w:cs="Times New Roman"/>
                <w:noProof/>
              </w:rPr>
              <w:t xml:space="preserve"> </w:t>
            </w:r>
            <w:r w:rsidR="00350268" w:rsidRPr="00120925">
              <w:rPr>
                <w:rStyle w:val="Hyperlink"/>
                <w:noProof/>
              </w:rPr>
              <w:t>improvements</w:t>
            </w:r>
            <w:r w:rsidR="00350268">
              <w:rPr>
                <w:noProof/>
                <w:webHidden/>
              </w:rPr>
              <w:tab/>
            </w:r>
            <w:r w:rsidR="00350268">
              <w:rPr>
                <w:noProof/>
                <w:webHidden/>
              </w:rPr>
              <w:fldChar w:fldCharType="begin"/>
            </w:r>
            <w:r w:rsidR="00350268">
              <w:rPr>
                <w:noProof/>
                <w:webHidden/>
              </w:rPr>
              <w:instrText xml:space="preserve"> PAGEREF _Toc57902839 \h </w:instrText>
            </w:r>
            <w:r w:rsidR="00350268">
              <w:rPr>
                <w:noProof/>
                <w:webHidden/>
              </w:rPr>
            </w:r>
            <w:r w:rsidR="00350268">
              <w:rPr>
                <w:noProof/>
                <w:webHidden/>
              </w:rPr>
              <w:fldChar w:fldCharType="separate"/>
            </w:r>
            <w:r w:rsidR="00350268">
              <w:rPr>
                <w:noProof/>
                <w:webHidden/>
              </w:rPr>
              <w:t>61</w:t>
            </w:r>
            <w:r w:rsidR="00350268">
              <w:rPr>
                <w:noProof/>
                <w:webHidden/>
              </w:rPr>
              <w:fldChar w:fldCharType="end"/>
            </w:r>
          </w:hyperlink>
        </w:p>
        <w:p w14:paraId="07347764" w14:textId="4509E6EF" w:rsidR="00350268" w:rsidRDefault="00317BA0">
          <w:pPr>
            <w:pStyle w:val="TOC2"/>
            <w:rPr>
              <w:rFonts w:asciiTheme="minorHAnsi" w:eastAsiaTheme="minorEastAsia" w:hAnsiTheme="minorHAnsi" w:cstheme="minorBidi"/>
              <w:noProof/>
              <w:sz w:val="22"/>
              <w:szCs w:val="22"/>
            </w:rPr>
          </w:pPr>
          <w:hyperlink w:anchor="_Toc57902840" w:history="1">
            <w:r w:rsidR="00350268" w:rsidRPr="00120925">
              <w:rPr>
                <w:rStyle w:val="Hyperlink"/>
                <w:b/>
                <w:bCs/>
                <w:noProof/>
              </w:rPr>
              <w:t>3.8</w:t>
            </w:r>
            <w:r w:rsidR="00350268">
              <w:rPr>
                <w:rFonts w:asciiTheme="minorHAnsi" w:eastAsiaTheme="minorEastAsia" w:hAnsiTheme="minorHAnsi" w:cstheme="minorBidi"/>
                <w:noProof/>
                <w:sz w:val="22"/>
                <w:szCs w:val="22"/>
              </w:rPr>
              <w:tab/>
            </w:r>
            <w:r w:rsidR="00350268" w:rsidRPr="00120925">
              <w:rPr>
                <w:rStyle w:val="Hyperlink"/>
                <w:b/>
                <w:noProof/>
              </w:rPr>
              <w:t>Agriculture Forestry and Other Land Use</w:t>
            </w:r>
            <w:r w:rsidR="00350268">
              <w:rPr>
                <w:noProof/>
                <w:webHidden/>
              </w:rPr>
              <w:tab/>
            </w:r>
            <w:r w:rsidR="00350268">
              <w:rPr>
                <w:noProof/>
                <w:webHidden/>
              </w:rPr>
              <w:fldChar w:fldCharType="begin"/>
            </w:r>
            <w:r w:rsidR="00350268">
              <w:rPr>
                <w:noProof/>
                <w:webHidden/>
              </w:rPr>
              <w:instrText xml:space="preserve"> PAGEREF _Toc57902840 \h </w:instrText>
            </w:r>
            <w:r w:rsidR="00350268">
              <w:rPr>
                <w:noProof/>
                <w:webHidden/>
              </w:rPr>
            </w:r>
            <w:r w:rsidR="00350268">
              <w:rPr>
                <w:noProof/>
                <w:webHidden/>
              </w:rPr>
              <w:fldChar w:fldCharType="separate"/>
            </w:r>
            <w:r w:rsidR="00350268">
              <w:rPr>
                <w:noProof/>
                <w:webHidden/>
              </w:rPr>
              <w:t>62</w:t>
            </w:r>
            <w:r w:rsidR="00350268">
              <w:rPr>
                <w:noProof/>
                <w:webHidden/>
              </w:rPr>
              <w:fldChar w:fldCharType="end"/>
            </w:r>
          </w:hyperlink>
        </w:p>
        <w:p w14:paraId="02D4EA5C" w14:textId="6C27D299" w:rsidR="00350268" w:rsidRDefault="00317BA0">
          <w:pPr>
            <w:pStyle w:val="TOC3"/>
            <w:tabs>
              <w:tab w:val="left" w:pos="1320"/>
              <w:tab w:val="right" w:leader="dot" w:pos="9782"/>
            </w:tabs>
            <w:rPr>
              <w:noProof/>
            </w:rPr>
          </w:pPr>
          <w:hyperlink w:anchor="_Toc57902841" w:history="1">
            <w:r w:rsidR="00350268" w:rsidRPr="00120925">
              <w:rPr>
                <w:rStyle w:val="Hyperlink"/>
                <w:rFonts w:cs="Times New Roman"/>
                <w:noProof/>
              </w:rPr>
              <w:t>3.8.1</w:t>
            </w:r>
            <w:r w:rsidR="00350268">
              <w:rPr>
                <w:noProof/>
              </w:rPr>
              <w:tab/>
            </w:r>
            <w:r w:rsidR="00350268" w:rsidRPr="00120925">
              <w:rPr>
                <w:rStyle w:val="Hyperlink"/>
                <w:noProof/>
              </w:rPr>
              <w:t>Overview</w:t>
            </w:r>
            <w:r w:rsidR="00350268">
              <w:rPr>
                <w:noProof/>
                <w:webHidden/>
              </w:rPr>
              <w:tab/>
            </w:r>
            <w:r w:rsidR="00350268">
              <w:rPr>
                <w:noProof/>
                <w:webHidden/>
              </w:rPr>
              <w:fldChar w:fldCharType="begin"/>
            </w:r>
            <w:r w:rsidR="00350268">
              <w:rPr>
                <w:noProof/>
                <w:webHidden/>
              </w:rPr>
              <w:instrText xml:space="preserve"> PAGEREF _Toc57902841 \h </w:instrText>
            </w:r>
            <w:r w:rsidR="00350268">
              <w:rPr>
                <w:noProof/>
                <w:webHidden/>
              </w:rPr>
            </w:r>
            <w:r w:rsidR="00350268">
              <w:rPr>
                <w:noProof/>
                <w:webHidden/>
              </w:rPr>
              <w:fldChar w:fldCharType="separate"/>
            </w:r>
            <w:r w:rsidR="00350268">
              <w:rPr>
                <w:noProof/>
                <w:webHidden/>
              </w:rPr>
              <w:t>62</w:t>
            </w:r>
            <w:r w:rsidR="00350268">
              <w:rPr>
                <w:noProof/>
                <w:webHidden/>
              </w:rPr>
              <w:fldChar w:fldCharType="end"/>
            </w:r>
          </w:hyperlink>
        </w:p>
        <w:p w14:paraId="3D2F7349" w14:textId="7A268D60" w:rsidR="00350268" w:rsidRDefault="00317BA0">
          <w:pPr>
            <w:pStyle w:val="TOC3"/>
            <w:tabs>
              <w:tab w:val="left" w:pos="1320"/>
              <w:tab w:val="right" w:leader="dot" w:pos="9782"/>
            </w:tabs>
            <w:rPr>
              <w:noProof/>
            </w:rPr>
          </w:pPr>
          <w:hyperlink w:anchor="_Toc57902842" w:history="1">
            <w:r w:rsidR="00350268" w:rsidRPr="00120925">
              <w:rPr>
                <w:rStyle w:val="Hyperlink"/>
                <w:rFonts w:cs="Times New Roman"/>
                <w:noProof/>
              </w:rPr>
              <w:t>3.8.2</w:t>
            </w:r>
            <w:r w:rsidR="00350268">
              <w:rPr>
                <w:noProof/>
              </w:rPr>
              <w:tab/>
            </w:r>
            <w:r w:rsidR="00350268" w:rsidRPr="00120925">
              <w:rPr>
                <w:rStyle w:val="Hyperlink"/>
                <w:noProof/>
              </w:rPr>
              <w:t>Emissions Trend by Category</w:t>
            </w:r>
            <w:r w:rsidR="00350268">
              <w:rPr>
                <w:noProof/>
                <w:webHidden/>
              </w:rPr>
              <w:tab/>
            </w:r>
            <w:r w:rsidR="00350268">
              <w:rPr>
                <w:noProof/>
                <w:webHidden/>
              </w:rPr>
              <w:fldChar w:fldCharType="begin"/>
            </w:r>
            <w:r w:rsidR="00350268">
              <w:rPr>
                <w:noProof/>
                <w:webHidden/>
              </w:rPr>
              <w:instrText xml:space="preserve"> PAGEREF _Toc57902842 \h </w:instrText>
            </w:r>
            <w:r w:rsidR="00350268">
              <w:rPr>
                <w:noProof/>
                <w:webHidden/>
              </w:rPr>
            </w:r>
            <w:r w:rsidR="00350268">
              <w:rPr>
                <w:noProof/>
                <w:webHidden/>
              </w:rPr>
              <w:fldChar w:fldCharType="separate"/>
            </w:r>
            <w:r w:rsidR="00350268">
              <w:rPr>
                <w:noProof/>
                <w:webHidden/>
              </w:rPr>
              <w:t>66</w:t>
            </w:r>
            <w:r w:rsidR="00350268">
              <w:rPr>
                <w:noProof/>
                <w:webHidden/>
              </w:rPr>
              <w:fldChar w:fldCharType="end"/>
            </w:r>
          </w:hyperlink>
        </w:p>
        <w:p w14:paraId="60668346" w14:textId="2D8047AB" w:rsidR="00350268" w:rsidRDefault="00317BA0">
          <w:pPr>
            <w:pStyle w:val="TOC3"/>
            <w:tabs>
              <w:tab w:val="left" w:pos="1320"/>
              <w:tab w:val="right" w:leader="dot" w:pos="9782"/>
            </w:tabs>
            <w:rPr>
              <w:noProof/>
            </w:rPr>
          </w:pPr>
          <w:hyperlink w:anchor="_Toc57902843" w:history="1">
            <w:r w:rsidR="00350268" w:rsidRPr="00120925">
              <w:rPr>
                <w:rStyle w:val="Hyperlink"/>
                <w:rFonts w:cs="Times New Roman"/>
                <w:noProof/>
              </w:rPr>
              <w:t>3.8.3</w:t>
            </w:r>
            <w:r w:rsidR="00350268">
              <w:rPr>
                <w:noProof/>
              </w:rPr>
              <w:tab/>
            </w:r>
            <w:r w:rsidR="00350268" w:rsidRPr="00120925">
              <w:rPr>
                <w:rStyle w:val="Hyperlink"/>
                <w:noProof/>
              </w:rPr>
              <w:t>Emissions</w:t>
            </w:r>
            <w:r w:rsidR="00350268" w:rsidRPr="00120925">
              <w:rPr>
                <w:rStyle w:val="Hyperlink"/>
                <w:rFonts w:cs="Times New Roman"/>
                <w:noProof/>
              </w:rPr>
              <w:t xml:space="preserve"> </w:t>
            </w:r>
            <w:r w:rsidR="00350268" w:rsidRPr="00120925">
              <w:rPr>
                <w:rStyle w:val="Hyperlink"/>
                <w:noProof/>
              </w:rPr>
              <w:t>Trend</w:t>
            </w:r>
            <w:r w:rsidR="00350268" w:rsidRPr="00120925">
              <w:rPr>
                <w:rStyle w:val="Hyperlink"/>
                <w:rFonts w:cs="Times New Roman"/>
                <w:noProof/>
              </w:rPr>
              <w:t xml:space="preserve"> </w:t>
            </w:r>
            <w:r w:rsidR="00350268" w:rsidRPr="00120925">
              <w:rPr>
                <w:rStyle w:val="Hyperlink"/>
                <w:noProof/>
              </w:rPr>
              <w:t>by</w:t>
            </w:r>
            <w:r w:rsidR="00350268" w:rsidRPr="00120925">
              <w:rPr>
                <w:rStyle w:val="Hyperlink"/>
                <w:rFonts w:cs="Times New Roman"/>
                <w:noProof/>
              </w:rPr>
              <w:t xml:space="preserve"> </w:t>
            </w:r>
            <w:r w:rsidR="00350268" w:rsidRPr="00120925">
              <w:rPr>
                <w:rStyle w:val="Hyperlink"/>
                <w:noProof/>
              </w:rPr>
              <w:t>Gas</w:t>
            </w:r>
            <w:r w:rsidR="00350268" w:rsidRPr="00120925">
              <w:rPr>
                <w:rStyle w:val="Hyperlink"/>
                <w:rFonts w:cs="Times New Roman"/>
                <w:noProof/>
              </w:rPr>
              <w:t xml:space="preserve"> </w:t>
            </w:r>
            <w:r w:rsidR="00350268" w:rsidRPr="00120925">
              <w:rPr>
                <w:rStyle w:val="Hyperlink"/>
                <w:noProof/>
              </w:rPr>
              <w:t>for</w:t>
            </w:r>
            <w:r w:rsidR="00350268" w:rsidRPr="00120925">
              <w:rPr>
                <w:rStyle w:val="Hyperlink"/>
                <w:rFonts w:cs="Times New Roman"/>
                <w:noProof/>
              </w:rPr>
              <w:t xml:space="preserve"> </w:t>
            </w:r>
            <w:r w:rsidR="00350268" w:rsidRPr="00120925">
              <w:rPr>
                <w:rStyle w:val="Hyperlink"/>
                <w:noProof/>
              </w:rPr>
              <w:t>AFOLU</w:t>
            </w:r>
            <w:r w:rsidR="00350268">
              <w:rPr>
                <w:noProof/>
                <w:webHidden/>
              </w:rPr>
              <w:tab/>
            </w:r>
            <w:r w:rsidR="00350268">
              <w:rPr>
                <w:noProof/>
                <w:webHidden/>
              </w:rPr>
              <w:fldChar w:fldCharType="begin"/>
            </w:r>
            <w:r w:rsidR="00350268">
              <w:rPr>
                <w:noProof/>
                <w:webHidden/>
              </w:rPr>
              <w:instrText xml:space="preserve"> PAGEREF _Toc57902843 \h </w:instrText>
            </w:r>
            <w:r w:rsidR="00350268">
              <w:rPr>
                <w:noProof/>
                <w:webHidden/>
              </w:rPr>
            </w:r>
            <w:r w:rsidR="00350268">
              <w:rPr>
                <w:noProof/>
                <w:webHidden/>
              </w:rPr>
              <w:fldChar w:fldCharType="separate"/>
            </w:r>
            <w:r w:rsidR="00350268">
              <w:rPr>
                <w:noProof/>
                <w:webHidden/>
              </w:rPr>
              <w:t>67</w:t>
            </w:r>
            <w:r w:rsidR="00350268">
              <w:rPr>
                <w:noProof/>
                <w:webHidden/>
              </w:rPr>
              <w:fldChar w:fldCharType="end"/>
            </w:r>
          </w:hyperlink>
        </w:p>
        <w:p w14:paraId="57C6F769" w14:textId="33041AA8" w:rsidR="00350268" w:rsidRDefault="00317BA0">
          <w:pPr>
            <w:pStyle w:val="TOC3"/>
            <w:tabs>
              <w:tab w:val="left" w:pos="1320"/>
              <w:tab w:val="right" w:leader="dot" w:pos="9782"/>
            </w:tabs>
            <w:rPr>
              <w:noProof/>
            </w:rPr>
          </w:pPr>
          <w:hyperlink w:anchor="_Toc57902844" w:history="1">
            <w:r w:rsidR="00350268" w:rsidRPr="00120925">
              <w:rPr>
                <w:rStyle w:val="Hyperlink"/>
                <w:rFonts w:cs="Times New Roman"/>
                <w:noProof/>
              </w:rPr>
              <w:t>3.8.4</w:t>
            </w:r>
            <w:r w:rsidR="00350268">
              <w:rPr>
                <w:noProof/>
              </w:rPr>
              <w:tab/>
            </w:r>
            <w:r w:rsidR="00350268" w:rsidRPr="00120925">
              <w:rPr>
                <w:rStyle w:val="Hyperlink"/>
                <w:noProof/>
              </w:rPr>
              <w:t>Livestock</w:t>
            </w:r>
            <w:r w:rsidR="00350268">
              <w:rPr>
                <w:noProof/>
                <w:webHidden/>
              </w:rPr>
              <w:tab/>
            </w:r>
            <w:r w:rsidR="00350268">
              <w:rPr>
                <w:noProof/>
                <w:webHidden/>
              </w:rPr>
              <w:fldChar w:fldCharType="begin"/>
            </w:r>
            <w:r w:rsidR="00350268">
              <w:rPr>
                <w:noProof/>
                <w:webHidden/>
              </w:rPr>
              <w:instrText xml:space="preserve"> PAGEREF _Toc57902844 \h </w:instrText>
            </w:r>
            <w:r w:rsidR="00350268">
              <w:rPr>
                <w:noProof/>
                <w:webHidden/>
              </w:rPr>
            </w:r>
            <w:r w:rsidR="00350268">
              <w:rPr>
                <w:noProof/>
                <w:webHidden/>
              </w:rPr>
              <w:fldChar w:fldCharType="separate"/>
            </w:r>
            <w:r w:rsidR="00350268">
              <w:rPr>
                <w:noProof/>
                <w:webHidden/>
              </w:rPr>
              <w:t>68</w:t>
            </w:r>
            <w:r w:rsidR="00350268">
              <w:rPr>
                <w:noProof/>
                <w:webHidden/>
              </w:rPr>
              <w:fldChar w:fldCharType="end"/>
            </w:r>
          </w:hyperlink>
        </w:p>
        <w:p w14:paraId="070E4EF7" w14:textId="789C2E6A" w:rsidR="00350268" w:rsidRDefault="00317BA0">
          <w:pPr>
            <w:pStyle w:val="TOC3"/>
            <w:tabs>
              <w:tab w:val="left" w:pos="1320"/>
              <w:tab w:val="right" w:leader="dot" w:pos="9782"/>
            </w:tabs>
            <w:rPr>
              <w:noProof/>
            </w:rPr>
          </w:pPr>
          <w:hyperlink w:anchor="_Toc57902845" w:history="1">
            <w:r w:rsidR="00350268" w:rsidRPr="00120925">
              <w:rPr>
                <w:rStyle w:val="Hyperlink"/>
                <w:rFonts w:cs="Times New Roman"/>
                <w:noProof/>
              </w:rPr>
              <w:t>3.8.5</w:t>
            </w:r>
            <w:r w:rsidR="00350268">
              <w:rPr>
                <w:noProof/>
              </w:rPr>
              <w:tab/>
            </w:r>
            <w:r w:rsidR="00350268" w:rsidRPr="00120925">
              <w:rPr>
                <w:rStyle w:val="Hyperlink"/>
                <w:noProof/>
              </w:rPr>
              <w:t>Land</w:t>
            </w:r>
            <w:r w:rsidR="00350268">
              <w:rPr>
                <w:noProof/>
                <w:webHidden/>
              </w:rPr>
              <w:tab/>
            </w:r>
            <w:r w:rsidR="00350268">
              <w:rPr>
                <w:noProof/>
                <w:webHidden/>
              </w:rPr>
              <w:fldChar w:fldCharType="begin"/>
            </w:r>
            <w:r w:rsidR="00350268">
              <w:rPr>
                <w:noProof/>
                <w:webHidden/>
              </w:rPr>
              <w:instrText xml:space="preserve"> PAGEREF _Toc57902845 \h </w:instrText>
            </w:r>
            <w:r w:rsidR="00350268">
              <w:rPr>
                <w:noProof/>
                <w:webHidden/>
              </w:rPr>
            </w:r>
            <w:r w:rsidR="00350268">
              <w:rPr>
                <w:noProof/>
                <w:webHidden/>
              </w:rPr>
              <w:fldChar w:fldCharType="separate"/>
            </w:r>
            <w:r w:rsidR="00350268">
              <w:rPr>
                <w:noProof/>
                <w:webHidden/>
              </w:rPr>
              <w:t>70</w:t>
            </w:r>
            <w:r w:rsidR="00350268">
              <w:rPr>
                <w:noProof/>
                <w:webHidden/>
              </w:rPr>
              <w:fldChar w:fldCharType="end"/>
            </w:r>
          </w:hyperlink>
        </w:p>
        <w:p w14:paraId="4AF808B6" w14:textId="53EDC262" w:rsidR="00350268" w:rsidRDefault="00317BA0">
          <w:pPr>
            <w:pStyle w:val="TOC3"/>
            <w:tabs>
              <w:tab w:val="left" w:pos="1320"/>
              <w:tab w:val="right" w:leader="dot" w:pos="9782"/>
            </w:tabs>
            <w:rPr>
              <w:noProof/>
            </w:rPr>
          </w:pPr>
          <w:hyperlink w:anchor="_Toc57902846" w:history="1">
            <w:r w:rsidR="00350268" w:rsidRPr="00120925">
              <w:rPr>
                <w:rStyle w:val="Hyperlink"/>
                <w:rFonts w:cs="Times New Roman"/>
                <w:noProof/>
              </w:rPr>
              <w:t>3.8.6</w:t>
            </w:r>
            <w:r w:rsidR="00350268">
              <w:rPr>
                <w:noProof/>
              </w:rPr>
              <w:tab/>
            </w:r>
            <w:r w:rsidR="00350268" w:rsidRPr="00120925">
              <w:rPr>
                <w:rStyle w:val="Hyperlink"/>
                <w:noProof/>
              </w:rPr>
              <w:t>Aggregate Sources and Non-CO</w:t>
            </w:r>
            <w:r w:rsidR="00350268" w:rsidRPr="00120925">
              <w:rPr>
                <w:rStyle w:val="Hyperlink"/>
                <w:noProof/>
                <w:vertAlign w:val="subscript"/>
              </w:rPr>
              <w:t>2</w:t>
            </w:r>
            <w:r w:rsidR="00350268" w:rsidRPr="00120925">
              <w:rPr>
                <w:rStyle w:val="Hyperlink"/>
                <w:noProof/>
              </w:rPr>
              <w:t xml:space="preserve"> emissions on land</w:t>
            </w:r>
            <w:r w:rsidR="00350268">
              <w:rPr>
                <w:noProof/>
                <w:webHidden/>
              </w:rPr>
              <w:tab/>
            </w:r>
            <w:r w:rsidR="00350268">
              <w:rPr>
                <w:noProof/>
                <w:webHidden/>
              </w:rPr>
              <w:fldChar w:fldCharType="begin"/>
            </w:r>
            <w:r w:rsidR="00350268">
              <w:rPr>
                <w:noProof/>
                <w:webHidden/>
              </w:rPr>
              <w:instrText xml:space="preserve"> PAGEREF _Toc57902846 \h </w:instrText>
            </w:r>
            <w:r w:rsidR="00350268">
              <w:rPr>
                <w:noProof/>
                <w:webHidden/>
              </w:rPr>
            </w:r>
            <w:r w:rsidR="00350268">
              <w:rPr>
                <w:noProof/>
                <w:webHidden/>
              </w:rPr>
              <w:fldChar w:fldCharType="separate"/>
            </w:r>
            <w:r w:rsidR="00350268">
              <w:rPr>
                <w:noProof/>
                <w:webHidden/>
              </w:rPr>
              <w:t>79</w:t>
            </w:r>
            <w:r w:rsidR="00350268">
              <w:rPr>
                <w:noProof/>
                <w:webHidden/>
              </w:rPr>
              <w:fldChar w:fldCharType="end"/>
            </w:r>
          </w:hyperlink>
        </w:p>
        <w:p w14:paraId="287303B0" w14:textId="3275B91A" w:rsidR="00350268" w:rsidRDefault="00317BA0">
          <w:pPr>
            <w:pStyle w:val="TOC3"/>
            <w:tabs>
              <w:tab w:val="left" w:pos="1320"/>
              <w:tab w:val="right" w:leader="dot" w:pos="9782"/>
            </w:tabs>
            <w:rPr>
              <w:noProof/>
            </w:rPr>
          </w:pPr>
          <w:hyperlink w:anchor="_Toc57902847" w:history="1">
            <w:r w:rsidR="00350268" w:rsidRPr="00120925">
              <w:rPr>
                <w:rStyle w:val="Hyperlink"/>
                <w:rFonts w:cs="Times New Roman"/>
                <w:noProof/>
              </w:rPr>
              <w:t>3.8.7</w:t>
            </w:r>
            <w:r w:rsidR="00350268">
              <w:rPr>
                <w:noProof/>
              </w:rPr>
              <w:tab/>
            </w:r>
            <w:r w:rsidR="00350268" w:rsidRPr="00120925">
              <w:rPr>
                <w:rStyle w:val="Hyperlink"/>
                <w:noProof/>
              </w:rPr>
              <w:t>Methodological issues</w:t>
            </w:r>
            <w:r w:rsidR="00350268">
              <w:rPr>
                <w:noProof/>
                <w:webHidden/>
              </w:rPr>
              <w:tab/>
            </w:r>
            <w:r w:rsidR="00350268">
              <w:rPr>
                <w:noProof/>
                <w:webHidden/>
              </w:rPr>
              <w:fldChar w:fldCharType="begin"/>
            </w:r>
            <w:r w:rsidR="00350268">
              <w:rPr>
                <w:noProof/>
                <w:webHidden/>
              </w:rPr>
              <w:instrText xml:space="preserve"> PAGEREF _Toc57902847 \h </w:instrText>
            </w:r>
            <w:r w:rsidR="00350268">
              <w:rPr>
                <w:noProof/>
                <w:webHidden/>
              </w:rPr>
            </w:r>
            <w:r w:rsidR="00350268">
              <w:rPr>
                <w:noProof/>
                <w:webHidden/>
              </w:rPr>
              <w:fldChar w:fldCharType="separate"/>
            </w:r>
            <w:r w:rsidR="00350268">
              <w:rPr>
                <w:noProof/>
                <w:webHidden/>
              </w:rPr>
              <w:t>85</w:t>
            </w:r>
            <w:r w:rsidR="00350268">
              <w:rPr>
                <w:noProof/>
                <w:webHidden/>
              </w:rPr>
              <w:fldChar w:fldCharType="end"/>
            </w:r>
          </w:hyperlink>
        </w:p>
        <w:p w14:paraId="5F613B0C" w14:textId="1B5A8ED3" w:rsidR="00350268" w:rsidRDefault="00317BA0">
          <w:pPr>
            <w:pStyle w:val="TOC3"/>
            <w:tabs>
              <w:tab w:val="left" w:pos="1320"/>
              <w:tab w:val="right" w:leader="dot" w:pos="9782"/>
            </w:tabs>
            <w:rPr>
              <w:noProof/>
            </w:rPr>
          </w:pPr>
          <w:hyperlink w:anchor="_Toc57902848" w:history="1">
            <w:r w:rsidR="00350268" w:rsidRPr="00120925">
              <w:rPr>
                <w:rStyle w:val="Hyperlink"/>
                <w:rFonts w:cs="Times New Roman"/>
                <w:noProof/>
              </w:rPr>
              <w:t>3.8.8</w:t>
            </w:r>
            <w:r w:rsidR="00350268">
              <w:rPr>
                <w:noProof/>
              </w:rPr>
              <w:tab/>
            </w:r>
            <w:r w:rsidR="00350268" w:rsidRPr="00120925">
              <w:rPr>
                <w:rStyle w:val="Hyperlink"/>
                <w:noProof/>
              </w:rPr>
              <w:t>Activity Data</w:t>
            </w:r>
            <w:r w:rsidR="00350268">
              <w:rPr>
                <w:noProof/>
                <w:webHidden/>
              </w:rPr>
              <w:tab/>
            </w:r>
            <w:r w:rsidR="00350268">
              <w:rPr>
                <w:noProof/>
                <w:webHidden/>
              </w:rPr>
              <w:fldChar w:fldCharType="begin"/>
            </w:r>
            <w:r w:rsidR="00350268">
              <w:rPr>
                <w:noProof/>
                <w:webHidden/>
              </w:rPr>
              <w:instrText xml:space="preserve"> PAGEREF _Toc57902848 \h </w:instrText>
            </w:r>
            <w:r w:rsidR="00350268">
              <w:rPr>
                <w:noProof/>
                <w:webHidden/>
              </w:rPr>
            </w:r>
            <w:r w:rsidR="00350268">
              <w:rPr>
                <w:noProof/>
                <w:webHidden/>
              </w:rPr>
              <w:fldChar w:fldCharType="separate"/>
            </w:r>
            <w:r w:rsidR="00350268">
              <w:rPr>
                <w:noProof/>
                <w:webHidden/>
              </w:rPr>
              <w:t>85</w:t>
            </w:r>
            <w:r w:rsidR="00350268">
              <w:rPr>
                <w:noProof/>
                <w:webHidden/>
              </w:rPr>
              <w:fldChar w:fldCharType="end"/>
            </w:r>
          </w:hyperlink>
        </w:p>
        <w:p w14:paraId="30231978" w14:textId="0ADB9BB4" w:rsidR="00350268" w:rsidRDefault="00317BA0">
          <w:pPr>
            <w:pStyle w:val="TOC3"/>
            <w:tabs>
              <w:tab w:val="left" w:pos="1320"/>
              <w:tab w:val="right" w:leader="dot" w:pos="9782"/>
            </w:tabs>
            <w:rPr>
              <w:noProof/>
            </w:rPr>
          </w:pPr>
          <w:hyperlink w:anchor="_Toc57902849" w:history="1">
            <w:r w:rsidR="00350268" w:rsidRPr="00120925">
              <w:rPr>
                <w:rStyle w:val="Hyperlink"/>
                <w:rFonts w:cs="Times New Roman"/>
                <w:noProof/>
              </w:rPr>
              <w:t>3.8.9</w:t>
            </w:r>
            <w:r w:rsidR="00350268">
              <w:rPr>
                <w:noProof/>
              </w:rPr>
              <w:tab/>
            </w:r>
            <w:r w:rsidR="00350268" w:rsidRPr="00120925">
              <w:rPr>
                <w:rStyle w:val="Hyperlink"/>
                <w:noProof/>
              </w:rPr>
              <w:t>Uncertainties</w:t>
            </w:r>
            <w:r w:rsidR="00350268">
              <w:rPr>
                <w:noProof/>
                <w:webHidden/>
              </w:rPr>
              <w:tab/>
            </w:r>
            <w:r w:rsidR="00350268">
              <w:rPr>
                <w:noProof/>
                <w:webHidden/>
              </w:rPr>
              <w:fldChar w:fldCharType="begin"/>
            </w:r>
            <w:r w:rsidR="00350268">
              <w:rPr>
                <w:noProof/>
                <w:webHidden/>
              </w:rPr>
              <w:instrText xml:space="preserve"> PAGEREF _Toc57902849 \h </w:instrText>
            </w:r>
            <w:r w:rsidR="00350268">
              <w:rPr>
                <w:noProof/>
                <w:webHidden/>
              </w:rPr>
            </w:r>
            <w:r w:rsidR="00350268">
              <w:rPr>
                <w:noProof/>
                <w:webHidden/>
              </w:rPr>
              <w:fldChar w:fldCharType="separate"/>
            </w:r>
            <w:r w:rsidR="00350268">
              <w:rPr>
                <w:noProof/>
                <w:webHidden/>
              </w:rPr>
              <w:t>86</w:t>
            </w:r>
            <w:r w:rsidR="00350268">
              <w:rPr>
                <w:noProof/>
                <w:webHidden/>
              </w:rPr>
              <w:fldChar w:fldCharType="end"/>
            </w:r>
          </w:hyperlink>
        </w:p>
        <w:p w14:paraId="4D94EFD4" w14:textId="2C427D45" w:rsidR="00350268" w:rsidRDefault="00317BA0">
          <w:pPr>
            <w:pStyle w:val="TOC3"/>
            <w:tabs>
              <w:tab w:val="left" w:pos="1320"/>
              <w:tab w:val="right" w:leader="dot" w:pos="9782"/>
            </w:tabs>
            <w:rPr>
              <w:noProof/>
            </w:rPr>
          </w:pPr>
          <w:hyperlink w:anchor="_Toc57902850" w:history="1">
            <w:r w:rsidR="00350268" w:rsidRPr="00120925">
              <w:rPr>
                <w:rStyle w:val="Hyperlink"/>
                <w:rFonts w:cs="Times New Roman"/>
                <w:noProof/>
              </w:rPr>
              <w:t>3.8.10</w:t>
            </w:r>
            <w:r w:rsidR="00350268">
              <w:rPr>
                <w:noProof/>
              </w:rPr>
              <w:tab/>
            </w:r>
            <w:r w:rsidR="00350268" w:rsidRPr="00120925">
              <w:rPr>
                <w:rStyle w:val="Hyperlink"/>
                <w:noProof/>
              </w:rPr>
              <w:t>QA/QC and Verification</w:t>
            </w:r>
            <w:r w:rsidR="00350268">
              <w:rPr>
                <w:noProof/>
                <w:webHidden/>
              </w:rPr>
              <w:tab/>
            </w:r>
            <w:r w:rsidR="00350268">
              <w:rPr>
                <w:noProof/>
                <w:webHidden/>
              </w:rPr>
              <w:fldChar w:fldCharType="begin"/>
            </w:r>
            <w:r w:rsidR="00350268">
              <w:rPr>
                <w:noProof/>
                <w:webHidden/>
              </w:rPr>
              <w:instrText xml:space="preserve"> PAGEREF _Toc57902850 \h </w:instrText>
            </w:r>
            <w:r w:rsidR="00350268">
              <w:rPr>
                <w:noProof/>
                <w:webHidden/>
              </w:rPr>
            </w:r>
            <w:r w:rsidR="00350268">
              <w:rPr>
                <w:noProof/>
                <w:webHidden/>
              </w:rPr>
              <w:fldChar w:fldCharType="separate"/>
            </w:r>
            <w:r w:rsidR="00350268">
              <w:rPr>
                <w:noProof/>
                <w:webHidden/>
              </w:rPr>
              <w:t>86</w:t>
            </w:r>
            <w:r w:rsidR="00350268">
              <w:rPr>
                <w:noProof/>
                <w:webHidden/>
              </w:rPr>
              <w:fldChar w:fldCharType="end"/>
            </w:r>
          </w:hyperlink>
        </w:p>
        <w:p w14:paraId="65C16CAF" w14:textId="2BDE005B" w:rsidR="00350268" w:rsidRDefault="00317BA0">
          <w:pPr>
            <w:pStyle w:val="TOC3"/>
            <w:tabs>
              <w:tab w:val="left" w:pos="1320"/>
              <w:tab w:val="right" w:leader="dot" w:pos="9782"/>
            </w:tabs>
            <w:rPr>
              <w:noProof/>
            </w:rPr>
          </w:pPr>
          <w:hyperlink w:anchor="_Toc57902851" w:history="1">
            <w:r w:rsidR="00350268" w:rsidRPr="00120925">
              <w:rPr>
                <w:rStyle w:val="Hyperlink"/>
                <w:rFonts w:cs="Times New Roman"/>
                <w:noProof/>
              </w:rPr>
              <w:t>3.8.11</w:t>
            </w:r>
            <w:r w:rsidR="00350268">
              <w:rPr>
                <w:noProof/>
              </w:rPr>
              <w:tab/>
            </w:r>
            <w:r w:rsidR="00350268" w:rsidRPr="00120925">
              <w:rPr>
                <w:rStyle w:val="Hyperlink"/>
                <w:noProof/>
              </w:rPr>
              <w:t>Recalculations</w:t>
            </w:r>
            <w:r w:rsidR="00350268">
              <w:rPr>
                <w:noProof/>
                <w:webHidden/>
              </w:rPr>
              <w:tab/>
            </w:r>
            <w:r w:rsidR="00350268">
              <w:rPr>
                <w:noProof/>
                <w:webHidden/>
              </w:rPr>
              <w:fldChar w:fldCharType="begin"/>
            </w:r>
            <w:r w:rsidR="00350268">
              <w:rPr>
                <w:noProof/>
                <w:webHidden/>
              </w:rPr>
              <w:instrText xml:space="preserve"> PAGEREF _Toc57902851 \h </w:instrText>
            </w:r>
            <w:r w:rsidR="00350268">
              <w:rPr>
                <w:noProof/>
                <w:webHidden/>
              </w:rPr>
            </w:r>
            <w:r w:rsidR="00350268">
              <w:rPr>
                <w:noProof/>
                <w:webHidden/>
              </w:rPr>
              <w:fldChar w:fldCharType="separate"/>
            </w:r>
            <w:r w:rsidR="00350268">
              <w:rPr>
                <w:noProof/>
                <w:webHidden/>
              </w:rPr>
              <w:t>86</w:t>
            </w:r>
            <w:r w:rsidR="00350268">
              <w:rPr>
                <w:noProof/>
                <w:webHidden/>
              </w:rPr>
              <w:fldChar w:fldCharType="end"/>
            </w:r>
          </w:hyperlink>
        </w:p>
        <w:p w14:paraId="48735927" w14:textId="3E2CC867" w:rsidR="00350268" w:rsidRDefault="00317BA0">
          <w:pPr>
            <w:pStyle w:val="TOC3"/>
            <w:tabs>
              <w:tab w:val="left" w:pos="1320"/>
              <w:tab w:val="right" w:leader="dot" w:pos="9782"/>
            </w:tabs>
            <w:rPr>
              <w:noProof/>
            </w:rPr>
          </w:pPr>
          <w:hyperlink w:anchor="_Toc57902852" w:history="1">
            <w:r w:rsidR="00350268" w:rsidRPr="00120925">
              <w:rPr>
                <w:rStyle w:val="Hyperlink"/>
                <w:rFonts w:cs="Times New Roman"/>
                <w:noProof/>
              </w:rPr>
              <w:t>3.8.12</w:t>
            </w:r>
            <w:r w:rsidR="00350268">
              <w:rPr>
                <w:noProof/>
              </w:rPr>
              <w:tab/>
            </w:r>
            <w:r w:rsidR="00350268" w:rsidRPr="00120925">
              <w:rPr>
                <w:rStyle w:val="Hyperlink"/>
                <w:noProof/>
              </w:rPr>
              <w:t>Planned improvements</w:t>
            </w:r>
            <w:r w:rsidR="00350268">
              <w:rPr>
                <w:noProof/>
                <w:webHidden/>
              </w:rPr>
              <w:tab/>
            </w:r>
            <w:r w:rsidR="00350268">
              <w:rPr>
                <w:noProof/>
                <w:webHidden/>
              </w:rPr>
              <w:fldChar w:fldCharType="begin"/>
            </w:r>
            <w:r w:rsidR="00350268">
              <w:rPr>
                <w:noProof/>
                <w:webHidden/>
              </w:rPr>
              <w:instrText xml:space="preserve"> PAGEREF _Toc57902852 \h </w:instrText>
            </w:r>
            <w:r w:rsidR="00350268">
              <w:rPr>
                <w:noProof/>
                <w:webHidden/>
              </w:rPr>
            </w:r>
            <w:r w:rsidR="00350268">
              <w:rPr>
                <w:noProof/>
                <w:webHidden/>
              </w:rPr>
              <w:fldChar w:fldCharType="separate"/>
            </w:r>
            <w:r w:rsidR="00350268">
              <w:rPr>
                <w:noProof/>
                <w:webHidden/>
              </w:rPr>
              <w:t>86</w:t>
            </w:r>
            <w:r w:rsidR="00350268">
              <w:rPr>
                <w:noProof/>
                <w:webHidden/>
              </w:rPr>
              <w:fldChar w:fldCharType="end"/>
            </w:r>
          </w:hyperlink>
        </w:p>
        <w:p w14:paraId="0C30165F" w14:textId="120AF77C" w:rsidR="00350268" w:rsidRDefault="00317BA0">
          <w:pPr>
            <w:pStyle w:val="TOC2"/>
            <w:rPr>
              <w:rFonts w:asciiTheme="minorHAnsi" w:eastAsiaTheme="minorEastAsia" w:hAnsiTheme="minorHAnsi" w:cstheme="minorBidi"/>
              <w:noProof/>
              <w:sz w:val="22"/>
              <w:szCs w:val="22"/>
            </w:rPr>
          </w:pPr>
          <w:hyperlink w:anchor="_Toc57902853" w:history="1">
            <w:r w:rsidR="00350268" w:rsidRPr="00120925">
              <w:rPr>
                <w:rStyle w:val="Hyperlink"/>
                <w:b/>
                <w:bCs/>
                <w:noProof/>
              </w:rPr>
              <w:t>3.9</w:t>
            </w:r>
            <w:r w:rsidR="00350268">
              <w:rPr>
                <w:rFonts w:asciiTheme="minorHAnsi" w:eastAsiaTheme="minorEastAsia" w:hAnsiTheme="minorHAnsi" w:cstheme="minorBidi"/>
                <w:noProof/>
                <w:sz w:val="22"/>
                <w:szCs w:val="22"/>
              </w:rPr>
              <w:tab/>
            </w:r>
            <w:r w:rsidR="00350268" w:rsidRPr="00120925">
              <w:rPr>
                <w:rStyle w:val="Hyperlink"/>
                <w:b/>
                <w:bCs/>
                <w:noProof/>
              </w:rPr>
              <w:t>Waste</w:t>
            </w:r>
            <w:r w:rsidR="00350268">
              <w:rPr>
                <w:noProof/>
                <w:webHidden/>
              </w:rPr>
              <w:tab/>
            </w:r>
            <w:r w:rsidR="00350268">
              <w:rPr>
                <w:noProof/>
                <w:webHidden/>
              </w:rPr>
              <w:fldChar w:fldCharType="begin"/>
            </w:r>
            <w:r w:rsidR="00350268">
              <w:rPr>
                <w:noProof/>
                <w:webHidden/>
              </w:rPr>
              <w:instrText xml:space="preserve"> PAGEREF _Toc57902853 \h </w:instrText>
            </w:r>
            <w:r w:rsidR="00350268">
              <w:rPr>
                <w:noProof/>
                <w:webHidden/>
              </w:rPr>
            </w:r>
            <w:r w:rsidR="00350268">
              <w:rPr>
                <w:noProof/>
                <w:webHidden/>
              </w:rPr>
              <w:fldChar w:fldCharType="separate"/>
            </w:r>
            <w:r w:rsidR="00350268">
              <w:rPr>
                <w:noProof/>
                <w:webHidden/>
              </w:rPr>
              <w:t>87</w:t>
            </w:r>
            <w:r w:rsidR="00350268">
              <w:rPr>
                <w:noProof/>
                <w:webHidden/>
              </w:rPr>
              <w:fldChar w:fldCharType="end"/>
            </w:r>
          </w:hyperlink>
        </w:p>
        <w:p w14:paraId="2BD6EEE3" w14:textId="4E27BC9B" w:rsidR="00350268" w:rsidRDefault="00317BA0">
          <w:pPr>
            <w:pStyle w:val="TOC3"/>
            <w:tabs>
              <w:tab w:val="left" w:pos="1320"/>
              <w:tab w:val="right" w:leader="dot" w:pos="9782"/>
            </w:tabs>
            <w:rPr>
              <w:noProof/>
            </w:rPr>
          </w:pPr>
          <w:hyperlink w:anchor="_Toc57902854" w:history="1">
            <w:r w:rsidR="00350268" w:rsidRPr="00120925">
              <w:rPr>
                <w:rStyle w:val="Hyperlink"/>
                <w:rFonts w:cs="Times New Roman"/>
                <w:noProof/>
              </w:rPr>
              <w:t>3.9.1</w:t>
            </w:r>
            <w:r w:rsidR="00350268">
              <w:rPr>
                <w:noProof/>
              </w:rPr>
              <w:tab/>
            </w:r>
            <w:r w:rsidR="00350268" w:rsidRPr="00120925">
              <w:rPr>
                <w:rStyle w:val="Hyperlink"/>
                <w:noProof/>
              </w:rPr>
              <w:t>Overview</w:t>
            </w:r>
            <w:r w:rsidR="00350268">
              <w:rPr>
                <w:noProof/>
                <w:webHidden/>
              </w:rPr>
              <w:tab/>
            </w:r>
            <w:r w:rsidR="00350268">
              <w:rPr>
                <w:noProof/>
                <w:webHidden/>
              </w:rPr>
              <w:fldChar w:fldCharType="begin"/>
            </w:r>
            <w:r w:rsidR="00350268">
              <w:rPr>
                <w:noProof/>
                <w:webHidden/>
              </w:rPr>
              <w:instrText xml:space="preserve"> PAGEREF _Toc57902854 \h </w:instrText>
            </w:r>
            <w:r w:rsidR="00350268">
              <w:rPr>
                <w:noProof/>
                <w:webHidden/>
              </w:rPr>
            </w:r>
            <w:r w:rsidR="00350268">
              <w:rPr>
                <w:noProof/>
                <w:webHidden/>
              </w:rPr>
              <w:fldChar w:fldCharType="separate"/>
            </w:r>
            <w:r w:rsidR="00350268">
              <w:rPr>
                <w:noProof/>
                <w:webHidden/>
              </w:rPr>
              <w:t>87</w:t>
            </w:r>
            <w:r w:rsidR="00350268">
              <w:rPr>
                <w:noProof/>
                <w:webHidden/>
              </w:rPr>
              <w:fldChar w:fldCharType="end"/>
            </w:r>
          </w:hyperlink>
        </w:p>
        <w:p w14:paraId="6F975307" w14:textId="0B98B303" w:rsidR="00350268" w:rsidRDefault="00317BA0">
          <w:pPr>
            <w:pStyle w:val="TOC3"/>
            <w:tabs>
              <w:tab w:val="left" w:pos="1320"/>
              <w:tab w:val="right" w:leader="dot" w:pos="9782"/>
            </w:tabs>
            <w:rPr>
              <w:noProof/>
            </w:rPr>
          </w:pPr>
          <w:hyperlink w:anchor="_Toc57902855" w:history="1">
            <w:r w:rsidR="00350268" w:rsidRPr="00120925">
              <w:rPr>
                <w:rStyle w:val="Hyperlink"/>
                <w:rFonts w:cs="Times New Roman"/>
                <w:noProof/>
              </w:rPr>
              <w:t>3.9.2</w:t>
            </w:r>
            <w:r w:rsidR="00350268">
              <w:rPr>
                <w:noProof/>
              </w:rPr>
              <w:tab/>
            </w:r>
            <w:r w:rsidR="00350268" w:rsidRPr="00120925">
              <w:rPr>
                <w:rStyle w:val="Hyperlink"/>
                <w:noProof/>
              </w:rPr>
              <w:t>Overall Sector Emissions</w:t>
            </w:r>
            <w:r w:rsidR="00350268">
              <w:rPr>
                <w:noProof/>
                <w:webHidden/>
              </w:rPr>
              <w:tab/>
            </w:r>
            <w:r w:rsidR="00350268">
              <w:rPr>
                <w:noProof/>
                <w:webHidden/>
              </w:rPr>
              <w:fldChar w:fldCharType="begin"/>
            </w:r>
            <w:r w:rsidR="00350268">
              <w:rPr>
                <w:noProof/>
                <w:webHidden/>
              </w:rPr>
              <w:instrText xml:space="preserve"> PAGEREF _Toc57902855 \h </w:instrText>
            </w:r>
            <w:r w:rsidR="00350268">
              <w:rPr>
                <w:noProof/>
                <w:webHidden/>
              </w:rPr>
            </w:r>
            <w:r w:rsidR="00350268">
              <w:rPr>
                <w:noProof/>
                <w:webHidden/>
              </w:rPr>
              <w:fldChar w:fldCharType="separate"/>
            </w:r>
            <w:r w:rsidR="00350268">
              <w:rPr>
                <w:noProof/>
                <w:webHidden/>
              </w:rPr>
              <w:t>87</w:t>
            </w:r>
            <w:r w:rsidR="00350268">
              <w:rPr>
                <w:noProof/>
                <w:webHidden/>
              </w:rPr>
              <w:fldChar w:fldCharType="end"/>
            </w:r>
          </w:hyperlink>
        </w:p>
        <w:p w14:paraId="1B592835" w14:textId="6D0BF53F" w:rsidR="00350268" w:rsidRDefault="00317BA0">
          <w:pPr>
            <w:pStyle w:val="TOC3"/>
            <w:tabs>
              <w:tab w:val="left" w:pos="1320"/>
              <w:tab w:val="right" w:leader="dot" w:pos="9782"/>
            </w:tabs>
            <w:rPr>
              <w:noProof/>
            </w:rPr>
          </w:pPr>
          <w:hyperlink w:anchor="_Toc57902856" w:history="1">
            <w:r w:rsidR="00350268" w:rsidRPr="00120925">
              <w:rPr>
                <w:rStyle w:val="Hyperlink"/>
                <w:rFonts w:cs="Times New Roman"/>
                <w:noProof/>
              </w:rPr>
              <w:t>3.9.3</w:t>
            </w:r>
            <w:r w:rsidR="00350268">
              <w:rPr>
                <w:noProof/>
              </w:rPr>
              <w:tab/>
            </w:r>
            <w:r w:rsidR="00350268" w:rsidRPr="00120925">
              <w:rPr>
                <w:rStyle w:val="Hyperlink"/>
                <w:noProof/>
              </w:rPr>
              <w:t>Emissions from Categories</w:t>
            </w:r>
            <w:r w:rsidR="00350268">
              <w:rPr>
                <w:noProof/>
                <w:webHidden/>
              </w:rPr>
              <w:tab/>
            </w:r>
            <w:r w:rsidR="00350268">
              <w:rPr>
                <w:noProof/>
                <w:webHidden/>
              </w:rPr>
              <w:fldChar w:fldCharType="begin"/>
            </w:r>
            <w:r w:rsidR="00350268">
              <w:rPr>
                <w:noProof/>
                <w:webHidden/>
              </w:rPr>
              <w:instrText xml:space="preserve"> PAGEREF _Toc57902856 \h </w:instrText>
            </w:r>
            <w:r w:rsidR="00350268">
              <w:rPr>
                <w:noProof/>
                <w:webHidden/>
              </w:rPr>
            </w:r>
            <w:r w:rsidR="00350268">
              <w:rPr>
                <w:noProof/>
                <w:webHidden/>
              </w:rPr>
              <w:fldChar w:fldCharType="separate"/>
            </w:r>
            <w:r w:rsidR="00350268">
              <w:rPr>
                <w:noProof/>
                <w:webHidden/>
              </w:rPr>
              <w:t>89</w:t>
            </w:r>
            <w:r w:rsidR="00350268">
              <w:rPr>
                <w:noProof/>
                <w:webHidden/>
              </w:rPr>
              <w:fldChar w:fldCharType="end"/>
            </w:r>
          </w:hyperlink>
        </w:p>
        <w:p w14:paraId="46684C0D" w14:textId="2C250D09" w:rsidR="00350268" w:rsidRDefault="00317BA0">
          <w:pPr>
            <w:pStyle w:val="TOC3"/>
            <w:tabs>
              <w:tab w:val="left" w:pos="1320"/>
              <w:tab w:val="right" w:leader="dot" w:pos="9782"/>
            </w:tabs>
            <w:rPr>
              <w:noProof/>
            </w:rPr>
          </w:pPr>
          <w:hyperlink w:anchor="_Toc57902857" w:history="1">
            <w:r w:rsidR="00350268" w:rsidRPr="00120925">
              <w:rPr>
                <w:rStyle w:val="Hyperlink"/>
                <w:rFonts w:cs="Times New Roman"/>
                <w:noProof/>
              </w:rPr>
              <w:t>3.9.4</w:t>
            </w:r>
            <w:r w:rsidR="00350268">
              <w:rPr>
                <w:noProof/>
              </w:rPr>
              <w:tab/>
            </w:r>
            <w:r w:rsidR="00350268" w:rsidRPr="00120925">
              <w:rPr>
                <w:rStyle w:val="Hyperlink"/>
                <w:noProof/>
              </w:rPr>
              <w:t>Uncertainties</w:t>
            </w:r>
            <w:r w:rsidR="00350268">
              <w:rPr>
                <w:noProof/>
                <w:webHidden/>
              </w:rPr>
              <w:tab/>
            </w:r>
            <w:r w:rsidR="00350268">
              <w:rPr>
                <w:noProof/>
                <w:webHidden/>
              </w:rPr>
              <w:fldChar w:fldCharType="begin"/>
            </w:r>
            <w:r w:rsidR="00350268">
              <w:rPr>
                <w:noProof/>
                <w:webHidden/>
              </w:rPr>
              <w:instrText xml:space="preserve"> PAGEREF _Toc57902857 \h </w:instrText>
            </w:r>
            <w:r w:rsidR="00350268">
              <w:rPr>
                <w:noProof/>
                <w:webHidden/>
              </w:rPr>
            </w:r>
            <w:r w:rsidR="00350268">
              <w:rPr>
                <w:noProof/>
                <w:webHidden/>
              </w:rPr>
              <w:fldChar w:fldCharType="separate"/>
            </w:r>
            <w:r w:rsidR="00350268">
              <w:rPr>
                <w:noProof/>
                <w:webHidden/>
              </w:rPr>
              <w:t>91</w:t>
            </w:r>
            <w:r w:rsidR="00350268">
              <w:rPr>
                <w:noProof/>
                <w:webHidden/>
              </w:rPr>
              <w:fldChar w:fldCharType="end"/>
            </w:r>
          </w:hyperlink>
        </w:p>
        <w:p w14:paraId="2A3A5D8D" w14:textId="5CC21401" w:rsidR="00350268" w:rsidRDefault="00317BA0">
          <w:pPr>
            <w:pStyle w:val="TOC3"/>
            <w:tabs>
              <w:tab w:val="left" w:pos="1320"/>
              <w:tab w:val="right" w:leader="dot" w:pos="9782"/>
            </w:tabs>
            <w:rPr>
              <w:noProof/>
            </w:rPr>
          </w:pPr>
          <w:hyperlink w:anchor="_Toc57902858" w:history="1">
            <w:r w:rsidR="00350268" w:rsidRPr="00120925">
              <w:rPr>
                <w:rStyle w:val="Hyperlink"/>
                <w:rFonts w:cs="Times New Roman"/>
                <w:noProof/>
              </w:rPr>
              <w:t>3.9.5</w:t>
            </w:r>
            <w:r w:rsidR="00350268">
              <w:rPr>
                <w:noProof/>
              </w:rPr>
              <w:tab/>
            </w:r>
            <w:r w:rsidR="00350268" w:rsidRPr="00120925">
              <w:rPr>
                <w:rStyle w:val="Hyperlink"/>
                <w:noProof/>
              </w:rPr>
              <w:t>QA/QC and verification</w:t>
            </w:r>
            <w:r w:rsidR="00350268">
              <w:rPr>
                <w:noProof/>
                <w:webHidden/>
              </w:rPr>
              <w:tab/>
            </w:r>
            <w:r w:rsidR="00350268">
              <w:rPr>
                <w:noProof/>
                <w:webHidden/>
              </w:rPr>
              <w:fldChar w:fldCharType="begin"/>
            </w:r>
            <w:r w:rsidR="00350268">
              <w:rPr>
                <w:noProof/>
                <w:webHidden/>
              </w:rPr>
              <w:instrText xml:space="preserve"> PAGEREF _Toc57902858 \h </w:instrText>
            </w:r>
            <w:r w:rsidR="00350268">
              <w:rPr>
                <w:noProof/>
                <w:webHidden/>
              </w:rPr>
            </w:r>
            <w:r w:rsidR="00350268">
              <w:rPr>
                <w:noProof/>
                <w:webHidden/>
              </w:rPr>
              <w:fldChar w:fldCharType="separate"/>
            </w:r>
            <w:r w:rsidR="00350268">
              <w:rPr>
                <w:noProof/>
                <w:webHidden/>
              </w:rPr>
              <w:t>91</w:t>
            </w:r>
            <w:r w:rsidR="00350268">
              <w:rPr>
                <w:noProof/>
                <w:webHidden/>
              </w:rPr>
              <w:fldChar w:fldCharType="end"/>
            </w:r>
          </w:hyperlink>
        </w:p>
        <w:p w14:paraId="1C23A0FF" w14:textId="6382D137" w:rsidR="00350268" w:rsidRDefault="00317BA0">
          <w:pPr>
            <w:pStyle w:val="TOC3"/>
            <w:tabs>
              <w:tab w:val="left" w:pos="1320"/>
              <w:tab w:val="right" w:leader="dot" w:pos="9782"/>
            </w:tabs>
            <w:rPr>
              <w:noProof/>
            </w:rPr>
          </w:pPr>
          <w:hyperlink w:anchor="_Toc57902859" w:history="1">
            <w:r w:rsidR="00350268" w:rsidRPr="00120925">
              <w:rPr>
                <w:rStyle w:val="Hyperlink"/>
                <w:rFonts w:cs="Times New Roman"/>
                <w:noProof/>
              </w:rPr>
              <w:t>3.9.6</w:t>
            </w:r>
            <w:r w:rsidR="00350268">
              <w:rPr>
                <w:noProof/>
              </w:rPr>
              <w:tab/>
            </w:r>
            <w:r w:rsidR="00350268" w:rsidRPr="00120925">
              <w:rPr>
                <w:rStyle w:val="Hyperlink"/>
                <w:noProof/>
              </w:rPr>
              <w:t>Recalculations</w:t>
            </w:r>
            <w:r w:rsidR="00350268">
              <w:rPr>
                <w:noProof/>
                <w:webHidden/>
              </w:rPr>
              <w:tab/>
            </w:r>
            <w:r w:rsidR="00350268">
              <w:rPr>
                <w:noProof/>
                <w:webHidden/>
              </w:rPr>
              <w:fldChar w:fldCharType="begin"/>
            </w:r>
            <w:r w:rsidR="00350268">
              <w:rPr>
                <w:noProof/>
                <w:webHidden/>
              </w:rPr>
              <w:instrText xml:space="preserve"> PAGEREF _Toc57902859 \h </w:instrText>
            </w:r>
            <w:r w:rsidR="00350268">
              <w:rPr>
                <w:noProof/>
                <w:webHidden/>
              </w:rPr>
            </w:r>
            <w:r w:rsidR="00350268">
              <w:rPr>
                <w:noProof/>
                <w:webHidden/>
              </w:rPr>
              <w:fldChar w:fldCharType="separate"/>
            </w:r>
            <w:r w:rsidR="00350268">
              <w:rPr>
                <w:noProof/>
                <w:webHidden/>
              </w:rPr>
              <w:t>91</w:t>
            </w:r>
            <w:r w:rsidR="00350268">
              <w:rPr>
                <w:noProof/>
                <w:webHidden/>
              </w:rPr>
              <w:fldChar w:fldCharType="end"/>
            </w:r>
          </w:hyperlink>
        </w:p>
        <w:p w14:paraId="1DE42803" w14:textId="75499056" w:rsidR="00350268" w:rsidRDefault="00317BA0">
          <w:pPr>
            <w:pStyle w:val="TOC3"/>
            <w:tabs>
              <w:tab w:val="left" w:pos="1320"/>
              <w:tab w:val="right" w:leader="dot" w:pos="9782"/>
            </w:tabs>
            <w:rPr>
              <w:noProof/>
            </w:rPr>
          </w:pPr>
          <w:hyperlink w:anchor="_Toc57902860" w:history="1">
            <w:r w:rsidR="00350268" w:rsidRPr="00120925">
              <w:rPr>
                <w:rStyle w:val="Hyperlink"/>
                <w:rFonts w:cs="Times New Roman"/>
                <w:noProof/>
              </w:rPr>
              <w:t>3.9.7</w:t>
            </w:r>
            <w:r w:rsidR="00350268">
              <w:rPr>
                <w:noProof/>
              </w:rPr>
              <w:tab/>
            </w:r>
            <w:r w:rsidR="00350268" w:rsidRPr="00120925">
              <w:rPr>
                <w:rStyle w:val="Hyperlink"/>
                <w:noProof/>
              </w:rPr>
              <w:t>Planned improvements</w:t>
            </w:r>
            <w:r w:rsidR="00350268">
              <w:rPr>
                <w:noProof/>
                <w:webHidden/>
              </w:rPr>
              <w:tab/>
            </w:r>
            <w:r w:rsidR="00350268">
              <w:rPr>
                <w:noProof/>
                <w:webHidden/>
              </w:rPr>
              <w:fldChar w:fldCharType="begin"/>
            </w:r>
            <w:r w:rsidR="00350268">
              <w:rPr>
                <w:noProof/>
                <w:webHidden/>
              </w:rPr>
              <w:instrText xml:space="preserve"> PAGEREF _Toc57902860 \h </w:instrText>
            </w:r>
            <w:r w:rsidR="00350268">
              <w:rPr>
                <w:noProof/>
                <w:webHidden/>
              </w:rPr>
            </w:r>
            <w:r w:rsidR="00350268">
              <w:rPr>
                <w:noProof/>
                <w:webHidden/>
              </w:rPr>
              <w:fldChar w:fldCharType="separate"/>
            </w:r>
            <w:r w:rsidR="00350268">
              <w:rPr>
                <w:noProof/>
                <w:webHidden/>
              </w:rPr>
              <w:t>91</w:t>
            </w:r>
            <w:r w:rsidR="00350268">
              <w:rPr>
                <w:noProof/>
                <w:webHidden/>
              </w:rPr>
              <w:fldChar w:fldCharType="end"/>
            </w:r>
          </w:hyperlink>
        </w:p>
        <w:p w14:paraId="54DFB89B" w14:textId="36F8917C" w:rsidR="00350268" w:rsidRDefault="00317BA0">
          <w:pPr>
            <w:pStyle w:val="TOC1"/>
            <w:tabs>
              <w:tab w:val="left" w:pos="660"/>
              <w:tab w:val="right" w:leader="dot" w:pos="9782"/>
            </w:tabs>
            <w:rPr>
              <w:rFonts w:asciiTheme="minorHAnsi" w:eastAsiaTheme="minorEastAsia" w:hAnsiTheme="minorHAnsi" w:cstheme="minorBidi"/>
              <w:noProof/>
              <w:sz w:val="22"/>
              <w:szCs w:val="22"/>
            </w:rPr>
          </w:pPr>
          <w:hyperlink w:anchor="_Toc57902861" w:history="1">
            <w:r w:rsidR="00350268" w:rsidRPr="00120925">
              <w:rPr>
                <w:rStyle w:val="Hyperlink"/>
                <w:b/>
                <w:noProof/>
              </w:rPr>
              <w:t>4.0</w:t>
            </w:r>
            <w:r w:rsidR="00350268">
              <w:rPr>
                <w:rFonts w:asciiTheme="minorHAnsi" w:eastAsiaTheme="minorEastAsia" w:hAnsiTheme="minorHAnsi" w:cstheme="minorBidi"/>
                <w:noProof/>
                <w:sz w:val="22"/>
                <w:szCs w:val="22"/>
              </w:rPr>
              <w:tab/>
            </w:r>
            <w:r w:rsidR="00350268" w:rsidRPr="00120925">
              <w:rPr>
                <w:rStyle w:val="Hyperlink"/>
                <w:b/>
                <w:noProof/>
              </w:rPr>
              <w:t>MITIGATION ACTIONS AND THEIR EFFECTS</w:t>
            </w:r>
            <w:r w:rsidR="00350268">
              <w:rPr>
                <w:noProof/>
                <w:webHidden/>
              </w:rPr>
              <w:tab/>
            </w:r>
            <w:r w:rsidR="00350268">
              <w:rPr>
                <w:noProof/>
                <w:webHidden/>
              </w:rPr>
              <w:fldChar w:fldCharType="begin"/>
            </w:r>
            <w:r w:rsidR="00350268">
              <w:rPr>
                <w:noProof/>
                <w:webHidden/>
              </w:rPr>
              <w:instrText xml:space="preserve"> PAGEREF _Toc57902861 \h </w:instrText>
            </w:r>
            <w:r w:rsidR="00350268">
              <w:rPr>
                <w:noProof/>
                <w:webHidden/>
              </w:rPr>
            </w:r>
            <w:r w:rsidR="00350268">
              <w:rPr>
                <w:noProof/>
                <w:webHidden/>
              </w:rPr>
              <w:fldChar w:fldCharType="separate"/>
            </w:r>
            <w:r w:rsidR="00350268">
              <w:rPr>
                <w:noProof/>
                <w:webHidden/>
              </w:rPr>
              <w:t>92</w:t>
            </w:r>
            <w:r w:rsidR="00350268">
              <w:rPr>
                <w:noProof/>
                <w:webHidden/>
              </w:rPr>
              <w:fldChar w:fldCharType="end"/>
            </w:r>
          </w:hyperlink>
        </w:p>
        <w:p w14:paraId="25B9F105" w14:textId="1528B8FA" w:rsidR="00350268" w:rsidRDefault="00317BA0">
          <w:pPr>
            <w:pStyle w:val="TOC2"/>
            <w:rPr>
              <w:rFonts w:asciiTheme="minorHAnsi" w:eastAsiaTheme="minorEastAsia" w:hAnsiTheme="minorHAnsi" w:cstheme="minorBidi"/>
              <w:noProof/>
              <w:sz w:val="22"/>
              <w:szCs w:val="22"/>
            </w:rPr>
          </w:pPr>
          <w:hyperlink w:anchor="_Toc57902862" w:history="1">
            <w:r w:rsidR="00350268" w:rsidRPr="00120925">
              <w:rPr>
                <w:rStyle w:val="Hyperlink"/>
                <w:b/>
                <w:bCs/>
                <w:noProof/>
                <w:lang w:val="en-GB"/>
              </w:rPr>
              <w:t>4.1</w:t>
            </w:r>
            <w:r w:rsidR="00350268">
              <w:rPr>
                <w:rFonts w:asciiTheme="minorHAnsi" w:eastAsiaTheme="minorEastAsia" w:hAnsiTheme="minorHAnsi" w:cstheme="minorBidi"/>
                <w:noProof/>
                <w:sz w:val="22"/>
                <w:szCs w:val="22"/>
              </w:rPr>
              <w:tab/>
            </w:r>
            <w:r w:rsidR="00350268" w:rsidRPr="00120925">
              <w:rPr>
                <w:rStyle w:val="Hyperlink"/>
                <w:b/>
                <w:noProof/>
                <w:lang w:val="en-GB"/>
              </w:rPr>
              <w:t>EMISSIONS DRIVERS</w:t>
            </w:r>
            <w:r w:rsidR="00350268">
              <w:rPr>
                <w:noProof/>
                <w:webHidden/>
              </w:rPr>
              <w:tab/>
            </w:r>
            <w:r w:rsidR="00350268">
              <w:rPr>
                <w:noProof/>
                <w:webHidden/>
              </w:rPr>
              <w:fldChar w:fldCharType="begin"/>
            </w:r>
            <w:r w:rsidR="00350268">
              <w:rPr>
                <w:noProof/>
                <w:webHidden/>
              </w:rPr>
              <w:instrText xml:space="preserve"> PAGEREF _Toc57902862 \h </w:instrText>
            </w:r>
            <w:r w:rsidR="00350268">
              <w:rPr>
                <w:noProof/>
                <w:webHidden/>
              </w:rPr>
            </w:r>
            <w:r w:rsidR="00350268">
              <w:rPr>
                <w:noProof/>
                <w:webHidden/>
              </w:rPr>
              <w:fldChar w:fldCharType="separate"/>
            </w:r>
            <w:r w:rsidR="00350268">
              <w:rPr>
                <w:noProof/>
                <w:webHidden/>
              </w:rPr>
              <w:t>92</w:t>
            </w:r>
            <w:r w:rsidR="00350268">
              <w:rPr>
                <w:noProof/>
                <w:webHidden/>
              </w:rPr>
              <w:fldChar w:fldCharType="end"/>
            </w:r>
          </w:hyperlink>
        </w:p>
        <w:p w14:paraId="69601711" w14:textId="308635E5" w:rsidR="00350268" w:rsidRDefault="00317BA0">
          <w:pPr>
            <w:pStyle w:val="TOC2"/>
            <w:rPr>
              <w:rFonts w:asciiTheme="minorHAnsi" w:eastAsiaTheme="minorEastAsia" w:hAnsiTheme="minorHAnsi" w:cstheme="minorBidi"/>
              <w:noProof/>
              <w:sz w:val="22"/>
              <w:szCs w:val="22"/>
            </w:rPr>
          </w:pPr>
          <w:hyperlink w:anchor="_Toc57902863" w:history="1">
            <w:r w:rsidR="00350268" w:rsidRPr="00120925">
              <w:rPr>
                <w:rStyle w:val="Hyperlink"/>
                <w:b/>
                <w:bCs/>
                <w:noProof/>
                <w:lang w:val="en-GB"/>
              </w:rPr>
              <w:t>4.2</w:t>
            </w:r>
            <w:r w:rsidR="00350268">
              <w:rPr>
                <w:rFonts w:asciiTheme="minorHAnsi" w:eastAsiaTheme="minorEastAsia" w:hAnsiTheme="minorHAnsi" w:cstheme="minorBidi"/>
                <w:noProof/>
                <w:sz w:val="22"/>
                <w:szCs w:val="22"/>
              </w:rPr>
              <w:tab/>
            </w:r>
            <w:r w:rsidR="00350268" w:rsidRPr="00120925">
              <w:rPr>
                <w:rStyle w:val="Hyperlink"/>
                <w:b/>
                <w:noProof/>
                <w:lang w:val="en-GB"/>
              </w:rPr>
              <w:t>MITIGATION POLICIES AND MEASURES</w:t>
            </w:r>
            <w:r w:rsidR="00350268">
              <w:rPr>
                <w:noProof/>
                <w:webHidden/>
              </w:rPr>
              <w:tab/>
            </w:r>
            <w:r w:rsidR="00350268">
              <w:rPr>
                <w:noProof/>
                <w:webHidden/>
              </w:rPr>
              <w:fldChar w:fldCharType="begin"/>
            </w:r>
            <w:r w:rsidR="00350268">
              <w:rPr>
                <w:noProof/>
                <w:webHidden/>
              </w:rPr>
              <w:instrText xml:space="preserve"> PAGEREF _Toc57902863 \h </w:instrText>
            </w:r>
            <w:r w:rsidR="00350268">
              <w:rPr>
                <w:noProof/>
                <w:webHidden/>
              </w:rPr>
            </w:r>
            <w:r w:rsidR="00350268">
              <w:rPr>
                <w:noProof/>
                <w:webHidden/>
              </w:rPr>
              <w:fldChar w:fldCharType="separate"/>
            </w:r>
            <w:r w:rsidR="00350268">
              <w:rPr>
                <w:noProof/>
                <w:webHidden/>
              </w:rPr>
              <w:t>93</w:t>
            </w:r>
            <w:r w:rsidR="00350268">
              <w:rPr>
                <w:noProof/>
                <w:webHidden/>
              </w:rPr>
              <w:fldChar w:fldCharType="end"/>
            </w:r>
          </w:hyperlink>
        </w:p>
        <w:p w14:paraId="2661E79B" w14:textId="4FDB222E" w:rsidR="00350268" w:rsidRDefault="00317BA0">
          <w:pPr>
            <w:pStyle w:val="TOC3"/>
            <w:tabs>
              <w:tab w:val="left" w:pos="1320"/>
              <w:tab w:val="right" w:leader="dot" w:pos="9782"/>
            </w:tabs>
            <w:rPr>
              <w:noProof/>
            </w:rPr>
          </w:pPr>
          <w:hyperlink w:anchor="_Toc57902864" w:history="1">
            <w:r w:rsidR="00350268" w:rsidRPr="00120925">
              <w:rPr>
                <w:rStyle w:val="Hyperlink"/>
                <w:rFonts w:cs="Times New Roman"/>
                <w:noProof/>
              </w:rPr>
              <w:t>4.2.1</w:t>
            </w:r>
            <w:r w:rsidR="00350268">
              <w:rPr>
                <w:noProof/>
              </w:rPr>
              <w:tab/>
            </w:r>
            <w:r w:rsidR="00350268" w:rsidRPr="00120925">
              <w:rPr>
                <w:rStyle w:val="Hyperlink"/>
                <w:rFonts w:cs="Times New Roman"/>
                <w:noProof/>
              </w:rPr>
              <w:t>Energy</w:t>
            </w:r>
            <w:r w:rsidR="00350268">
              <w:rPr>
                <w:noProof/>
                <w:webHidden/>
              </w:rPr>
              <w:tab/>
            </w:r>
            <w:r w:rsidR="00350268">
              <w:rPr>
                <w:noProof/>
                <w:webHidden/>
              </w:rPr>
              <w:fldChar w:fldCharType="begin"/>
            </w:r>
            <w:r w:rsidR="00350268">
              <w:rPr>
                <w:noProof/>
                <w:webHidden/>
              </w:rPr>
              <w:instrText xml:space="preserve"> PAGEREF _Toc57902864 \h </w:instrText>
            </w:r>
            <w:r w:rsidR="00350268">
              <w:rPr>
                <w:noProof/>
                <w:webHidden/>
              </w:rPr>
            </w:r>
            <w:r w:rsidR="00350268">
              <w:rPr>
                <w:noProof/>
                <w:webHidden/>
              </w:rPr>
              <w:fldChar w:fldCharType="separate"/>
            </w:r>
            <w:r w:rsidR="00350268">
              <w:rPr>
                <w:noProof/>
                <w:webHidden/>
              </w:rPr>
              <w:t>93</w:t>
            </w:r>
            <w:r w:rsidR="00350268">
              <w:rPr>
                <w:noProof/>
                <w:webHidden/>
              </w:rPr>
              <w:fldChar w:fldCharType="end"/>
            </w:r>
          </w:hyperlink>
        </w:p>
        <w:p w14:paraId="14FEE586" w14:textId="0DB5DB7D" w:rsidR="00350268" w:rsidRDefault="00317BA0">
          <w:pPr>
            <w:pStyle w:val="TOC3"/>
            <w:tabs>
              <w:tab w:val="left" w:pos="1320"/>
              <w:tab w:val="right" w:leader="dot" w:pos="9782"/>
            </w:tabs>
            <w:rPr>
              <w:noProof/>
            </w:rPr>
          </w:pPr>
          <w:hyperlink w:anchor="_Toc57902865" w:history="1">
            <w:r w:rsidR="00350268" w:rsidRPr="00120925">
              <w:rPr>
                <w:rStyle w:val="Hyperlink"/>
                <w:rFonts w:cs="Times New Roman"/>
                <w:noProof/>
              </w:rPr>
              <w:t>4.2.2</w:t>
            </w:r>
            <w:r w:rsidR="00350268">
              <w:rPr>
                <w:noProof/>
              </w:rPr>
              <w:tab/>
            </w:r>
            <w:r w:rsidR="00350268" w:rsidRPr="00120925">
              <w:rPr>
                <w:rStyle w:val="Hyperlink"/>
                <w:rFonts w:cs="Times New Roman"/>
                <w:noProof/>
              </w:rPr>
              <w:t>Industrial Processes and Product Use</w:t>
            </w:r>
            <w:r w:rsidR="00350268">
              <w:rPr>
                <w:noProof/>
                <w:webHidden/>
              </w:rPr>
              <w:tab/>
            </w:r>
            <w:r w:rsidR="00350268">
              <w:rPr>
                <w:noProof/>
                <w:webHidden/>
              </w:rPr>
              <w:fldChar w:fldCharType="begin"/>
            </w:r>
            <w:r w:rsidR="00350268">
              <w:rPr>
                <w:noProof/>
                <w:webHidden/>
              </w:rPr>
              <w:instrText xml:space="preserve"> PAGEREF _Toc57902865 \h </w:instrText>
            </w:r>
            <w:r w:rsidR="00350268">
              <w:rPr>
                <w:noProof/>
                <w:webHidden/>
              </w:rPr>
            </w:r>
            <w:r w:rsidR="00350268">
              <w:rPr>
                <w:noProof/>
                <w:webHidden/>
              </w:rPr>
              <w:fldChar w:fldCharType="separate"/>
            </w:r>
            <w:r w:rsidR="00350268">
              <w:rPr>
                <w:noProof/>
                <w:webHidden/>
              </w:rPr>
              <w:t>95</w:t>
            </w:r>
            <w:r w:rsidR="00350268">
              <w:rPr>
                <w:noProof/>
                <w:webHidden/>
              </w:rPr>
              <w:fldChar w:fldCharType="end"/>
            </w:r>
          </w:hyperlink>
        </w:p>
        <w:p w14:paraId="11B812B6" w14:textId="60B29447" w:rsidR="00350268" w:rsidRDefault="00317BA0">
          <w:pPr>
            <w:pStyle w:val="TOC3"/>
            <w:tabs>
              <w:tab w:val="left" w:pos="1320"/>
              <w:tab w:val="right" w:leader="dot" w:pos="9782"/>
            </w:tabs>
            <w:rPr>
              <w:noProof/>
            </w:rPr>
          </w:pPr>
          <w:hyperlink w:anchor="_Toc57902866" w:history="1">
            <w:r w:rsidR="00350268" w:rsidRPr="00120925">
              <w:rPr>
                <w:rStyle w:val="Hyperlink"/>
                <w:rFonts w:cs="Times New Roman"/>
                <w:noProof/>
              </w:rPr>
              <w:t>4.2.3</w:t>
            </w:r>
            <w:r w:rsidR="00350268">
              <w:rPr>
                <w:noProof/>
              </w:rPr>
              <w:tab/>
            </w:r>
            <w:r w:rsidR="00350268" w:rsidRPr="00120925">
              <w:rPr>
                <w:rStyle w:val="Hyperlink"/>
                <w:rFonts w:cs="Times New Roman"/>
                <w:noProof/>
              </w:rPr>
              <w:t>Agriculture Forestry and Other Land Use</w:t>
            </w:r>
            <w:r w:rsidR="00350268">
              <w:rPr>
                <w:noProof/>
                <w:webHidden/>
              </w:rPr>
              <w:tab/>
            </w:r>
            <w:r w:rsidR="00350268">
              <w:rPr>
                <w:noProof/>
                <w:webHidden/>
              </w:rPr>
              <w:fldChar w:fldCharType="begin"/>
            </w:r>
            <w:r w:rsidR="00350268">
              <w:rPr>
                <w:noProof/>
                <w:webHidden/>
              </w:rPr>
              <w:instrText xml:space="preserve"> PAGEREF _Toc57902866 \h </w:instrText>
            </w:r>
            <w:r w:rsidR="00350268">
              <w:rPr>
                <w:noProof/>
                <w:webHidden/>
              </w:rPr>
            </w:r>
            <w:r w:rsidR="00350268">
              <w:rPr>
                <w:noProof/>
                <w:webHidden/>
              </w:rPr>
              <w:fldChar w:fldCharType="separate"/>
            </w:r>
            <w:r w:rsidR="00350268">
              <w:rPr>
                <w:noProof/>
                <w:webHidden/>
              </w:rPr>
              <w:t>96</w:t>
            </w:r>
            <w:r w:rsidR="00350268">
              <w:rPr>
                <w:noProof/>
                <w:webHidden/>
              </w:rPr>
              <w:fldChar w:fldCharType="end"/>
            </w:r>
          </w:hyperlink>
        </w:p>
        <w:p w14:paraId="5DB2791A" w14:textId="20A036C0" w:rsidR="00350268" w:rsidRDefault="00317BA0">
          <w:pPr>
            <w:pStyle w:val="TOC3"/>
            <w:tabs>
              <w:tab w:val="left" w:pos="1320"/>
              <w:tab w:val="right" w:leader="dot" w:pos="9782"/>
            </w:tabs>
            <w:rPr>
              <w:noProof/>
            </w:rPr>
          </w:pPr>
          <w:hyperlink w:anchor="_Toc57902867" w:history="1">
            <w:r w:rsidR="00350268" w:rsidRPr="00120925">
              <w:rPr>
                <w:rStyle w:val="Hyperlink"/>
                <w:rFonts w:cs="Times New Roman"/>
                <w:noProof/>
              </w:rPr>
              <w:t>4.2.4</w:t>
            </w:r>
            <w:r w:rsidR="00350268">
              <w:rPr>
                <w:noProof/>
              </w:rPr>
              <w:tab/>
            </w:r>
            <w:r w:rsidR="00350268" w:rsidRPr="00120925">
              <w:rPr>
                <w:rStyle w:val="Hyperlink"/>
                <w:noProof/>
              </w:rPr>
              <w:t>Waste</w:t>
            </w:r>
            <w:r w:rsidR="00350268">
              <w:rPr>
                <w:noProof/>
                <w:webHidden/>
              </w:rPr>
              <w:tab/>
            </w:r>
            <w:r w:rsidR="00350268">
              <w:rPr>
                <w:noProof/>
                <w:webHidden/>
              </w:rPr>
              <w:fldChar w:fldCharType="begin"/>
            </w:r>
            <w:r w:rsidR="00350268">
              <w:rPr>
                <w:noProof/>
                <w:webHidden/>
              </w:rPr>
              <w:instrText xml:space="preserve"> PAGEREF _Toc57902867 \h </w:instrText>
            </w:r>
            <w:r w:rsidR="00350268">
              <w:rPr>
                <w:noProof/>
                <w:webHidden/>
              </w:rPr>
            </w:r>
            <w:r w:rsidR="00350268">
              <w:rPr>
                <w:noProof/>
                <w:webHidden/>
              </w:rPr>
              <w:fldChar w:fldCharType="separate"/>
            </w:r>
            <w:r w:rsidR="00350268">
              <w:rPr>
                <w:noProof/>
                <w:webHidden/>
              </w:rPr>
              <w:t>97</w:t>
            </w:r>
            <w:r w:rsidR="00350268">
              <w:rPr>
                <w:noProof/>
                <w:webHidden/>
              </w:rPr>
              <w:fldChar w:fldCharType="end"/>
            </w:r>
          </w:hyperlink>
        </w:p>
        <w:p w14:paraId="22DCC200" w14:textId="2EA07726" w:rsidR="00350268" w:rsidRDefault="00317BA0">
          <w:pPr>
            <w:pStyle w:val="TOC2"/>
            <w:rPr>
              <w:rFonts w:asciiTheme="minorHAnsi" w:eastAsiaTheme="minorEastAsia" w:hAnsiTheme="minorHAnsi" w:cstheme="minorBidi"/>
              <w:noProof/>
              <w:sz w:val="22"/>
              <w:szCs w:val="22"/>
            </w:rPr>
          </w:pPr>
          <w:hyperlink w:anchor="_Toc57902868" w:history="1">
            <w:r w:rsidR="00350268" w:rsidRPr="00120925">
              <w:rPr>
                <w:rStyle w:val="Hyperlink"/>
                <w:b/>
                <w:bCs/>
                <w:noProof/>
                <w:lang w:val="en-GB"/>
              </w:rPr>
              <w:t>4.3</w:t>
            </w:r>
            <w:r w:rsidR="00350268">
              <w:rPr>
                <w:rFonts w:asciiTheme="minorHAnsi" w:eastAsiaTheme="minorEastAsia" w:hAnsiTheme="minorHAnsi" w:cstheme="minorBidi"/>
                <w:noProof/>
                <w:sz w:val="22"/>
                <w:szCs w:val="22"/>
              </w:rPr>
              <w:tab/>
            </w:r>
            <w:r w:rsidR="00350268" w:rsidRPr="00120925">
              <w:rPr>
                <w:rStyle w:val="Hyperlink"/>
                <w:b/>
                <w:noProof/>
                <w:lang w:val="en-GB"/>
              </w:rPr>
              <w:t>MITIGATION ACTIONS</w:t>
            </w:r>
            <w:r w:rsidR="00350268">
              <w:rPr>
                <w:noProof/>
                <w:webHidden/>
              </w:rPr>
              <w:tab/>
            </w:r>
            <w:r w:rsidR="00350268">
              <w:rPr>
                <w:noProof/>
                <w:webHidden/>
              </w:rPr>
              <w:fldChar w:fldCharType="begin"/>
            </w:r>
            <w:r w:rsidR="00350268">
              <w:rPr>
                <w:noProof/>
                <w:webHidden/>
              </w:rPr>
              <w:instrText xml:space="preserve"> PAGEREF _Toc57902868 \h </w:instrText>
            </w:r>
            <w:r w:rsidR="00350268">
              <w:rPr>
                <w:noProof/>
                <w:webHidden/>
              </w:rPr>
            </w:r>
            <w:r w:rsidR="00350268">
              <w:rPr>
                <w:noProof/>
                <w:webHidden/>
              </w:rPr>
              <w:fldChar w:fldCharType="separate"/>
            </w:r>
            <w:r w:rsidR="00350268">
              <w:rPr>
                <w:noProof/>
                <w:webHidden/>
              </w:rPr>
              <w:t>100</w:t>
            </w:r>
            <w:r w:rsidR="00350268">
              <w:rPr>
                <w:noProof/>
                <w:webHidden/>
              </w:rPr>
              <w:fldChar w:fldCharType="end"/>
            </w:r>
          </w:hyperlink>
        </w:p>
        <w:p w14:paraId="0A0B2E87" w14:textId="22626008" w:rsidR="00350268" w:rsidRDefault="00317BA0">
          <w:pPr>
            <w:pStyle w:val="TOC3"/>
            <w:tabs>
              <w:tab w:val="left" w:pos="1320"/>
              <w:tab w:val="right" w:leader="dot" w:pos="9782"/>
            </w:tabs>
            <w:rPr>
              <w:noProof/>
            </w:rPr>
          </w:pPr>
          <w:hyperlink w:anchor="_Toc57902869" w:history="1">
            <w:r w:rsidR="00350268" w:rsidRPr="00120925">
              <w:rPr>
                <w:rStyle w:val="Hyperlink"/>
                <w:rFonts w:cs="Times New Roman"/>
                <w:noProof/>
              </w:rPr>
              <w:t>4.3.1</w:t>
            </w:r>
            <w:r w:rsidR="00350268">
              <w:rPr>
                <w:noProof/>
              </w:rPr>
              <w:tab/>
            </w:r>
            <w:r w:rsidR="00350268" w:rsidRPr="00120925">
              <w:rPr>
                <w:rStyle w:val="Hyperlink"/>
                <w:noProof/>
              </w:rPr>
              <w:t>Mitigation pathways</w:t>
            </w:r>
            <w:r w:rsidR="00350268">
              <w:rPr>
                <w:noProof/>
                <w:webHidden/>
              </w:rPr>
              <w:tab/>
            </w:r>
            <w:r w:rsidR="00350268">
              <w:rPr>
                <w:noProof/>
                <w:webHidden/>
              </w:rPr>
              <w:fldChar w:fldCharType="begin"/>
            </w:r>
            <w:r w:rsidR="00350268">
              <w:rPr>
                <w:noProof/>
                <w:webHidden/>
              </w:rPr>
              <w:instrText xml:space="preserve"> PAGEREF _Toc57902869 \h </w:instrText>
            </w:r>
            <w:r w:rsidR="00350268">
              <w:rPr>
                <w:noProof/>
                <w:webHidden/>
              </w:rPr>
            </w:r>
            <w:r w:rsidR="00350268">
              <w:rPr>
                <w:noProof/>
                <w:webHidden/>
              </w:rPr>
              <w:fldChar w:fldCharType="separate"/>
            </w:r>
            <w:r w:rsidR="00350268">
              <w:rPr>
                <w:noProof/>
                <w:webHidden/>
              </w:rPr>
              <w:t>101</w:t>
            </w:r>
            <w:r w:rsidR="00350268">
              <w:rPr>
                <w:noProof/>
                <w:webHidden/>
              </w:rPr>
              <w:fldChar w:fldCharType="end"/>
            </w:r>
          </w:hyperlink>
        </w:p>
        <w:p w14:paraId="6A04B12E" w14:textId="696839CC" w:rsidR="00350268" w:rsidRDefault="00317BA0">
          <w:pPr>
            <w:pStyle w:val="TOC3"/>
            <w:tabs>
              <w:tab w:val="left" w:pos="1320"/>
              <w:tab w:val="right" w:leader="dot" w:pos="9782"/>
            </w:tabs>
            <w:rPr>
              <w:noProof/>
            </w:rPr>
          </w:pPr>
          <w:hyperlink w:anchor="_Toc57902870" w:history="1">
            <w:r w:rsidR="00350268" w:rsidRPr="00120925">
              <w:rPr>
                <w:rStyle w:val="Hyperlink"/>
                <w:rFonts w:cs="Times New Roman"/>
                <w:noProof/>
              </w:rPr>
              <w:t>4.3.2</w:t>
            </w:r>
            <w:r w:rsidR="00350268">
              <w:rPr>
                <w:noProof/>
              </w:rPr>
              <w:tab/>
            </w:r>
            <w:r w:rsidR="00350268" w:rsidRPr="00120925">
              <w:rPr>
                <w:rStyle w:val="Hyperlink"/>
                <w:noProof/>
              </w:rPr>
              <w:t>Key assumptions for baseline emissions projection</w:t>
            </w:r>
            <w:r w:rsidR="00350268">
              <w:rPr>
                <w:noProof/>
                <w:webHidden/>
              </w:rPr>
              <w:tab/>
            </w:r>
            <w:r w:rsidR="00350268">
              <w:rPr>
                <w:noProof/>
                <w:webHidden/>
              </w:rPr>
              <w:fldChar w:fldCharType="begin"/>
            </w:r>
            <w:r w:rsidR="00350268">
              <w:rPr>
                <w:noProof/>
                <w:webHidden/>
              </w:rPr>
              <w:instrText xml:space="preserve"> PAGEREF _Toc57902870 \h </w:instrText>
            </w:r>
            <w:r w:rsidR="00350268">
              <w:rPr>
                <w:noProof/>
                <w:webHidden/>
              </w:rPr>
            </w:r>
            <w:r w:rsidR="00350268">
              <w:rPr>
                <w:noProof/>
                <w:webHidden/>
              </w:rPr>
              <w:fldChar w:fldCharType="separate"/>
            </w:r>
            <w:r w:rsidR="00350268">
              <w:rPr>
                <w:noProof/>
                <w:webHidden/>
              </w:rPr>
              <w:t>101</w:t>
            </w:r>
            <w:r w:rsidR="00350268">
              <w:rPr>
                <w:noProof/>
                <w:webHidden/>
              </w:rPr>
              <w:fldChar w:fldCharType="end"/>
            </w:r>
          </w:hyperlink>
        </w:p>
        <w:p w14:paraId="510E1E22" w14:textId="59D20FC1" w:rsidR="00350268" w:rsidRDefault="00317BA0">
          <w:pPr>
            <w:pStyle w:val="TOC3"/>
            <w:tabs>
              <w:tab w:val="left" w:pos="1320"/>
              <w:tab w:val="right" w:leader="dot" w:pos="9782"/>
            </w:tabs>
            <w:rPr>
              <w:noProof/>
            </w:rPr>
          </w:pPr>
          <w:hyperlink w:anchor="_Toc57902871" w:history="1">
            <w:r w:rsidR="00350268" w:rsidRPr="00120925">
              <w:rPr>
                <w:rStyle w:val="Hyperlink"/>
                <w:rFonts w:cs="Times New Roman"/>
                <w:noProof/>
              </w:rPr>
              <w:t>4.3.3</w:t>
            </w:r>
            <w:r w:rsidR="00350268">
              <w:rPr>
                <w:noProof/>
              </w:rPr>
              <w:tab/>
            </w:r>
            <w:r w:rsidR="00350268" w:rsidRPr="00120925">
              <w:rPr>
                <w:rStyle w:val="Hyperlink"/>
                <w:noProof/>
              </w:rPr>
              <w:t>Aggregate Projections for GHG Emissions</w:t>
            </w:r>
            <w:r w:rsidR="00350268">
              <w:rPr>
                <w:noProof/>
                <w:webHidden/>
              </w:rPr>
              <w:tab/>
            </w:r>
            <w:r w:rsidR="00350268">
              <w:rPr>
                <w:noProof/>
                <w:webHidden/>
              </w:rPr>
              <w:fldChar w:fldCharType="begin"/>
            </w:r>
            <w:r w:rsidR="00350268">
              <w:rPr>
                <w:noProof/>
                <w:webHidden/>
              </w:rPr>
              <w:instrText xml:space="preserve"> PAGEREF _Toc57902871 \h </w:instrText>
            </w:r>
            <w:r w:rsidR="00350268">
              <w:rPr>
                <w:noProof/>
                <w:webHidden/>
              </w:rPr>
            </w:r>
            <w:r w:rsidR="00350268">
              <w:rPr>
                <w:noProof/>
                <w:webHidden/>
              </w:rPr>
              <w:fldChar w:fldCharType="separate"/>
            </w:r>
            <w:r w:rsidR="00350268">
              <w:rPr>
                <w:noProof/>
                <w:webHidden/>
              </w:rPr>
              <w:t>104</w:t>
            </w:r>
            <w:r w:rsidR="00350268">
              <w:rPr>
                <w:noProof/>
                <w:webHidden/>
              </w:rPr>
              <w:fldChar w:fldCharType="end"/>
            </w:r>
          </w:hyperlink>
        </w:p>
        <w:p w14:paraId="25A6D1D3" w14:textId="680DCF8F" w:rsidR="00350268" w:rsidRDefault="00317BA0">
          <w:pPr>
            <w:pStyle w:val="TOC3"/>
            <w:tabs>
              <w:tab w:val="left" w:pos="1320"/>
              <w:tab w:val="right" w:leader="dot" w:pos="9782"/>
            </w:tabs>
            <w:rPr>
              <w:noProof/>
            </w:rPr>
          </w:pPr>
          <w:hyperlink w:anchor="_Toc57902872" w:history="1">
            <w:r w:rsidR="00350268" w:rsidRPr="00120925">
              <w:rPr>
                <w:rStyle w:val="Hyperlink"/>
                <w:rFonts w:cs="Times New Roman"/>
                <w:noProof/>
              </w:rPr>
              <w:t>4.3.4</w:t>
            </w:r>
            <w:r w:rsidR="00350268">
              <w:rPr>
                <w:noProof/>
              </w:rPr>
              <w:tab/>
            </w:r>
            <w:r w:rsidR="00350268" w:rsidRPr="00120925">
              <w:rPr>
                <w:rStyle w:val="Hyperlink"/>
                <w:noProof/>
              </w:rPr>
              <w:t>Sectoral Baseline and Mitigation Emissions</w:t>
            </w:r>
            <w:r w:rsidR="00350268">
              <w:rPr>
                <w:noProof/>
                <w:webHidden/>
              </w:rPr>
              <w:tab/>
            </w:r>
            <w:r w:rsidR="00350268">
              <w:rPr>
                <w:noProof/>
                <w:webHidden/>
              </w:rPr>
              <w:fldChar w:fldCharType="begin"/>
            </w:r>
            <w:r w:rsidR="00350268">
              <w:rPr>
                <w:noProof/>
                <w:webHidden/>
              </w:rPr>
              <w:instrText xml:space="preserve"> PAGEREF _Toc57902872 \h </w:instrText>
            </w:r>
            <w:r w:rsidR="00350268">
              <w:rPr>
                <w:noProof/>
                <w:webHidden/>
              </w:rPr>
            </w:r>
            <w:r w:rsidR="00350268">
              <w:rPr>
                <w:noProof/>
                <w:webHidden/>
              </w:rPr>
              <w:fldChar w:fldCharType="separate"/>
            </w:r>
            <w:r w:rsidR="00350268">
              <w:rPr>
                <w:noProof/>
                <w:webHidden/>
              </w:rPr>
              <w:t>109</w:t>
            </w:r>
            <w:r w:rsidR="00350268">
              <w:rPr>
                <w:noProof/>
                <w:webHidden/>
              </w:rPr>
              <w:fldChar w:fldCharType="end"/>
            </w:r>
          </w:hyperlink>
        </w:p>
        <w:p w14:paraId="0BCC4C78" w14:textId="6F4132B7" w:rsidR="00350268" w:rsidRDefault="00317BA0">
          <w:pPr>
            <w:pStyle w:val="TOC3"/>
            <w:tabs>
              <w:tab w:val="left" w:pos="1320"/>
              <w:tab w:val="right" w:leader="dot" w:pos="9782"/>
            </w:tabs>
            <w:rPr>
              <w:noProof/>
            </w:rPr>
          </w:pPr>
          <w:hyperlink w:anchor="_Toc57902873" w:history="1">
            <w:r w:rsidR="00350268" w:rsidRPr="00120925">
              <w:rPr>
                <w:rStyle w:val="Hyperlink"/>
                <w:rFonts w:cs="Times New Roman"/>
                <w:noProof/>
              </w:rPr>
              <w:t>4.3.5</w:t>
            </w:r>
            <w:r w:rsidR="00350268">
              <w:rPr>
                <w:noProof/>
              </w:rPr>
              <w:tab/>
            </w:r>
            <w:r w:rsidR="00350268" w:rsidRPr="00120925">
              <w:rPr>
                <w:rStyle w:val="Hyperlink"/>
                <w:noProof/>
              </w:rPr>
              <w:t>Energy Sector Emission Reduction</w:t>
            </w:r>
            <w:r w:rsidR="00350268">
              <w:rPr>
                <w:noProof/>
                <w:webHidden/>
              </w:rPr>
              <w:tab/>
            </w:r>
            <w:r w:rsidR="00350268">
              <w:rPr>
                <w:noProof/>
                <w:webHidden/>
              </w:rPr>
              <w:fldChar w:fldCharType="begin"/>
            </w:r>
            <w:r w:rsidR="00350268">
              <w:rPr>
                <w:noProof/>
                <w:webHidden/>
              </w:rPr>
              <w:instrText xml:space="preserve"> PAGEREF _Toc57902873 \h </w:instrText>
            </w:r>
            <w:r w:rsidR="00350268">
              <w:rPr>
                <w:noProof/>
                <w:webHidden/>
              </w:rPr>
            </w:r>
            <w:r w:rsidR="00350268">
              <w:rPr>
                <w:noProof/>
                <w:webHidden/>
              </w:rPr>
              <w:fldChar w:fldCharType="separate"/>
            </w:r>
            <w:r w:rsidR="00350268">
              <w:rPr>
                <w:noProof/>
                <w:webHidden/>
              </w:rPr>
              <w:t>109</w:t>
            </w:r>
            <w:r w:rsidR="00350268">
              <w:rPr>
                <w:noProof/>
                <w:webHidden/>
              </w:rPr>
              <w:fldChar w:fldCharType="end"/>
            </w:r>
          </w:hyperlink>
        </w:p>
        <w:p w14:paraId="379E4FA4" w14:textId="7A307D35" w:rsidR="00350268" w:rsidRDefault="00317BA0">
          <w:pPr>
            <w:pStyle w:val="TOC2"/>
            <w:rPr>
              <w:rFonts w:asciiTheme="minorHAnsi" w:eastAsiaTheme="minorEastAsia" w:hAnsiTheme="minorHAnsi" w:cstheme="minorBidi"/>
              <w:noProof/>
              <w:sz w:val="22"/>
              <w:szCs w:val="22"/>
            </w:rPr>
          </w:pPr>
          <w:hyperlink w:anchor="_Toc57902874" w:history="1">
            <w:r w:rsidR="00350268" w:rsidRPr="00120925">
              <w:rPr>
                <w:rStyle w:val="Hyperlink"/>
                <w:b/>
                <w:noProof/>
              </w:rPr>
              <w:t>4.3.5.4</w:t>
            </w:r>
            <w:r w:rsidR="00350268">
              <w:rPr>
                <w:rFonts w:asciiTheme="minorHAnsi" w:eastAsiaTheme="minorEastAsia" w:hAnsiTheme="minorHAnsi" w:cstheme="minorBidi"/>
                <w:noProof/>
                <w:sz w:val="22"/>
                <w:szCs w:val="22"/>
              </w:rPr>
              <w:tab/>
            </w:r>
            <w:r w:rsidR="00350268" w:rsidRPr="00120925">
              <w:rPr>
                <w:rStyle w:val="Hyperlink"/>
                <w:rFonts w:eastAsia="Arial" w:cs="Arial"/>
                <w:b/>
                <w:noProof/>
              </w:rPr>
              <w:t>Emissions reductions Electricity Generation-Small Hydro Off-Grid</w:t>
            </w:r>
            <w:r w:rsidR="00350268">
              <w:rPr>
                <w:noProof/>
                <w:webHidden/>
              </w:rPr>
              <w:tab/>
            </w:r>
            <w:r w:rsidR="00350268">
              <w:rPr>
                <w:noProof/>
                <w:webHidden/>
              </w:rPr>
              <w:fldChar w:fldCharType="begin"/>
            </w:r>
            <w:r w:rsidR="00350268">
              <w:rPr>
                <w:noProof/>
                <w:webHidden/>
              </w:rPr>
              <w:instrText xml:space="preserve"> PAGEREF _Toc57902874 \h </w:instrText>
            </w:r>
            <w:r w:rsidR="00350268">
              <w:rPr>
                <w:noProof/>
                <w:webHidden/>
              </w:rPr>
            </w:r>
            <w:r w:rsidR="00350268">
              <w:rPr>
                <w:noProof/>
                <w:webHidden/>
              </w:rPr>
              <w:fldChar w:fldCharType="separate"/>
            </w:r>
            <w:r w:rsidR="00350268">
              <w:rPr>
                <w:noProof/>
                <w:webHidden/>
              </w:rPr>
              <w:t>126</w:t>
            </w:r>
            <w:r w:rsidR="00350268">
              <w:rPr>
                <w:noProof/>
                <w:webHidden/>
              </w:rPr>
              <w:fldChar w:fldCharType="end"/>
            </w:r>
          </w:hyperlink>
        </w:p>
        <w:p w14:paraId="4F621B52" w14:textId="4D11C851" w:rsidR="00350268" w:rsidRDefault="00317BA0">
          <w:pPr>
            <w:pStyle w:val="TOC3"/>
            <w:tabs>
              <w:tab w:val="left" w:pos="1320"/>
              <w:tab w:val="right" w:leader="dot" w:pos="9782"/>
            </w:tabs>
            <w:rPr>
              <w:noProof/>
            </w:rPr>
          </w:pPr>
          <w:hyperlink w:anchor="_Toc57902875" w:history="1">
            <w:r w:rsidR="00350268" w:rsidRPr="00120925">
              <w:rPr>
                <w:rStyle w:val="Hyperlink"/>
                <w:rFonts w:cs="Times New Roman"/>
                <w:noProof/>
              </w:rPr>
              <w:t>4.3.6</w:t>
            </w:r>
            <w:r w:rsidR="00350268">
              <w:rPr>
                <w:noProof/>
              </w:rPr>
              <w:tab/>
            </w:r>
            <w:r w:rsidR="00350268" w:rsidRPr="00120925">
              <w:rPr>
                <w:rStyle w:val="Hyperlink"/>
                <w:noProof/>
              </w:rPr>
              <w:t>Industrial Processes and Product Use Mitigation Actions</w:t>
            </w:r>
            <w:r w:rsidR="00350268">
              <w:rPr>
                <w:noProof/>
                <w:webHidden/>
              </w:rPr>
              <w:tab/>
            </w:r>
            <w:r w:rsidR="00350268">
              <w:rPr>
                <w:noProof/>
                <w:webHidden/>
              </w:rPr>
              <w:fldChar w:fldCharType="begin"/>
            </w:r>
            <w:r w:rsidR="00350268">
              <w:rPr>
                <w:noProof/>
                <w:webHidden/>
              </w:rPr>
              <w:instrText xml:space="preserve"> PAGEREF _Toc57902875 \h </w:instrText>
            </w:r>
            <w:r w:rsidR="00350268">
              <w:rPr>
                <w:noProof/>
                <w:webHidden/>
              </w:rPr>
            </w:r>
            <w:r w:rsidR="00350268">
              <w:rPr>
                <w:noProof/>
                <w:webHidden/>
              </w:rPr>
              <w:fldChar w:fldCharType="separate"/>
            </w:r>
            <w:r w:rsidR="00350268">
              <w:rPr>
                <w:noProof/>
                <w:webHidden/>
              </w:rPr>
              <w:t>154</w:t>
            </w:r>
            <w:r w:rsidR="00350268">
              <w:rPr>
                <w:noProof/>
                <w:webHidden/>
              </w:rPr>
              <w:fldChar w:fldCharType="end"/>
            </w:r>
          </w:hyperlink>
        </w:p>
        <w:p w14:paraId="01BF0357" w14:textId="049CD25E" w:rsidR="00350268" w:rsidRDefault="00317BA0">
          <w:pPr>
            <w:pStyle w:val="TOC3"/>
            <w:tabs>
              <w:tab w:val="left" w:pos="1320"/>
              <w:tab w:val="right" w:leader="dot" w:pos="9782"/>
            </w:tabs>
            <w:rPr>
              <w:noProof/>
            </w:rPr>
          </w:pPr>
          <w:hyperlink w:anchor="_Toc57902876" w:history="1">
            <w:r w:rsidR="00350268" w:rsidRPr="00120925">
              <w:rPr>
                <w:rStyle w:val="Hyperlink"/>
                <w:rFonts w:cs="Times New Roman"/>
                <w:noProof/>
              </w:rPr>
              <w:t>4.3.7</w:t>
            </w:r>
            <w:r w:rsidR="00350268">
              <w:rPr>
                <w:noProof/>
              </w:rPr>
              <w:tab/>
            </w:r>
            <w:r w:rsidR="00350268" w:rsidRPr="00120925">
              <w:rPr>
                <w:rStyle w:val="Hyperlink"/>
                <w:noProof/>
              </w:rPr>
              <w:t>Agriculture Forestry and Other Land Use</w:t>
            </w:r>
            <w:r w:rsidR="00350268">
              <w:rPr>
                <w:noProof/>
                <w:webHidden/>
              </w:rPr>
              <w:tab/>
            </w:r>
            <w:r w:rsidR="00350268">
              <w:rPr>
                <w:noProof/>
                <w:webHidden/>
              </w:rPr>
              <w:fldChar w:fldCharType="begin"/>
            </w:r>
            <w:r w:rsidR="00350268">
              <w:rPr>
                <w:noProof/>
                <w:webHidden/>
              </w:rPr>
              <w:instrText xml:space="preserve"> PAGEREF _Toc57902876 \h </w:instrText>
            </w:r>
            <w:r w:rsidR="00350268">
              <w:rPr>
                <w:noProof/>
                <w:webHidden/>
              </w:rPr>
            </w:r>
            <w:r w:rsidR="00350268">
              <w:rPr>
                <w:noProof/>
                <w:webHidden/>
              </w:rPr>
              <w:fldChar w:fldCharType="separate"/>
            </w:r>
            <w:r w:rsidR="00350268">
              <w:rPr>
                <w:noProof/>
                <w:webHidden/>
              </w:rPr>
              <w:t>155</w:t>
            </w:r>
            <w:r w:rsidR="00350268">
              <w:rPr>
                <w:noProof/>
                <w:webHidden/>
              </w:rPr>
              <w:fldChar w:fldCharType="end"/>
            </w:r>
          </w:hyperlink>
        </w:p>
        <w:p w14:paraId="17EFDF53" w14:textId="009B1891" w:rsidR="00350268" w:rsidRDefault="00317BA0">
          <w:pPr>
            <w:pStyle w:val="TOC3"/>
            <w:tabs>
              <w:tab w:val="left" w:pos="1320"/>
              <w:tab w:val="right" w:leader="dot" w:pos="9782"/>
            </w:tabs>
            <w:rPr>
              <w:noProof/>
            </w:rPr>
          </w:pPr>
          <w:hyperlink w:anchor="_Toc57902877" w:history="1">
            <w:r w:rsidR="00350268" w:rsidRPr="00120925">
              <w:rPr>
                <w:rStyle w:val="Hyperlink"/>
                <w:rFonts w:cs="Times New Roman"/>
                <w:noProof/>
              </w:rPr>
              <w:t>4.3.8</w:t>
            </w:r>
            <w:r w:rsidR="00350268">
              <w:rPr>
                <w:noProof/>
              </w:rPr>
              <w:tab/>
            </w:r>
            <w:r w:rsidR="00350268" w:rsidRPr="00120925">
              <w:rPr>
                <w:rStyle w:val="Hyperlink"/>
                <w:noProof/>
              </w:rPr>
              <w:t>Waste</w:t>
            </w:r>
            <w:r w:rsidR="00350268">
              <w:rPr>
                <w:noProof/>
                <w:webHidden/>
              </w:rPr>
              <w:tab/>
            </w:r>
            <w:r w:rsidR="00350268">
              <w:rPr>
                <w:noProof/>
                <w:webHidden/>
              </w:rPr>
              <w:fldChar w:fldCharType="begin"/>
            </w:r>
            <w:r w:rsidR="00350268">
              <w:rPr>
                <w:noProof/>
                <w:webHidden/>
              </w:rPr>
              <w:instrText xml:space="preserve"> PAGEREF _Toc57902877 \h </w:instrText>
            </w:r>
            <w:r w:rsidR="00350268">
              <w:rPr>
                <w:noProof/>
                <w:webHidden/>
              </w:rPr>
            </w:r>
            <w:r w:rsidR="00350268">
              <w:rPr>
                <w:noProof/>
                <w:webHidden/>
              </w:rPr>
              <w:fldChar w:fldCharType="separate"/>
            </w:r>
            <w:r w:rsidR="00350268">
              <w:rPr>
                <w:noProof/>
                <w:webHidden/>
              </w:rPr>
              <w:t>165</w:t>
            </w:r>
            <w:r w:rsidR="00350268">
              <w:rPr>
                <w:noProof/>
                <w:webHidden/>
              </w:rPr>
              <w:fldChar w:fldCharType="end"/>
            </w:r>
          </w:hyperlink>
        </w:p>
        <w:p w14:paraId="685727E7" w14:textId="6ED055EA" w:rsidR="00350268" w:rsidRDefault="00317BA0">
          <w:pPr>
            <w:pStyle w:val="TOC3"/>
            <w:tabs>
              <w:tab w:val="left" w:pos="1320"/>
              <w:tab w:val="right" w:leader="dot" w:pos="9782"/>
            </w:tabs>
            <w:rPr>
              <w:noProof/>
            </w:rPr>
          </w:pPr>
          <w:hyperlink w:anchor="_Toc57902878" w:history="1">
            <w:r w:rsidR="00350268" w:rsidRPr="00120925">
              <w:rPr>
                <w:rStyle w:val="Hyperlink"/>
                <w:rFonts w:cs="Times New Roman"/>
                <w:noProof/>
              </w:rPr>
              <w:t>4.3.9</w:t>
            </w:r>
            <w:r w:rsidR="00350268">
              <w:rPr>
                <w:noProof/>
              </w:rPr>
              <w:tab/>
            </w:r>
            <w:r w:rsidR="00350268" w:rsidRPr="00120925">
              <w:rPr>
                <w:rStyle w:val="Hyperlink"/>
                <w:noProof/>
              </w:rPr>
              <w:t>REDD+</w:t>
            </w:r>
            <w:r w:rsidR="00350268">
              <w:rPr>
                <w:noProof/>
                <w:webHidden/>
              </w:rPr>
              <w:tab/>
            </w:r>
            <w:r w:rsidR="00350268">
              <w:rPr>
                <w:noProof/>
                <w:webHidden/>
              </w:rPr>
              <w:fldChar w:fldCharType="begin"/>
            </w:r>
            <w:r w:rsidR="00350268">
              <w:rPr>
                <w:noProof/>
                <w:webHidden/>
              </w:rPr>
              <w:instrText xml:space="preserve"> PAGEREF _Toc57902878 \h </w:instrText>
            </w:r>
            <w:r w:rsidR="00350268">
              <w:rPr>
                <w:noProof/>
                <w:webHidden/>
              </w:rPr>
            </w:r>
            <w:r w:rsidR="00350268">
              <w:rPr>
                <w:noProof/>
                <w:webHidden/>
              </w:rPr>
              <w:fldChar w:fldCharType="separate"/>
            </w:r>
            <w:r w:rsidR="00350268">
              <w:rPr>
                <w:noProof/>
                <w:webHidden/>
              </w:rPr>
              <w:t>167</w:t>
            </w:r>
            <w:r w:rsidR="00350268">
              <w:rPr>
                <w:noProof/>
                <w:webHidden/>
              </w:rPr>
              <w:fldChar w:fldCharType="end"/>
            </w:r>
          </w:hyperlink>
        </w:p>
        <w:p w14:paraId="72A2B4F6" w14:textId="2D803765" w:rsidR="00350268" w:rsidRDefault="00317BA0">
          <w:pPr>
            <w:pStyle w:val="TOC1"/>
            <w:tabs>
              <w:tab w:val="left" w:pos="660"/>
              <w:tab w:val="right" w:leader="dot" w:pos="9782"/>
            </w:tabs>
            <w:rPr>
              <w:rFonts w:asciiTheme="minorHAnsi" w:eastAsiaTheme="minorEastAsia" w:hAnsiTheme="minorHAnsi" w:cstheme="minorBidi"/>
              <w:noProof/>
              <w:sz w:val="22"/>
              <w:szCs w:val="22"/>
            </w:rPr>
          </w:pPr>
          <w:hyperlink w:anchor="_Toc57902879" w:history="1">
            <w:r w:rsidR="00350268" w:rsidRPr="00120925">
              <w:rPr>
                <w:rStyle w:val="Hyperlink"/>
                <w:b/>
                <w:noProof/>
              </w:rPr>
              <w:t>5.0</w:t>
            </w:r>
            <w:r w:rsidR="00350268">
              <w:rPr>
                <w:rFonts w:asciiTheme="minorHAnsi" w:eastAsiaTheme="minorEastAsia" w:hAnsiTheme="minorHAnsi" w:cstheme="minorBidi"/>
                <w:noProof/>
                <w:sz w:val="22"/>
                <w:szCs w:val="22"/>
              </w:rPr>
              <w:tab/>
            </w:r>
            <w:r w:rsidR="00350268" w:rsidRPr="00120925">
              <w:rPr>
                <w:rStyle w:val="Hyperlink"/>
                <w:b/>
                <w:noProof/>
              </w:rPr>
              <w:t>INTERNATIONAL MARKET MECHANISMS</w:t>
            </w:r>
            <w:r w:rsidR="00350268">
              <w:rPr>
                <w:noProof/>
                <w:webHidden/>
              </w:rPr>
              <w:tab/>
            </w:r>
            <w:r w:rsidR="00350268">
              <w:rPr>
                <w:noProof/>
                <w:webHidden/>
              </w:rPr>
              <w:fldChar w:fldCharType="begin"/>
            </w:r>
            <w:r w:rsidR="00350268">
              <w:rPr>
                <w:noProof/>
                <w:webHidden/>
              </w:rPr>
              <w:instrText xml:space="preserve"> PAGEREF _Toc57902879 \h </w:instrText>
            </w:r>
            <w:r w:rsidR="00350268">
              <w:rPr>
                <w:noProof/>
                <w:webHidden/>
              </w:rPr>
            </w:r>
            <w:r w:rsidR="00350268">
              <w:rPr>
                <w:noProof/>
                <w:webHidden/>
              </w:rPr>
              <w:fldChar w:fldCharType="separate"/>
            </w:r>
            <w:r w:rsidR="00350268">
              <w:rPr>
                <w:noProof/>
                <w:webHidden/>
              </w:rPr>
              <w:t>168</w:t>
            </w:r>
            <w:r w:rsidR="00350268">
              <w:rPr>
                <w:noProof/>
                <w:webHidden/>
              </w:rPr>
              <w:fldChar w:fldCharType="end"/>
            </w:r>
          </w:hyperlink>
        </w:p>
        <w:p w14:paraId="67053EB8" w14:textId="4ACCCA7B" w:rsidR="00350268" w:rsidRDefault="00317BA0">
          <w:pPr>
            <w:pStyle w:val="TOC2"/>
            <w:rPr>
              <w:rFonts w:asciiTheme="minorHAnsi" w:eastAsiaTheme="minorEastAsia" w:hAnsiTheme="minorHAnsi" w:cstheme="minorBidi"/>
              <w:noProof/>
              <w:sz w:val="22"/>
              <w:szCs w:val="22"/>
            </w:rPr>
          </w:pPr>
          <w:hyperlink w:anchor="_Toc57902880" w:history="1">
            <w:r w:rsidR="00350268" w:rsidRPr="00120925">
              <w:rPr>
                <w:rStyle w:val="Hyperlink"/>
                <w:b/>
                <w:bCs/>
                <w:noProof/>
              </w:rPr>
              <w:t>5.1</w:t>
            </w:r>
            <w:r w:rsidR="00350268">
              <w:rPr>
                <w:rFonts w:asciiTheme="minorHAnsi" w:eastAsiaTheme="minorEastAsia" w:hAnsiTheme="minorHAnsi" w:cstheme="minorBidi"/>
                <w:noProof/>
                <w:sz w:val="22"/>
                <w:szCs w:val="22"/>
              </w:rPr>
              <w:tab/>
            </w:r>
            <w:r w:rsidR="00350268" w:rsidRPr="00120925">
              <w:rPr>
                <w:rStyle w:val="Hyperlink"/>
                <w:b/>
                <w:noProof/>
              </w:rPr>
              <w:t>COMPLIANCE MARKETS-CLEAN DEVELOPMENT MECHANISM</w:t>
            </w:r>
            <w:r w:rsidR="00350268">
              <w:rPr>
                <w:noProof/>
                <w:webHidden/>
              </w:rPr>
              <w:tab/>
            </w:r>
            <w:r w:rsidR="00350268">
              <w:rPr>
                <w:noProof/>
                <w:webHidden/>
              </w:rPr>
              <w:fldChar w:fldCharType="begin"/>
            </w:r>
            <w:r w:rsidR="00350268">
              <w:rPr>
                <w:noProof/>
                <w:webHidden/>
              </w:rPr>
              <w:instrText xml:space="preserve"> PAGEREF _Toc57902880 \h </w:instrText>
            </w:r>
            <w:r w:rsidR="00350268">
              <w:rPr>
                <w:noProof/>
                <w:webHidden/>
              </w:rPr>
            </w:r>
            <w:r w:rsidR="00350268">
              <w:rPr>
                <w:noProof/>
                <w:webHidden/>
              </w:rPr>
              <w:fldChar w:fldCharType="separate"/>
            </w:r>
            <w:r w:rsidR="00350268">
              <w:rPr>
                <w:noProof/>
                <w:webHidden/>
              </w:rPr>
              <w:t>168</w:t>
            </w:r>
            <w:r w:rsidR="00350268">
              <w:rPr>
                <w:noProof/>
                <w:webHidden/>
              </w:rPr>
              <w:fldChar w:fldCharType="end"/>
            </w:r>
          </w:hyperlink>
        </w:p>
        <w:p w14:paraId="4F4414B3" w14:textId="11B7433C" w:rsidR="00350268" w:rsidRDefault="00317BA0">
          <w:pPr>
            <w:pStyle w:val="TOC2"/>
            <w:rPr>
              <w:rFonts w:asciiTheme="minorHAnsi" w:eastAsiaTheme="minorEastAsia" w:hAnsiTheme="minorHAnsi" w:cstheme="minorBidi"/>
              <w:noProof/>
              <w:sz w:val="22"/>
              <w:szCs w:val="22"/>
            </w:rPr>
          </w:pPr>
          <w:hyperlink w:anchor="_Toc57902881" w:history="1">
            <w:r w:rsidR="00350268" w:rsidRPr="00120925">
              <w:rPr>
                <w:rStyle w:val="Hyperlink"/>
                <w:b/>
                <w:bCs/>
                <w:noProof/>
              </w:rPr>
              <w:t>5.2</w:t>
            </w:r>
            <w:r w:rsidR="00350268">
              <w:rPr>
                <w:rFonts w:asciiTheme="minorHAnsi" w:eastAsiaTheme="minorEastAsia" w:hAnsiTheme="minorHAnsi" w:cstheme="minorBidi"/>
                <w:noProof/>
                <w:sz w:val="22"/>
                <w:szCs w:val="22"/>
              </w:rPr>
              <w:tab/>
            </w:r>
            <w:r w:rsidR="00350268" w:rsidRPr="00120925">
              <w:rPr>
                <w:rStyle w:val="Hyperlink"/>
                <w:b/>
                <w:noProof/>
              </w:rPr>
              <w:t>VOLUNTARY OFFSET PROJECTS</w:t>
            </w:r>
            <w:r w:rsidR="00350268">
              <w:rPr>
                <w:noProof/>
                <w:webHidden/>
              </w:rPr>
              <w:tab/>
            </w:r>
            <w:r w:rsidR="00350268">
              <w:rPr>
                <w:noProof/>
                <w:webHidden/>
              </w:rPr>
              <w:fldChar w:fldCharType="begin"/>
            </w:r>
            <w:r w:rsidR="00350268">
              <w:rPr>
                <w:noProof/>
                <w:webHidden/>
              </w:rPr>
              <w:instrText xml:space="preserve"> PAGEREF _Toc57902881 \h </w:instrText>
            </w:r>
            <w:r w:rsidR="00350268">
              <w:rPr>
                <w:noProof/>
                <w:webHidden/>
              </w:rPr>
            </w:r>
            <w:r w:rsidR="00350268">
              <w:rPr>
                <w:noProof/>
                <w:webHidden/>
              </w:rPr>
              <w:fldChar w:fldCharType="separate"/>
            </w:r>
            <w:r w:rsidR="00350268">
              <w:rPr>
                <w:noProof/>
                <w:webHidden/>
              </w:rPr>
              <w:t>169</w:t>
            </w:r>
            <w:r w:rsidR="00350268">
              <w:rPr>
                <w:noProof/>
                <w:webHidden/>
              </w:rPr>
              <w:fldChar w:fldCharType="end"/>
            </w:r>
          </w:hyperlink>
        </w:p>
        <w:p w14:paraId="01DAFA89" w14:textId="5387CFA9" w:rsidR="00350268" w:rsidRDefault="00317BA0">
          <w:pPr>
            <w:pStyle w:val="TOC2"/>
            <w:rPr>
              <w:rFonts w:asciiTheme="minorHAnsi" w:eastAsiaTheme="minorEastAsia" w:hAnsiTheme="minorHAnsi" w:cstheme="minorBidi"/>
              <w:noProof/>
              <w:sz w:val="22"/>
              <w:szCs w:val="22"/>
            </w:rPr>
          </w:pPr>
          <w:hyperlink w:anchor="_Toc57902882" w:history="1">
            <w:r w:rsidR="00350268" w:rsidRPr="00120925">
              <w:rPr>
                <w:rStyle w:val="Hyperlink"/>
                <w:b/>
                <w:bCs/>
                <w:noProof/>
              </w:rPr>
              <w:t>5.3</w:t>
            </w:r>
            <w:r w:rsidR="00350268">
              <w:rPr>
                <w:rFonts w:asciiTheme="minorHAnsi" w:eastAsiaTheme="minorEastAsia" w:hAnsiTheme="minorHAnsi" w:cstheme="minorBidi"/>
                <w:noProof/>
                <w:sz w:val="22"/>
                <w:szCs w:val="22"/>
              </w:rPr>
              <w:tab/>
            </w:r>
            <w:r w:rsidR="00350268" w:rsidRPr="00120925">
              <w:rPr>
                <w:rStyle w:val="Hyperlink"/>
                <w:b/>
                <w:noProof/>
              </w:rPr>
              <w:t>CHALLENGES IN IMPLEMENTING CARBON TRADING MECHANISM IN ZAMBIA</w:t>
            </w:r>
            <w:r w:rsidR="00350268">
              <w:rPr>
                <w:noProof/>
                <w:webHidden/>
              </w:rPr>
              <w:tab/>
            </w:r>
            <w:r w:rsidR="00350268">
              <w:rPr>
                <w:noProof/>
                <w:webHidden/>
              </w:rPr>
              <w:fldChar w:fldCharType="begin"/>
            </w:r>
            <w:r w:rsidR="00350268">
              <w:rPr>
                <w:noProof/>
                <w:webHidden/>
              </w:rPr>
              <w:instrText xml:space="preserve"> PAGEREF _Toc57902882 \h </w:instrText>
            </w:r>
            <w:r w:rsidR="00350268">
              <w:rPr>
                <w:noProof/>
                <w:webHidden/>
              </w:rPr>
            </w:r>
            <w:r w:rsidR="00350268">
              <w:rPr>
                <w:noProof/>
                <w:webHidden/>
              </w:rPr>
              <w:fldChar w:fldCharType="separate"/>
            </w:r>
            <w:r w:rsidR="00350268">
              <w:rPr>
                <w:noProof/>
                <w:webHidden/>
              </w:rPr>
              <w:t>170</w:t>
            </w:r>
            <w:r w:rsidR="00350268">
              <w:rPr>
                <w:noProof/>
                <w:webHidden/>
              </w:rPr>
              <w:fldChar w:fldCharType="end"/>
            </w:r>
          </w:hyperlink>
        </w:p>
        <w:p w14:paraId="48CA15A3" w14:textId="65784E33" w:rsidR="00350268" w:rsidRDefault="00317BA0">
          <w:pPr>
            <w:pStyle w:val="TOC1"/>
            <w:tabs>
              <w:tab w:val="left" w:pos="660"/>
              <w:tab w:val="right" w:leader="dot" w:pos="9782"/>
            </w:tabs>
            <w:rPr>
              <w:rFonts w:asciiTheme="minorHAnsi" w:eastAsiaTheme="minorEastAsia" w:hAnsiTheme="minorHAnsi" w:cstheme="minorBidi"/>
              <w:noProof/>
              <w:sz w:val="22"/>
              <w:szCs w:val="22"/>
            </w:rPr>
          </w:pPr>
          <w:hyperlink w:anchor="_Toc57902883" w:history="1">
            <w:r w:rsidR="00350268" w:rsidRPr="00120925">
              <w:rPr>
                <w:rStyle w:val="Hyperlink"/>
                <w:b/>
                <w:noProof/>
              </w:rPr>
              <w:t>6.0</w:t>
            </w:r>
            <w:r w:rsidR="00350268">
              <w:rPr>
                <w:rFonts w:asciiTheme="minorHAnsi" w:eastAsiaTheme="minorEastAsia" w:hAnsiTheme="minorHAnsi" w:cstheme="minorBidi"/>
                <w:noProof/>
                <w:sz w:val="22"/>
                <w:szCs w:val="22"/>
              </w:rPr>
              <w:tab/>
            </w:r>
            <w:r w:rsidR="00350268" w:rsidRPr="00120925">
              <w:rPr>
                <w:rStyle w:val="Hyperlink"/>
                <w:b/>
                <w:noProof/>
              </w:rPr>
              <w:t>NATIONAL MEASURING REPORTING AND VERIFICATION SYSTEM</w:t>
            </w:r>
            <w:r w:rsidR="00350268">
              <w:rPr>
                <w:noProof/>
                <w:webHidden/>
              </w:rPr>
              <w:tab/>
            </w:r>
            <w:r w:rsidR="00350268">
              <w:rPr>
                <w:noProof/>
                <w:webHidden/>
              </w:rPr>
              <w:fldChar w:fldCharType="begin"/>
            </w:r>
            <w:r w:rsidR="00350268">
              <w:rPr>
                <w:noProof/>
                <w:webHidden/>
              </w:rPr>
              <w:instrText xml:space="preserve"> PAGEREF _Toc57902883 \h </w:instrText>
            </w:r>
            <w:r w:rsidR="00350268">
              <w:rPr>
                <w:noProof/>
                <w:webHidden/>
              </w:rPr>
            </w:r>
            <w:r w:rsidR="00350268">
              <w:rPr>
                <w:noProof/>
                <w:webHidden/>
              </w:rPr>
              <w:fldChar w:fldCharType="separate"/>
            </w:r>
            <w:r w:rsidR="00350268">
              <w:rPr>
                <w:noProof/>
                <w:webHidden/>
              </w:rPr>
              <w:t>171</w:t>
            </w:r>
            <w:r w:rsidR="00350268">
              <w:rPr>
                <w:noProof/>
                <w:webHidden/>
              </w:rPr>
              <w:fldChar w:fldCharType="end"/>
            </w:r>
          </w:hyperlink>
        </w:p>
        <w:p w14:paraId="0BACED14" w14:textId="13C04CD8" w:rsidR="00350268" w:rsidRDefault="00317BA0">
          <w:pPr>
            <w:pStyle w:val="TOC2"/>
            <w:rPr>
              <w:rFonts w:asciiTheme="minorHAnsi" w:eastAsiaTheme="minorEastAsia" w:hAnsiTheme="minorHAnsi" w:cstheme="minorBidi"/>
              <w:noProof/>
              <w:sz w:val="22"/>
              <w:szCs w:val="22"/>
            </w:rPr>
          </w:pPr>
          <w:hyperlink w:anchor="_Toc57902884" w:history="1">
            <w:r w:rsidR="00350268" w:rsidRPr="00120925">
              <w:rPr>
                <w:rStyle w:val="Hyperlink"/>
                <w:b/>
                <w:bCs/>
                <w:noProof/>
              </w:rPr>
              <w:t>6.1</w:t>
            </w:r>
            <w:r w:rsidR="00350268">
              <w:rPr>
                <w:rFonts w:asciiTheme="minorHAnsi" w:eastAsiaTheme="minorEastAsia" w:hAnsiTheme="minorHAnsi" w:cstheme="minorBidi"/>
                <w:noProof/>
                <w:sz w:val="22"/>
                <w:szCs w:val="22"/>
              </w:rPr>
              <w:tab/>
            </w:r>
            <w:r w:rsidR="00350268" w:rsidRPr="00120925">
              <w:rPr>
                <w:rStyle w:val="Hyperlink"/>
                <w:b/>
                <w:bCs/>
                <w:noProof/>
              </w:rPr>
              <w:t>NATIONAL MRV SYSTEM FOR ZAMBIA-POST PARIS AGREEMENT</w:t>
            </w:r>
            <w:r w:rsidR="00350268">
              <w:rPr>
                <w:noProof/>
                <w:webHidden/>
              </w:rPr>
              <w:tab/>
            </w:r>
            <w:r w:rsidR="00350268">
              <w:rPr>
                <w:noProof/>
                <w:webHidden/>
              </w:rPr>
              <w:fldChar w:fldCharType="begin"/>
            </w:r>
            <w:r w:rsidR="00350268">
              <w:rPr>
                <w:noProof/>
                <w:webHidden/>
              </w:rPr>
              <w:instrText xml:space="preserve"> PAGEREF _Toc57902884 \h </w:instrText>
            </w:r>
            <w:r w:rsidR="00350268">
              <w:rPr>
                <w:noProof/>
                <w:webHidden/>
              </w:rPr>
            </w:r>
            <w:r w:rsidR="00350268">
              <w:rPr>
                <w:noProof/>
                <w:webHidden/>
              </w:rPr>
              <w:fldChar w:fldCharType="separate"/>
            </w:r>
            <w:r w:rsidR="00350268">
              <w:rPr>
                <w:noProof/>
                <w:webHidden/>
              </w:rPr>
              <w:t>172</w:t>
            </w:r>
            <w:r w:rsidR="00350268">
              <w:rPr>
                <w:noProof/>
                <w:webHidden/>
              </w:rPr>
              <w:fldChar w:fldCharType="end"/>
            </w:r>
          </w:hyperlink>
        </w:p>
        <w:p w14:paraId="040FE11A" w14:textId="74E02A25" w:rsidR="00350268" w:rsidRDefault="00317BA0">
          <w:pPr>
            <w:pStyle w:val="TOC2"/>
            <w:rPr>
              <w:rFonts w:asciiTheme="minorHAnsi" w:eastAsiaTheme="minorEastAsia" w:hAnsiTheme="minorHAnsi" w:cstheme="minorBidi"/>
              <w:noProof/>
              <w:sz w:val="22"/>
              <w:szCs w:val="22"/>
            </w:rPr>
          </w:pPr>
          <w:hyperlink w:anchor="_Toc57902885" w:history="1">
            <w:r w:rsidR="00350268" w:rsidRPr="00120925">
              <w:rPr>
                <w:rStyle w:val="Hyperlink"/>
                <w:b/>
                <w:bCs/>
                <w:noProof/>
              </w:rPr>
              <w:t>6.2</w:t>
            </w:r>
            <w:r w:rsidR="00350268">
              <w:rPr>
                <w:rFonts w:asciiTheme="minorHAnsi" w:eastAsiaTheme="minorEastAsia" w:hAnsiTheme="minorHAnsi" w:cstheme="minorBidi"/>
                <w:noProof/>
                <w:sz w:val="22"/>
                <w:szCs w:val="22"/>
              </w:rPr>
              <w:tab/>
            </w:r>
            <w:r w:rsidR="00350268" w:rsidRPr="00120925">
              <w:rPr>
                <w:rStyle w:val="Hyperlink"/>
                <w:b/>
                <w:noProof/>
              </w:rPr>
              <w:t>MRV SYSTEMS DEVELOPED PRE-PARIS AGREEMENT</w:t>
            </w:r>
            <w:r w:rsidR="00350268">
              <w:rPr>
                <w:noProof/>
                <w:webHidden/>
              </w:rPr>
              <w:tab/>
            </w:r>
            <w:r w:rsidR="00350268">
              <w:rPr>
                <w:noProof/>
                <w:webHidden/>
              </w:rPr>
              <w:fldChar w:fldCharType="begin"/>
            </w:r>
            <w:r w:rsidR="00350268">
              <w:rPr>
                <w:noProof/>
                <w:webHidden/>
              </w:rPr>
              <w:instrText xml:space="preserve"> PAGEREF _Toc57902885 \h </w:instrText>
            </w:r>
            <w:r w:rsidR="00350268">
              <w:rPr>
                <w:noProof/>
                <w:webHidden/>
              </w:rPr>
            </w:r>
            <w:r w:rsidR="00350268">
              <w:rPr>
                <w:noProof/>
                <w:webHidden/>
              </w:rPr>
              <w:fldChar w:fldCharType="separate"/>
            </w:r>
            <w:r w:rsidR="00350268">
              <w:rPr>
                <w:noProof/>
                <w:webHidden/>
              </w:rPr>
              <w:t>173</w:t>
            </w:r>
            <w:r w:rsidR="00350268">
              <w:rPr>
                <w:noProof/>
                <w:webHidden/>
              </w:rPr>
              <w:fldChar w:fldCharType="end"/>
            </w:r>
          </w:hyperlink>
        </w:p>
        <w:p w14:paraId="703B44D6" w14:textId="78C7266B" w:rsidR="00350268" w:rsidRDefault="00317BA0">
          <w:pPr>
            <w:pStyle w:val="TOC2"/>
            <w:rPr>
              <w:rFonts w:asciiTheme="minorHAnsi" w:eastAsiaTheme="minorEastAsia" w:hAnsiTheme="minorHAnsi" w:cstheme="minorBidi"/>
              <w:noProof/>
              <w:sz w:val="22"/>
              <w:szCs w:val="22"/>
            </w:rPr>
          </w:pPr>
          <w:hyperlink w:anchor="_Toc57902886" w:history="1">
            <w:r w:rsidR="00350268" w:rsidRPr="00120925">
              <w:rPr>
                <w:rStyle w:val="Hyperlink"/>
                <w:b/>
                <w:noProof/>
              </w:rPr>
              <w:t>Constraints and gaps on MRV Pre Paris Agreement</w:t>
            </w:r>
            <w:r w:rsidR="00350268">
              <w:rPr>
                <w:noProof/>
                <w:webHidden/>
              </w:rPr>
              <w:tab/>
            </w:r>
            <w:r w:rsidR="00350268">
              <w:rPr>
                <w:noProof/>
                <w:webHidden/>
              </w:rPr>
              <w:fldChar w:fldCharType="begin"/>
            </w:r>
            <w:r w:rsidR="00350268">
              <w:rPr>
                <w:noProof/>
                <w:webHidden/>
              </w:rPr>
              <w:instrText xml:space="preserve"> PAGEREF _Toc57902886 \h </w:instrText>
            </w:r>
            <w:r w:rsidR="00350268">
              <w:rPr>
                <w:noProof/>
                <w:webHidden/>
              </w:rPr>
            </w:r>
            <w:r w:rsidR="00350268">
              <w:rPr>
                <w:noProof/>
                <w:webHidden/>
              </w:rPr>
              <w:fldChar w:fldCharType="separate"/>
            </w:r>
            <w:r w:rsidR="00350268">
              <w:rPr>
                <w:noProof/>
                <w:webHidden/>
              </w:rPr>
              <w:t>173</w:t>
            </w:r>
            <w:r w:rsidR="00350268">
              <w:rPr>
                <w:noProof/>
                <w:webHidden/>
              </w:rPr>
              <w:fldChar w:fldCharType="end"/>
            </w:r>
          </w:hyperlink>
        </w:p>
        <w:p w14:paraId="2CCCADE5" w14:textId="5CC62343" w:rsidR="00350268" w:rsidRDefault="00317BA0">
          <w:pPr>
            <w:pStyle w:val="TOC1"/>
            <w:tabs>
              <w:tab w:val="left" w:pos="660"/>
              <w:tab w:val="right" w:leader="dot" w:pos="9782"/>
            </w:tabs>
            <w:rPr>
              <w:rFonts w:asciiTheme="minorHAnsi" w:eastAsiaTheme="minorEastAsia" w:hAnsiTheme="minorHAnsi" w:cstheme="minorBidi"/>
              <w:noProof/>
              <w:sz w:val="22"/>
              <w:szCs w:val="22"/>
            </w:rPr>
          </w:pPr>
          <w:hyperlink w:anchor="_Toc57902887" w:history="1">
            <w:r w:rsidR="00350268" w:rsidRPr="00120925">
              <w:rPr>
                <w:rStyle w:val="Hyperlink"/>
                <w:b/>
                <w:bCs/>
                <w:noProof/>
              </w:rPr>
              <w:t>7.0</w:t>
            </w:r>
            <w:r w:rsidR="00350268">
              <w:rPr>
                <w:rFonts w:asciiTheme="minorHAnsi" w:eastAsiaTheme="minorEastAsia" w:hAnsiTheme="minorHAnsi" w:cstheme="minorBidi"/>
                <w:noProof/>
                <w:sz w:val="22"/>
                <w:szCs w:val="22"/>
              </w:rPr>
              <w:tab/>
            </w:r>
            <w:r w:rsidR="00350268" w:rsidRPr="00120925">
              <w:rPr>
                <w:rStyle w:val="Hyperlink"/>
                <w:b/>
                <w:bCs/>
                <w:noProof/>
              </w:rPr>
              <w:t>CAPACITY, FINANCIAL AND TECHNOLOGY NEEDS</w:t>
            </w:r>
            <w:r w:rsidR="00350268">
              <w:rPr>
                <w:noProof/>
                <w:webHidden/>
              </w:rPr>
              <w:tab/>
            </w:r>
            <w:r w:rsidR="00350268">
              <w:rPr>
                <w:noProof/>
                <w:webHidden/>
              </w:rPr>
              <w:fldChar w:fldCharType="begin"/>
            </w:r>
            <w:r w:rsidR="00350268">
              <w:rPr>
                <w:noProof/>
                <w:webHidden/>
              </w:rPr>
              <w:instrText xml:space="preserve"> PAGEREF _Toc57902887 \h </w:instrText>
            </w:r>
            <w:r w:rsidR="00350268">
              <w:rPr>
                <w:noProof/>
                <w:webHidden/>
              </w:rPr>
            </w:r>
            <w:r w:rsidR="00350268">
              <w:rPr>
                <w:noProof/>
                <w:webHidden/>
              </w:rPr>
              <w:fldChar w:fldCharType="separate"/>
            </w:r>
            <w:r w:rsidR="00350268">
              <w:rPr>
                <w:noProof/>
                <w:webHidden/>
              </w:rPr>
              <w:t>175</w:t>
            </w:r>
            <w:r w:rsidR="00350268">
              <w:rPr>
                <w:noProof/>
                <w:webHidden/>
              </w:rPr>
              <w:fldChar w:fldCharType="end"/>
            </w:r>
          </w:hyperlink>
        </w:p>
        <w:p w14:paraId="4337F040" w14:textId="3CECF7A7" w:rsidR="00350268" w:rsidRDefault="00317BA0">
          <w:pPr>
            <w:pStyle w:val="TOC2"/>
            <w:rPr>
              <w:rFonts w:asciiTheme="minorHAnsi" w:eastAsiaTheme="minorEastAsia" w:hAnsiTheme="minorHAnsi" w:cstheme="minorBidi"/>
              <w:noProof/>
              <w:sz w:val="22"/>
              <w:szCs w:val="22"/>
            </w:rPr>
          </w:pPr>
          <w:hyperlink w:anchor="_Toc57902888" w:history="1">
            <w:r w:rsidR="00350268" w:rsidRPr="00120925">
              <w:rPr>
                <w:rStyle w:val="Hyperlink"/>
                <w:b/>
                <w:bCs/>
                <w:noProof/>
              </w:rPr>
              <w:t>7.1</w:t>
            </w:r>
            <w:r w:rsidR="00350268">
              <w:rPr>
                <w:rFonts w:asciiTheme="minorHAnsi" w:eastAsiaTheme="minorEastAsia" w:hAnsiTheme="minorHAnsi" w:cstheme="minorBidi"/>
                <w:noProof/>
                <w:sz w:val="22"/>
                <w:szCs w:val="22"/>
              </w:rPr>
              <w:tab/>
            </w:r>
            <w:r w:rsidR="00350268" w:rsidRPr="00120925">
              <w:rPr>
                <w:rStyle w:val="Hyperlink"/>
                <w:b/>
                <w:noProof/>
              </w:rPr>
              <w:t>FINANCIAL NEEDS AND SUPPORT RECEIVED</w:t>
            </w:r>
            <w:r w:rsidR="00350268">
              <w:rPr>
                <w:noProof/>
                <w:webHidden/>
              </w:rPr>
              <w:tab/>
            </w:r>
            <w:r w:rsidR="00350268">
              <w:rPr>
                <w:noProof/>
                <w:webHidden/>
              </w:rPr>
              <w:fldChar w:fldCharType="begin"/>
            </w:r>
            <w:r w:rsidR="00350268">
              <w:rPr>
                <w:noProof/>
                <w:webHidden/>
              </w:rPr>
              <w:instrText xml:space="preserve"> PAGEREF _Toc57902888 \h </w:instrText>
            </w:r>
            <w:r w:rsidR="00350268">
              <w:rPr>
                <w:noProof/>
                <w:webHidden/>
              </w:rPr>
            </w:r>
            <w:r w:rsidR="00350268">
              <w:rPr>
                <w:noProof/>
                <w:webHidden/>
              </w:rPr>
              <w:fldChar w:fldCharType="separate"/>
            </w:r>
            <w:r w:rsidR="00350268">
              <w:rPr>
                <w:noProof/>
                <w:webHidden/>
              </w:rPr>
              <w:t>175</w:t>
            </w:r>
            <w:r w:rsidR="00350268">
              <w:rPr>
                <w:noProof/>
                <w:webHidden/>
              </w:rPr>
              <w:fldChar w:fldCharType="end"/>
            </w:r>
          </w:hyperlink>
        </w:p>
        <w:p w14:paraId="54089AB8" w14:textId="7AA9D5B7" w:rsidR="00350268" w:rsidRDefault="00317BA0">
          <w:pPr>
            <w:pStyle w:val="TOC2"/>
            <w:rPr>
              <w:rFonts w:asciiTheme="minorHAnsi" w:eastAsiaTheme="minorEastAsia" w:hAnsiTheme="minorHAnsi" w:cstheme="minorBidi"/>
              <w:noProof/>
              <w:sz w:val="22"/>
              <w:szCs w:val="22"/>
            </w:rPr>
          </w:pPr>
          <w:hyperlink w:anchor="_Toc57902889" w:history="1">
            <w:r w:rsidR="00350268" w:rsidRPr="00120925">
              <w:rPr>
                <w:rStyle w:val="Hyperlink"/>
                <w:b/>
                <w:noProof/>
              </w:rPr>
              <w:t>7.1.1</w:t>
            </w:r>
            <w:r w:rsidR="00350268">
              <w:rPr>
                <w:rFonts w:asciiTheme="minorHAnsi" w:eastAsiaTheme="minorEastAsia" w:hAnsiTheme="minorHAnsi" w:cstheme="minorBidi"/>
                <w:noProof/>
                <w:sz w:val="22"/>
                <w:szCs w:val="22"/>
              </w:rPr>
              <w:tab/>
            </w:r>
            <w:r w:rsidR="00350268" w:rsidRPr="00120925">
              <w:rPr>
                <w:rStyle w:val="Hyperlink"/>
                <w:b/>
                <w:noProof/>
              </w:rPr>
              <w:t>Financial Needs</w:t>
            </w:r>
            <w:r w:rsidR="00350268">
              <w:rPr>
                <w:noProof/>
                <w:webHidden/>
              </w:rPr>
              <w:tab/>
            </w:r>
            <w:r w:rsidR="00350268">
              <w:rPr>
                <w:noProof/>
                <w:webHidden/>
              </w:rPr>
              <w:fldChar w:fldCharType="begin"/>
            </w:r>
            <w:r w:rsidR="00350268">
              <w:rPr>
                <w:noProof/>
                <w:webHidden/>
              </w:rPr>
              <w:instrText xml:space="preserve"> PAGEREF _Toc57902889 \h </w:instrText>
            </w:r>
            <w:r w:rsidR="00350268">
              <w:rPr>
                <w:noProof/>
                <w:webHidden/>
              </w:rPr>
            </w:r>
            <w:r w:rsidR="00350268">
              <w:rPr>
                <w:noProof/>
                <w:webHidden/>
              </w:rPr>
              <w:fldChar w:fldCharType="separate"/>
            </w:r>
            <w:r w:rsidR="00350268">
              <w:rPr>
                <w:noProof/>
                <w:webHidden/>
              </w:rPr>
              <w:t>175</w:t>
            </w:r>
            <w:r w:rsidR="00350268">
              <w:rPr>
                <w:noProof/>
                <w:webHidden/>
              </w:rPr>
              <w:fldChar w:fldCharType="end"/>
            </w:r>
          </w:hyperlink>
        </w:p>
        <w:p w14:paraId="69246C05" w14:textId="03B9B881" w:rsidR="00350268" w:rsidRDefault="00317BA0">
          <w:pPr>
            <w:pStyle w:val="TOC2"/>
            <w:rPr>
              <w:rFonts w:asciiTheme="minorHAnsi" w:eastAsiaTheme="minorEastAsia" w:hAnsiTheme="minorHAnsi" w:cstheme="minorBidi"/>
              <w:noProof/>
              <w:sz w:val="22"/>
              <w:szCs w:val="22"/>
            </w:rPr>
          </w:pPr>
          <w:hyperlink w:anchor="_Toc57902890" w:history="1">
            <w:r w:rsidR="00350268" w:rsidRPr="00120925">
              <w:rPr>
                <w:rStyle w:val="Hyperlink"/>
                <w:b/>
                <w:noProof/>
              </w:rPr>
              <w:t>7.1.2</w:t>
            </w:r>
            <w:r w:rsidR="00350268">
              <w:rPr>
                <w:rFonts w:asciiTheme="minorHAnsi" w:eastAsiaTheme="minorEastAsia" w:hAnsiTheme="minorHAnsi" w:cstheme="minorBidi"/>
                <w:noProof/>
                <w:sz w:val="22"/>
                <w:szCs w:val="22"/>
              </w:rPr>
              <w:tab/>
            </w:r>
            <w:r w:rsidR="00350268" w:rsidRPr="00120925">
              <w:rPr>
                <w:rStyle w:val="Hyperlink"/>
                <w:b/>
                <w:noProof/>
              </w:rPr>
              <w:t>Financial Support Received</w:t>
            </w:r>
            <w:r w:rsidR="00350268">
              <w:rPr>
                <w:noProof/>
                <w:webHidden/>
              </w:rPr>
              <w:tab/>
            </w:r>
            <w:r w:rsidR="00350268">
              <w:rPr>
                <w:noProof/>
                <w:webHidden/>
              </w:rPr>
              <w:fldChar w:fldCharType="begin"/>
            </w:r>
            <w:r w:rsidR="00350268">
              <w:rPr>
                <w:noProof/>
                <w:webHidden/>
              </w:rPr>
              <w:instrText xml:space="preserve"> PAGEREF _Toc57902890 \h </w:instrText>
            </w:r>
            <w:r w:rsidR="00350268">
              <w:rPr>
                <w:noProof/>
                <w:webHidden/>
              </w:rPr>
            </w:r>
            <w:r w:rsidR="00350268">
              <w:rPr>
                <w:noProof/>
                <w:webHidden/>
              </w:rPr>
              <w:fldChar w:fldCharType="separate"/>
            </w:r>
            <w:r w:rsidR="00350268">
              <w:rPr>
                <w:noProof/>
                <w:webHidden/>
              </w:rPr>
              <w:t>175</w:t>
            </w:r>
            <w:r w:rsidR="00350268">
              <w:rPr>
                <w:noProof/>
                <w:webHidden/>
              </w:rPr>
              <w:fldChar w:fldCharType="end"/>
            </w:r>
          </w:hyperlink>
        </w:p>
        <w:p w14:paraId="3550DA3A" w14:textId="11CC11C5" w:rsidR="00350268" w:rsidRDefault="00317BA0">
          <w:pPr>
            <w:pStyle w:val="TOC2"/>
            <w:rPr>
              <w:rFonts w:asciiTheme="minorHAnsi" w:eastAsiaTheme="minorEastAsia" w:hAnsiTheme="minorHAnsi" w:cstheme="minorBidi"/>
              <w:noProof/>
              <w:sz w:val="22"/>
              <w:szCs w:val="22"/>
            </w:rPr>
          </w:pPr>
          <w:hyperlink w:anchor="_Toc57902891" w:history="1">
            <w:r w:rsidR="00350268" w:rsidRPr="00120925">
              <w:rPr>
                <w:rStyle w:val="Hyperlink"/>
                <w:b/>
                <w:bCs/>
                <w:noProof/>
              </w:rPr>
              <w:t>7.2</w:t>
            </w:r>
            <w:r w:rsidR="00350268">
              <w:rPr>
                <w:rFonts w:asciiTheme="minorHAnsi" w:eastAsiaTheme="minorEastAsia" w:hAnsiTheme="minorHAnsi" w:cstheme="minorBidi"/>
                <w:noProof/>
                <w:sz w:val="22"/>
                <w:szCs w:val="22"/>
              </w:rPr>
              <w:tab/>
            </w:r>
            <w:r w:rsidR="00350268" w:rsidRPr="00120925">
              <w:rPr>
                <w:rStyle w:val="Hyperlink"/>
                <w:b/>
                <w:bCs/>
                <w:noProof/>
              </w:rPr>
              <w:t>TECHNOLOGY NEEDS AND SUPPORT RECEIVED</w:t>
            </w:r>
            <w:r w:rsidR="00350268">
              <w:rPr>
                <w:noProof/>
                <w:webHidden/>
              </w:rPr>
              <w:tab/>
            </w:r>
            <w:r w:rsidR="00350268">
              <w:rPr>
                <w:noProof/>
                <w:webHidden/>
              </w:rPr>
              <w:fldChar w:fldCharType="begin"/>
            </w:r>
            <w:r w:rsidR="00350268">
              <w:rPr>
                <w:noProof/>
                <w:webHidden/>
              </w:rPr>
              <w:instrText xml:space="preserve"> PAGEREF _Toc57902891 \h </w:instrText>
            </w:r>
            <w:r w:rsidR="00350268">
              <w:rPr>
                <w:noProof/>
                <w:webHidden/>
              </w:rPr>
            </w:r>
            <w:r w:rsidR="00350268">
              <w:rPr>
                <w:noProof/>
                <w:webHidden/>
              </w:rPr>
              <w:fldChar w:fldCharType="separate"/>
            </w:r>
            <w:r w:rsidR="00350268">
              <w:rPr>
                <w:noProof/>
                <w:webHidden/>
              </w:rPr>
              <w:t>175</w:t>
            </w:r>
            <w:r w:rsidR="00350268">
              <w:rPr>
                <w:noProof/>
                <w:webHidden/>
              </w:rPr>
              <w:fldChar w:fldCharType="end"/>
            </w:r>
          </w:hyperlink>
        </w:p>
        <w:p w14:paraId="79D0B7D0" w14:textId="67E7534B" w:rsidR="00350268" w:rsidRDefault="00317BA0">
          <w:pPr>
            <w:pStyle w:val="TOC3"/>
            <w:tabs>
              <w:tab w:val="left" w:pos="1320"/>
              <w:tab w:val="right" w:leader="dot" w:pos="9782"/>
            </w:tabs>
            <w:rPr>
              <w:noProof/>
            </w:rPr>
          </w:pPr>
          <w:hyperlink w:anchor="_Toc57902892" w:history="1">
            <w:r w:rsidR="00350268" w:rsidRPr="00120925">
              <w:rPr>
                <w:rStyle w:val="Hyperlink"/>
                <w:rFonts w:cs="Times New Roman"/>
                <w:noProof/>
              </w:rPr>
              <w:t>7.2.1</w:t>
            </w:r>
            <w:r w:rsidR="00350268">
              <w:rPr>
                <w:noProof/>
              </w:rPr>
              <w:tab/>
            </w:r>
            <w:r w:rsidR="00350268" w:rsidRPr="00120925">
              <w:rPr>
                <w:rStyle w:val="Hyperlink"/>
                <w:noProof/>
              </w:rPr>
              <w:t>Technology Transfer Received</w:t>
            </w:r>
            <w:r w:rsidR="00350268">
              <w:rPr>
                <w:noProof/>
                <w:webHidden/>
              </w:rPr>
              <w:tab/>
            </w:r>
            <w:r w:rsidR="00350268">
              <w:rPr>
                <w:noProof/>
                <w:webHidden/>
              </w:rPr>
              <w:fldChar w:fldCharType="begin"/>
            </w:r>
            <w:r w:rsidR="00350268">
              <w:rPr>
                <w:noProof/>
                <w:webHidden/>
              </w:rPr>
              <w:instrText xml:space="preserve"> PAGEREF _Toc57902892 \h </w:instrText>
            </w:r>
            <w:r w:rsidR="00350268">
              <w:rPr>
                <w:noProof/>
                <w:webHidden/>
              </w:rPr>
            </w:r>
            <w:r w:rsidR="00350268">
              <w:rPr>
                <w:noProof/>
                <w:webHidden/>
              </w:rPr>
              <w:fldChar w:fldCharType="separate"/>
            </w:r>
            <w:r w:rsidR="00350268">
              <w:rPr>
                <w:noProof/>
                <w:webHidden/>
              </w:rPr>
              <w:t>175</w:t>
            </w:r>
            <w:r w:rsidR="00350268">
              <w:rPr>
                <w:noProof/>
                <w:webHidden/>
              </w:rPr>
              <w:fldChar w:fldCharType="end"/>
            </w:r>
          </w:hyperlink>
        </w:p>
        <w:p w14:paraId="5728911C" w14:textId="2532BE38" w:rsidR="00350268" w:rsidRDefault="00317BA0">
          <w:pPr>
            <w:pStyle w:val="TOC3"/>
            <w:tabs>
              <w:tab w:val="left" w:pos="1320"/>
              <w:tab w:val="right" w:leader="dot" w:pos="9782"/>
            </w:tabs>
            <w:rPr>
              <w:noProof/>
            </w:rPr>
          </w:pPr>
          <w:hyperlink w:anchor="_Toc57902893" w:history="1">
            <w:r w:rsidR="00350268" w:rsidRPr="00120925">
              <w:rPr>
                <w:rStyle w:val="Hyperlink"/>
                <w:rFonts w:cs="Times New Roman"/>
                <w:noProof/>
              </w:rPr>
              <w:t>7.2.2</w:t>
            </w:r>
            <w:r w:rsidR="00350268">
              <w:rPr>
                <w:noProof/>
              </w:rPr>
              <w:tab/>
            </w:r>
            <w:r w:rsidR="00350268" w:rsidRPr="00120925">
              <w:rPr>
                <w:rStyle w:val="Hyperlink"/>
                <w:noProof/>
              </w:rPr>
              <w:t>Technology Needs</w:t>
            </w:r>
            <w:r w:rsidR="00350268">
              <w:rPr>
                <w:noProof/>
                <w:webHidden/>
              </w:rPr>
              <w:tab/>
            </w:r>
            <w:r w:rsidR="00350268">
              <w:rPr>
                <w:noProof/>
                <w:webHidden/>
              </w:rPr>
              <w:fldChar w:fldCharType="begin"/>
            </w:r>
            <w:r w:rsidR="00350268">
              <w:rPr>
                <w:noProof/>
                <w:webHidden/>
              </w:rPr>
              <w:instrText xml:space="preserve"> PAGEREF _Toc57902893 \h </w:instrText>
            </w:r>
            <w:r w:rsidR="00350268">
              <w:rPr>
                <w:noProof/>
                <w:webHidden/>
              </w:rPr>
            </w:r>
            <w:r w:rsidR="00350268">
              <w:rPr>
                <w:noProof/>
                <w:webHidden/>
              </w:rPr>
              <w:fldChar w:fldCharType="separate"/>
            </w:r>
            <w:r w:rsidR="00350268">
              <w:rPr>
                <w:noProof/>
                <w:webHidden/>
              </w:rPr>
              <w:t>176</w:t>
            </w:r>
            <w:r w:rsidR="00350268">
              <w:rPr>
                <w:noProof/>
                <w:webHidden/>
              </w:rPr>
              <w:fldChar w:fldCharType="end"/>
            </w:r>
          </w:hyperlink>
        </w:p>
        <w:p w14:paraId="4A53C466" w14:textId="786FE7D0" w:rsidR="00350268" w:rsidRDefault="00317BA0">
          <w:pPr>
            <w:pStyle w:val="TOC2"/>
            <w:rPr>
              <w:rFonts w:asciiTheme="minorHAnsi" w:eastAsiaTheme="minorEastAsia" w:hAnsiTheme="minorHAnsi" w:cstheme="minorBidi"/>
              <w:noProof/>
              <w:sz w:val="22"/>
              <w:szCs w:val="22"/>
            </w:rPr>
          </w:pPr>
          <w:hyperlink w:anchor="_Toc57902894" w:history="1">
            <w:r w:rsidR="00350268" w:rsidRPr="00120925">
              <w:rPr>
                <w:rStyle w:val="Hyperlink"/>
                <w:b/>
                <w:bCs/>
                <w:noProof/>
              </w:rPr>
              <w:t>7.3</w:t>
            </w:r>
            <w:r w:rsidR="00350268">
              <w:rPr>
                <w:rFonts w:asciiTheme="minorHAnsi" w:eastAsiaTheme="minorEastAsia" w:hAnsiTheme="minorHAnsi" w:cstheme="minorBidi"/>
                <w:noProof/>
                <w:sz w:val="22"/>
                <w:szCs w:val="22"/>
              </w:rPr>
              <w:tab/>
            </w:r>
            <w:r w:rsidR="00350268" w:rsidRPr="00120925">
              <w:rPr>
                <w:rStyle w:val="Hyperlink"/>
                <w:b/>
                <w:noProof/>
              </w:rPr>
              <w:t>CAPACITY BUILDING, TECHNICAL NEEDS AND SUPPORT RECEIVED</w:t>
            </w:r>
            <w:r w:rsidR="00350268">
              <w:rPr>
                <w:noProof/>
                <w:webHidden/>
              </w:rPr>
              <w:tab/>
            </w:r>
            <w:r w:rsidR="00350268">
              <w:rPr>
                <w:noProof/>
                <w:webHidden/>
              </w:rPr>
              <w:fldChar w:fldCharType="begin"/>
            </w:r>
            <w:r w:rsidR="00350268">
              <w:rPr>
                <w:noProof/>
                <w:webHidden/>
              </w:rPr>
              <w:instrText xml:space="preserve"> PAGEREF _Toc57902894 \h </w:instrText>
            </w:r>
            <w:r w:rsidR="00350268">
              <w:rPr>
                <w:noProof/>
                <w:webHidden/>
              </w:rPr>
            </w:r>
            <w:r w:rsidR="00350268">
              <w:rPr>
                <w:noProof/>
                <w:webHidden/>
              </w:rPr>
              <w:fldChar w:fldCharType="separate"/>
            </w:r>
            <w:r w:rsidR="00350268">
              <w:rPr>
                <w:noProof/>
                <w:webHidden/>
              </w:rPr>
              <w:t>179</w:t>
            </w:r>
            <w:r w:rsidR="00350268">
              <w:rPr>
                <w:noProof/>
                <w:webHidden/>
              </w:rPr>
              <w:fldChar w:fldCharType="end"/>
            </w:r>
          </w:hyperlink>
        </w:p>
        <w:p w14:paraId="0AA2661C" w14:textId="21362DC8" w:rsidR="00350268" w:rsidRDefault="00317BA0">
          <w:pPr>
            <w:pStyle w:val="TOC3"/>
            <w:tabs>
              <w:tab w:val="left" w:pos="1320"/>
              <w:tab w:val="right" w:leader="dot" w:pos="9782"/>
            </w:tabs>
            <w:rPr>
              <w:noProof/>
            </w:rPr>
          </w:pPr>
          <w:hyperlink w:anchor="_Toc57902895" w:history="1">
            <w:r w:rsidR="00350268" w:rsidRPr="00120925">
              <w:rPr>
                <w:rStyle w:val="Hyperlink"/>
                <w:rFonts w:cs="Times New Roman"/>
                <w:noProof/>
              </w:rPr>
              <w:t>7.3.1</w:t>
            </w:r>
            <w:r w:rsidR="00350268">
              <w:rPr>
                <w:noProof/>
              </w:rPr>
              <w:tab/>
            </w:r>
            <w:r w:rsidR="00350268" w:rsidRPr="00120925">
              <w:rPr>
                <w:rStyle w:val="Hyperlink"/>
                <w:noProof/>
              </w:rPr>
              <w:t>Capacity Building Support Received</w:t>
            </w:r>
            <w:r w:rsidR="00350268">
              <w:rPr>
                <w:noProof/>
                <w:webHidden/>
              </w:rPr>
              <w:tab/>
            </w:r>
            <w:r w:rsidR="00350268">
              <w:rPr>
                <w:noProof/>
                <w:webHidden/>
              </w:rPr>
              <w:fldChar w:fldCharType="begin"/>
            </w:r>
            <w:r w:rsidR="00350268">
              <w:rPr>
                <w:noProof/>
                <w:webHidden/>
              </w:rPr>
              <w:instrText xml:space="preserve"> PAGEREF _Toc57902895 \h </w:instrText>
            </w:r>
            <w:r w:rsidR="00350268">
              <w:rPr>
                <w:noProof/>
                <w:webHidden/>
              </w:rPr>
            </w:r>
            <w:r w:rsidR="00350268">
              <w:rPr>
                <w:noProof/>
                <w:webHidden/>
              </w:rPr>
              <w:fldChar w:fldCharType="separate"/>
            </w:r>
            <w:r w:rsidR="00350268">
              <w:rPr>
                <w:noProof/>
                <w:webHidden/>
              </w:rPr>
              <w:t>179</w:t>
            </w:r>
            <w:r w:rsidR="00350268">
              <w:rPr>
                <w:noProof/>
                <w:webHidden/>
              </w:rPr>
              <w:fldChar w:fldCharType="end"/>
            </w:r>
          </w:hyperlink>
        </w:p>
        <w:p w14:paraId="1333E69D" w14:textId="202E22F9" w:rsidR="00350268" w:rsidRDefault="00317BA0">
          <w:pPr>
            <w:pStyle w:val="TOC3"/>
            <w:tabs>
              <w:tab w:val="left" w:pos="1320"/>
              <w:tab w:val="right" w:leader="dot" w:pos="9782"/>
            </w:tabs>
            <w:rPr>
              <w:noProof/>
            </w:rPr>
          </w:pPr>
          <w:hyperlink w:anchor="_Toc57902896" w:history="1">
            <w:r w:rsidR="00350268" w:rsidRPr="00120925">
              <w:rPr>
                <w:rStyle w:val="Hyperlink"/>
                <w:rFonts w:cs="Times New Roman"/>
                <w:noProof/>
              </w:rPr>
              <w:t>7.3.2</w:t>
            </w:r>
            <w:r w:rsidR="00350268">
              <w:rPr>
                <w:noProof/>
              </w:rPr>
              <w:tab/>
            </w:r>
            <w:r w:rsidR="00350268" w:rsidRPr="00120925">
              <w:rPr>
                <w:rStyle w:val="Hyperlink"/>
                <w:noProof/>
              </w:rPr>
              <w:t>Capacity Building Needs</w:t>
            </w:r>
            <w:r w:rsidR="00350268">
              <w:rPr>
                <w:noProof/>
                <w:webHidden/>
              </w:rPr>
              <w:tab/>
            </w:r>
            <w:r w:rsidR="00350268">
              <w:rPr>
                <w:noProof/>
                <w:webHidden/>
              </w:rPr>
              <w:fldChar w:fldCharType="begin"/>
            </w:r>
            <w:r w:rsidR="00350268">
              <w:rPr>
                <w:noProof/>
                <w:webHidden/>
              </w:rPr>
              <w:instrText xml:space="preserve"> PAGEREF _Toc57902896 \h </w:instrText>
            </w:r>
            <w:r w:rsidR="00350268">
              <w:rPr>
                <w:noProof/>
                <w:webHidden/>
              </w:rPr>
            </w:r>
            <w:r w:rsidR="00350268">
              <w:rPr>
                <w:noProof/>
                <w:webHidden/>
              </w:rPr>
              <w:fldChar w:fldCharType="separate"/>
            </w:r>
            <w:r w:rsidR="00350268">
              <w:rPr>
                <w:noProof/>
                <w:webHidden/>
              </w:rPr>
              <w:t>181</w:t>
            </w:r>
            <w:r w:rsidR="00350268">
              <w:rPr>
                <w:noProof/>
                <w:webHidden/>
              </w:rPr>
              <w:fldChar w:fldCharType="end"/>
            </w:r>
          </w:hyperlink>
        </w:p>
        <w:p w14:paraId="4922CF7B" w14:textId="0B8A7916" w:rsidR="00350268" w:rsidRDefault="00317BA0">
          <w:pPr>
            <w:pStyle w:val="TOC2"/>
            <w:rPr>
              <w:rFonts w:asciiTheme="minorHAnsi" w:eastAsiaTheme="minorEastAsia" w:hAnsiTheme="minorHAnsi" w:cstheme="minorBidi"/>
              <w:noProof/>
              <w:sz w:val="22"/>
              <w:szCs w:val="22"/>
            </w:rPr>
          </w:pPr>
          <w:hyperlink w:anchor="_Toc57902897" w:history="1">
            <w:r w:rsidR="00350268" w:rsidRPr="00120925">
              <w:rPr>
                <w:rStyle w:val="Hyperlink"/>
                <w:rFonts w:eastAsia="Calibri"/>
                <w:b/>
                <w:bCs/>
                <w:noProof/>
              </w:rPr>
              <w:t>7.4</w:t>
            </w:r>
            <w:r w:rsidR="00350268">
              <w:rPr>
                <w:rFonts w:asciiTheme="minorHAnsi" w:eastAsiaTheme="minorEastAsia" w:hAnsiTheme="minorHAnsi" w:cstheme="minorBidi"/>
                <w:noProof/>
                <w:sz w:val="22"/>
                <w:szCs w:val="22"/>
              </w:rPr>
              <w:tab/>
            </w:r>
            <w:r w:rsidR="00350268" w:rsidRPr="00120925">
              <w:rPr>
                <w:rStyle w:val="Hyperlink"/>
                <w:rFonts w:eastAsia="Calibri"/>
                <w:b/>
                <w:bCs/>
                <w:noProof/>
                <w:lang w:val="en-GB"/>
              </w:rPr>
              <w:t>CONSTRAINTS AND GAPS RELATED TO FINANCIAL, TECHNICAL AND CAPACITY NEEDS</w:t>
            </w:r>
            <w:r w:rsidR="00350268">
              <w:rPr>
                <w:noProof/>
                <w:webHidden/>
              </w:rPr>
              <w:tab/>
            </w:r>
            <w:r w:rsidR="00350268">
              <w:rPr>
                <w:noProof/>
                <w:webHidden/>
              </w:rPr>
              <w:fldChar w:fldCharType="begin"/>
            </w:r>
            <w:r w:rsidR="00350268">
              <w:rPr>
                <w:noProof/>
                <w:webHidden/>
              </w:rPr>
              <w:instrText xml:space="preserve"> PAGEREF _Toc57902897 \h </w:instrText>
            </w:r>
            <w:r w:rsidR="00350268">
              <w:rPr>
                <w:noProof/>
                <w:webHidden/>
              </w:rPr>
            </w:r>
            <w:r w:rsidR="00350268">
              <w:rPr>
                <w:noProof/>
                <w:webHidden/>
              </w:rPr>
              <w:fldChar w:fldCharType="separate"/>
            </w:r>
            <w:r w:rsidR="00350268">
              <w:rPr>
                <w:noProof/>
                <w:webHidden/>
              </w:rPr>
              <w:t>182</w:t>
            </w:r>
            <w:r w:rsidR="00350268">
              <w:rPr>
                <w:noProof/>
                <w:webHidden/>
              </w:rPr>
              <w:fldChar w:fldCharType="end"/>
            </w:r>
          </w:hyperlink>
        </w:p>
        <w:p w14:paraId="577E6F3C" w14:textId="698058CA" w:rsidR="00350268" w:rsidRDefault="00317BA0">
          <w:pPr>
            <w:pStyle w:val="TOC1"/>
            <w:tabs>
              <w:tab w:val="left" w:pos="660"/>
              <w:tab w:val="right" w:leader="dot" w:pos="9782"/>
            </w:tabs>
            <w:rPr>
              <w:rFonts w:asciiTheme="minorHAnsi" w:eastAsiaTheme="minorEastAsia" w:hAnsiTheme="minorHAnsi" w:cstheme="minorBidi"/>
              <w:noProof/>
              <w:sz w:val="22"/>
              <w:szCs w:val="22"/>
            </w:rPr>
          </w:pPr>
          <w:hyperlink w:anchor="_Toc57902898" w:history="1">
            <w:r w:rsidR="00350268" w:rsidRPr="00120925">
              <w:rPr>
                <w:rStyle w:val="Hyperlink"/>
                <w:b/>
                <w:noProof/>
              </w:rPr>
              <w:t>8.0</w:t>
            </w:r>
            <w:r w:rsidR="00350268">
              <w:rPr>
                <w:rFonts w:asciiTheme="minorHAnsi" w:eastAsiaTheme="minorEastAsia" w:hAnsiTheme="minorHAnsi" w:cstheme="minorBidi"/>
                <w:noProof/>
                <w:sz w:val="22"/>
                <w:szCs w:val="22"/>
              </w:rPr>
              <w:tab/>
            </w:r>
            <w:r w:rsidR="00350268" w:rsidRPr="00120925">
              <w:rPr>
                <w:rStyle w:val="Hyperlink"/>
                <w:b/>
                <w:noProof/>
              </w:rPr>
              <w:t>ANY OTHER INFORMATION</w:t>
            </w:r>
            <w:r w:rsidR="00350268">
              <w:rPr>
                <w:noProof/>
                <w:webHidden/>
              </w:rPr>
              <w:tab/>
            </w:r>
            <w:r w:rsidR="00350268">
              <w:rPr>
                <w:noProof/>
                <w:webHidden/>
              </w:rPr>
              <w:fldChar w:fldCharType="begin"/>
            </w:r>
            <w:r w:rsidR="00350268">
              <w:rPr>
                <w:noProof/>
                <w:webHidden/>
              </w:rPr>
              <w:instrText xml:space="preserve"> PAGEREF _Toc57902898 \h </w:instrText>
            </w:r>
            <w:r w:rsidR="00350268">
              <w:rPr>
                <w:noProof/>
                <w:webHidden/>
              </w:rPr>
            </w:r>
            <w:r w:rsidR="00350268">
              <w:rPr>
                <w:noProof/>
                <w:webHidden/>
              </w:rPr>
              <w:fldChar w:fldCharType="separate"/>
            </w:r>
            <w:r w:rsidR="00350268">
              <w:rPr>
                <w:noProof/>
                <w:webHidden/>
              </w:rPr>
              <w:t>183</w:t>
            </w:r>
            <w:r w:rsidR="00350268">
              <w:rPr>
                <w:noProof/>
                <w:webHidden/>
              </w:rPr>
              <w:fldChar w:fldCharType="end"/>
            </w:r>
          </w:hyperlink>
        </w:p>
        <w:p w14:paraId="287E2A90" w14:textId="48B22D3A" w:rsidR="00350268" w:rsidRDefault="00317BA0">
          <w:pPr>
            <w:pStyle w:val="TOC2"/>
            <w:rPr>
              <w:rFonts w:asciiTheme="minorHAnsi" w:eastAsiaTheme="minorEastAsia" w:hAnsiTheme="minorHAnsi" w:cstheme="minorBidi"/>
              <w:noProof/>
              <w:sz w:val="22"/>
              <w:szCs w:val="22"/>
            </w:rPr>
          </w:pPr>
          <w:hyperlink w:anchor="_Toc57902899" w:history="1">
            <w:r w:rsidR="00350268" w:rsidRPr="00120925">
              <w:rPr>
                <w:rStyle w:val="Hyperlink"/>
                <w:b/>
                <w:bCs/>
                <w:noProof/>
              </w:rPr>
              <w:t>8.1</w:t>
            </w:r>
            <w:r w:rsidR="00350268">
              <w:rPr>
                <w:rFonts w:asciiTheme="minorHAnsi" w:eastAsiaTheme="minorEastAsia" w:hAnsiTheme="minorHAnsi" w:cstheme="minorBidi"/>
                <w:noProof/>
                <w:sz w:val="22"/>
                <w:szCs w:val="22"/>
              </w:rPr>
              <w:tab/>
            </w:r>
            <w:r w:rsidR="00350268" w:rsidRPr="00120925">
              <w:rPr>
                <w:rStyle w:val="Hyperlink"/>
                <w:b/>
                <w:noProof/>
              </w:rPr>
              <w:t>ADAPTATION ACTIONS</w:t>
            </w:r>
            <w:r w:rsidR="00350268">
              <w:rPr>
                <w:noProof/>
                <w:webHidden/>
              </w:rPr>
              <w:tab/>
            </w:r>
            <w:r w:rsidR="00350268">
              <w:rPr>
                <w:noProof/>
                <w:webHidden/>
              </w:rPr>
              <w:fldChar w:fldCharType="begin"/>
            </w:r>
            <w:r w:rsidR="00350268">
              <w:rPr>
                <w:noProof/>
                <w:webHidden/>
              </w:rPr>
              <w:instrText xml:space="preserve"> PAGEREF _Toc57902899 \h </w:instrText>
            </w:r>
            <w:r w:rsidR="00350268">
              <w:rPr>
                <w:noProof/>
                <w:webHidden/>
              </w:rPr>
            </w:r>
            <w:r w:rsidR="00350268">
              <w:rPr>
                <w:noProof/>
                <w:webHidden/>
              </w:rPr>
              <w:fldChar w:fldCharType="separate"/>
            </w:r>
            <w:r w:rsidR="00350268">
              <w:rPr>
                <w:noProof/>
                <w:webHidden/>
              </w:rPr>
              <w:t>183</w:t>
            </w:r>
            <w:r w:rsidR="00350268">
              <w:rPr>
                <w:noProof/>
                <w:webHidden/>
              </w:rPr>
              <w:fldChar w:fldCharType="end"/>
            </w:r>
          </w:hyperlink>
        </w:p>
        <w:p w14:paraId="0B33A105" w14:textId="32B6D712" w:rsidR="00350268" w:rsidRDefault="00317BA0">
          <w:pPr>
            <w:pStyle w:val="TOC2"/>
            <w:rPr>
              <w:rFonts w:asciiTheme="minorHAnsi" w:eastAsiaTheme="minorEastAsia" w:hAnsiTheme="minorHAnsi" w:cstheme="minorBidi"/>
              <w:noProof/>
              <w:sz w:val="22"/>
              <w:szCs w:val="22"/>
            </w:rPr>
          </w:pPr>
          <w:hyperlink w:anchor="_Toc57902900" w:history="1">
            <w:r w:rsidR="00350268" w:rsidRPr="00120925">
              <w:rPr>
                <w:rStyle w:val="Hyperlink"/>
                <w:b/>
                <w:bCs/>
                <w:noProof/>
              </w:rPr>
              <w:t>8.2</w:t>
            </w:r>
            <w:r w:rsidR="00350268">
              <w:rPr>
                <w:rFonts w:asciiTheme="minorHAnsi" w:eastAsiaTheme="minorEastAsia" w:hAnsiTheme="minorHAnsi" w:cstheme="minorBidi"/>
                <w:noProof/>
                <w:sz w:val="22"/>
                <w:szCs w:val="22"/>
              </w:rPr>
              <w:tab/>
            </w:r>
            <w:r w:rsidR="00350268" w:rsidRPr="00120925">
              <w:rPr>
                <w:rStyle w:val="Hyperlink"/>
                <w:b/>
                <w:noProof/>
              </w:rPr>
              <w:t>RESEARCH AND SYSTEMATIC OBSERVATION</w:t>
            </w:r>
            <w:r w:rsidR="00350268">
              <w:rPr>
                <w:noProof/>
                <w:webHidden/>
              </w:rPr>
              <w:tab/>
            </w:r>
            <w:r w:rsidR="00350268">
              <w:rPr>
                <w:noProof/>
                <w:webHidden/>
              </w:rPr>
              <w:fldChar w:fldCharType="begin"/>
            </w:r>
            <w:r w:rsidR="00350268">
              <w:rPr>
                <w:noProof/>
                <w:webHidden/>
              </w:rPr>
              <w:instrText xml:space="preserve"> PAGEREF _Toc57902900 \h </w:instrText>
            </w:r>
            <w:r w:rsidR="00350268">
              <w:rPr>
                <w:noProof/>
                <w:webHidden/>
              </w:rPr>
            </w:r>
            <w:r w:rsidR="00350268">
              <w:rPr>
                <w:noProof/>
                <w:webHidden/>
              </w:rPr>
              <w:fldChar w:fldCharType="separate"/>
            </w:r>
            <w:r w:rsidR="00350268">
              <w:rPr>
                <w:noProof/>
                <w:webHidden/>
              </w:rPr>
              <w:t>184</w:t>
            </w:r>
            <w:r w:rsidR="00350268">
              <w:rPr>
                <w:noProof/>
                <w:webHidden/>
              </w:rPr>
              <w:fldChar w:fldCharType="end"/>
            </w:r>
          </w:hyperlink>
        </w:p>
        <w:p w14:paraId="56B4F3F6" w14:textId="5CB73DFE" w:rsidR="00350268" w:rsidRDefault="00317BA0">
          <w:pPr>
            <w:pStyle w:val="TOC2"/>
            <w:rPr>
              <w:rFonts w:asciiTheme="minorHAnsi" w:eastAsiaTheme="minorEastAsia" w:hAnsiTheme="minorHAnsi" w:cstheme="minorBidi"/>
              <w:noProof/>
              <w:sz w:val="22"/>
              <w:szCs w:val="22"/>
            </w:rPr>
          </w:pPr>
          <w:hyperlink w:anchor="_Toc57902901" w:history="1">
            <w:r w:rsidR="00350268" w:rsidRPr="00120925">
              <w:rPr>
                <w:rStyle w:val="Hyperlink"/>
                <w:b/>
                <w:bCs/>
                <w:noProof/>
              </w:rPr>
              <w:t>8.3</w:t>
            </w:r>
            <w:r w:rsidR="00350268">
              <w:rPr>
                <w:rFonts w:asciiTheme="minorHAnsi" w:eastAsiaTheme="minorEastAsia" w:hAnsiTheme="minorHAnsi" w:cstheme="minorBidi"/>
                <w:noProof/>
                <w:sz w:val="22"/>
                <w:szCs w:val="22"/>
              </w:rPr>
              <w:tab/>
            </w:r>
            <w:r w:rsidR="00350268" w:rsidRPr="00120925">
              <w:rPr>
                <w:rStyle w:val="Hyperlink"/>
                <w:b/>
                <w:noProof/>
              </w:rPr>
              <w:t>GENDER</w:t>
            </w:r>
            <w:r w:rsidR="00350268">
              <w:rPr>
                <w:noProof/>
                <w:webHidden/>
              </w:rPr>
              <w:tab/>
            </w:r>
            <w:r w:rsidR="00350268">
              <w:rPr>
                <w:noProof/>
                <w:webHidden/>
              </w:rPr>
              <w:fldChar w:fldCharType="begin"/>
            </w:r>
            <w:r w:rsidR="00350268">
              <w:rPr>
                <w:noProof/>
                <w:webHidden/>
              </w:rPr>
              <w:instrText xml:space="preserve"> PAGEREF _Toc57902901 \h </w:instrText>
            </w:r>
            <w:r w:rsidR="00350268">
              <w:rPr>
                <w:noProof/>
                <w:webHidden/>
              </w:rPr>
            </w:r>
            <w:r w:rsidR="00350268">
              <w:rPr>
                <w:noProof/>
                <w:webHidden/>
              </w:rPr>
              <w:fldChar w:fldCharType="separate"/>
            </w:r>
            <w:r w:rsidR="00350268">
              <w:rPr>
                <w:noProof/>
                <w:webHidden/>
              </w:rPr>
              <w:t>184</w:t>
            </w:r>
            <w:r w:rsidR="00350268">
              <w:rPr>
                <w:noProof/>
                <w:webHidden/>
              </w:rPr>
              <w:fldChar w:fldCharType="end"/>
            </w:r>
          </w:hyperlink>
        </w:p>
        <w:p w14:paraId="77001894" w14:textId="6B320BE8" w:rsidR="00350268" w:rsidRDefault="00317BA0">
          <w:pPr>
            <w:pStyle w:val="TOC2"/>
            <w:rPr>
              <w:rFonts w:asciiTheme="minorHAnsi" w:eastAsiaTheme="minorEastAsia" w:hAnsiTheme="minorHAnsi" w:cstheme="minorBidi"/>
              <w:noProof/>
              <w:sz w:val="22"/>
              <w:szCs w:val="22"/>
            </w:rPr>
          </w:pPr>
          <w:hyperlink w:anchor="_Toc57902902" w:history="1">
            <w:r w:rsidR="00350268" w:rsidRPr="00120925">
              <w:rPr>
                <w:rStyle w:val="Hyperlink"/>
                <w:b/>
                <w:bCs/>
                <w:noProof/>
              </w:rPr>
              <w:t>8.4</w:t>
            </w:r>
            <w:r w:rsidR="00350268">
              <w:rPr>
                <w:rFonts w:asciiTheme="minorHAnsi" w:eastAsiaTheme="minorEastAsia" w:hAnsiTheme="minorHAnsi" w:cstheme="minorBidi"/>
                <w:noProof/>
                <w:sz w:val="22"/>
                <w:szCs w:val="22"/>
              </w:rPr>
              <w:tab/>
            </w:r>
            <w:r w:rsidR="00350268" w:rsidRPr="00120925">
              <w:rPr>
                <w:rStyle w:val="Hyperlink"/>
                <w:b/>
                <w:noProof/>
              </w:rPr>
              <w:t>AWARENESS-RAISING ACTIVITIES</w:t>
            </w:r>
            <w:r w:rsidR="00350268">
              <w:rPr>
                <w:noProof/>
                <w:webHidden/>
              </w:rPr>
              <w:tab/>
            </w:r>
            <w:r w:rsidR="00350268">
              <w:rPr>
                <w:noProof/>
                <w:webHidden/>
              </w:rPr>
              <w:fldChar w:fldCharType="begin"/>
            </w:r>
            <w:r w:rsidR="00350268">
              <w:rPr>
                <w:noProof/>
                <w:webHidden/>
              </w:rPr>
              <w:instrText xml:space="preserve"> PAGEREF _Toc57902902 \h </w:instrText>
            </w:r>
            <w:r w:rsidR="00350268">
              <w:rPr>
                <w:noProof/>
                <w:webHidden/>
              </w:rPr>
            </w:r>
            <w:r w:rsidR="00350268">
              <w:rPr>
                <w:noProof/>
                <w:webHidden/>
              </w:rPr>
              <w:fldChar w:fldCharType="separate"/>
            </w:r>
            <w:r w:rsidR="00350268">
              <w:rPr>
                <w:noProof/>
                <w:webHidden/>
              </w:rPr>
              <w:t>185</w:t>
            </w:r>
            <w:r w:rsidR="00350268">
              <w:rPr>
                <w:noProof/>
                <w:webHidden/>
              </w:rPr>
              <w:fldChar w:fldCharType="end"/>
            </w:r>
          </w:hyperlink>
        </w:p>
        <w:p w14:paraId="59BBDB67" w14:textId="2EFE2542" w:rsidR="00350268" w:rsidRDefault="00317BA0">
          <w:pPr>
            <w:pStyle w:val="TOC2"/>
            <w:rPr>
              <w:rFonts w:asciiTheme="minorHAnsi" w:eastAsiaTheme="minorEastAsia" w:hAnsiTheme="minorHAnsi" w:cstheme="minorBidi"/>
              <w:noProof/>
              <w:sz w:val="22"/>
              <w:szCs w:val="22"/>
            </w:rPr>
          </w:pPr>
          <w:hyperlink w:anchor="_Toc57902903" w:history="1">
            <w:r w:rsidR="00350268" w:rsidRPr="00120925">
              <w:rPr>
                <w:rStyle w:val="Hyperlink"/>
                <w:b/>
                <w:bCs/>
                <w:noProof/>
              </w:rPr>
              <w:t>8.5</w:t>
            </w:r>
            <w:r w:rsidR="00350268">
              <w:rPr>
                <w:rFonts w:asciiTheme="minorHAnsi" w:eastAsiaTheme="minorEastAsia" w:hAnsiTheme="minorHAnsi" w:cstheme="minorBidi"/>
                <w:noProof/>
                <w:sz w:val="22"/>
                <w:szCs w:val="22"/>
              </w:rPr>
              <w:tab/>
            </w:r>
            <w:r w:rsidR="00350268" w:rsidRPr="00120925">
              <w:rPr>
                <w:rStyle w:val="Hyperlink"/>
                <w:b/>
                <w:noProof/>
              </w:rPr>
              <w:t>EDUCATION AND TRAINING</w:t>
            </w:r>
            <w:r w:rsidR="00350268">
              <w:rPr>
                <w:noProof/>
                <w:webHidden/>
              </w:rPr>
              <w:tab/>
            </w:r>
            <w:r w:rsidR="00350268">
              <w:rPr>
                <w:noProof/>
                <w:webHidden/>
              </w:rPr>
              <w:fldChar w:fldCharType="begin"/>
            </w:r>
            <w:r w:rsidR="00350268">
              <w:rPr>
                <w:noProof/>
                <w:webHidden/>
              </w:rPr>
              <w:instrText xml:space="preserve"> PAGEREF _Toc57902903 \h </w:instrText>
            </w:r>
            <w:r w:rsidR="00350268">
              <w:rPr>
                <w:noProof/>
                <w:webHidden/>
              </w:rPr>
            </w:r>
            <w:r w:rsidR="00350268">
              <w:rPr>
                <w:noProof/>
                <w:webHidden/>
              </w:rPr>
              <w:fldChar w:fldCharType="separate"/>
            </w:r>
            <w:r w:rsidR="00350268">
              <w:rPr>
                <w:noProof/>
                <w:webHidden/>
              </w:rPr>
              <w:t>185</w:t>
            </w:r>
            <w:r w:rsidR="00350268">
              <w:rPr>
                <w:noProof/>
                <w:webHidden/>
              </w:rPr>
              <w:fldChar w:fldCharType="end"/>
            </w:r>
          </w:hyperlink>
        </w:p>
        <w:p w14:paraId="16DCDF27" w14:textId="50096DC7" w:rsidR="00350268" w:rsidRDefault="00317BA0">
          <w:pPr>
            <w:pStyle w:val="TOC2"/>
            <w:rPr>
              <w:rFonts w:asciiTheme="minorHAnsi" w:eastAsiaTheme="minorEastAsia" w:hAnsiTheme="minorHAnsi" w:cstheme="minorBidi"/>
              <w:noProof/>
              <w:sz w:val="22"/>
              <w:szCs w:val="22"/>
            </w:rPr>
          </w:pPr>
          <w:hyperlink w:anchor="_Toc57902904" w:history="1">
            <w:r w:rsidR="00350268" w:rsidRPr="00120925">
              <w:rPr>
                <w:rStyle w:val="Hyperlink"/>
                <w:b/>
                <w:bCs/>
                <w:noProof/>
              </w:rPr>
              <w:t>8.6</w:t>
            </w:r>
            <w:r w:rsidR="00350268">
              <w:rPr>
                <w:rFonts w:asciiTheme="minorHAnsi" w:eastAsiaTheme="minorEastAsia" w:hAnsiTheme="minorHAnsi" w:cstheme="minorBidi"/>
                <w:noProof/>
                <w:sz w:val="22"/>
                <w:szCs w:val="22"/>
              </w:rPr>
              <w:tab/>
            </w:r>
            <w:r w:rsidR="00350268" w:rsidRPr="00120925">
              <w:rPr>
                <w:rStyle w:val="Hyperlink"/>
                <w:b/>
                <w:noProof/>
              </w:rPr>
              <w:t>PRIVATE SECTOR PARTICIPATION IN CLIMATE CHANGE RESPONSE</w:t>
            </w:r>
            <w:r w:rsidR="00350268">
              <w:rPr>
                <w:noProof/>
                <w:webHidden/>
              </w:rPr>
              <w:tab/>
            </w:r>
            <w:r w:rsidR="00350268">
              <w:rPr>
                <w:noProof/>
                <w:webHidden/>
              </w:rPr>
              <w:fldChar w:fldCharType="begin"/>
            </w:r>
            <w:r w:rsidR="00350268">
              <w:rPr>
                <w:noProof/>
                <w:webHidden/>
              </w:rPr>
              <w:instrText xml:space="preserve"> PAGEREF _Toc57902904 \h </w:instrText>
            </w:r>
            <w:r w:rsidR="00350268">
              <w:rPr>
                <w:noProof/>
                <w:webHidden/>
              </w:rPr>
            </w:r>
            <w:r w:rsidR="00350268">
              <w:rPr>
                <w:noProof/>
                <w:webHidden/>
              </w:rPr>
              <w:fldChar w:fldCharType="separate"/>
            </w:r>
            <w:r w:rsidR="00350268">
              <w:rPr>
                <w:noProof/>
                <w:webHidden/>
              </w:rPr>
              <w:t>186</w:t>
            </w:r>
            <w:r w:rsidR="00350268">
              <w:rPr>
                <w:noProof/>
                <w:webHidden/>
              </w:rPr>
              <w:fldChar w:fldCharType="end"/>
            </w:r>
          </w:hyperlink>
        </w:p>
        <w:p w14:paraId="3269A1C0" w14:textId="6FD8A2D2" w:rsidR="00350268" w:rsidRDefault="00317BA0">
          <w:pPr>
            <w:pStyle w:val="TOC1"/>
            <w:tabs>
              <w:tab w:val="left" w:pos="660"/>
              <w:tab w:val="right" w:leader="dot" w:pos="9782"/>
            </w:tabs>
            <w:rPr>
              <w:rFonts w:asciiTheme="minorHAnsi" w:eastAsiaTheme="minorEastAsia" w:hAnsiTheme="minorHAnsi" w:cstheme="minorBidi"/>
              <w:noProof/>
              <w:sz w:val="22"/>
              <w:szCs w:val="22"/>
            </w:rPr>
          </w:pPr>
          <w:hyperlink w:anchor="_Toc57902905" w:history="1">
            <w:r w:rsidR="00350268" w:rsidRPr="00120925">
              <w:rPr>
                <w:rStyle w:val="Hyperlink"/>
                <w:b/>
                <w:noProof/>
              </w:rPr>
              <w:t>9.0</w:t>
            </w:r>
            <w:r w:rsidR="00350268">
              <w:rPr>
                <w:rFonts w:asciiTheme="minorHAnsi" w:eastAsiaTheme="minorEastAsia" w:hAnsiTheme="minorHAnsi" w:cstheme="minorBidi"/>
                <w:noProof/>
                <w:sz w:val="22"/>
                <w:szCs w:val="22"/>
              </w:rPr>
              <w:tab/>
            </w:r>
            <w:r w:rsidR="00350268" w:rsidRPr="00120925">
              <w:rPr>
                <w:rStyle w:val="Hyperlink"/>
                <w:b/>
                <w:noProof/>
              </w:rPr>
              <w:t>CONCLUSION</w:t>
            </w:r>
            <w:r w:rsidR="00350268">
              <w:rPr>
                <w:noProof/>
                <w:webHidden/>
              </w:rPr>
              <w:tab/>
            </w:r>
            <w:r w:rsidR="00350268">
              <w:rPr>
                <w:noProof/>
                <w:webHidden/>
              </w:rPr>
              <w:fldChar w:fldCharType="begin"/>
            </w:r>
            <w:r w:rsidR="00350268">
              <w:rPr>
                <w:noProof/>
                <w:webHidden/>
              </w:rPr>
              <w:instrText xml:space="preserve"> PAGEREF _Toc57902905 \h </w:instrText>
            </w:r>
            <w:r w:rsidR="00350268">
              <w:rPr>
                <w:noProof/>
                <w:webHidden/>
              </w:rPr>
            </w:r>
            <w:r w:rsidR="00350268">
              <w:rPr>
                <w:noProof/>
                <w:webHidden/>
              </w:rPr>
              <w:fldChar w:fldCharType="separate"/>
            </w:r>
            <w:r w:rsidR="00350268">
              <w:rPr>
                <w:noProof/>
                <w:webHidden/>
              </w:rPr>
              <w:t>187</w:t>
            </w:r>
            <w:r w:rsidR="00350268">
              <w:rPr>
                <w:noProof/>
                <w:webHidden/>
              </w:rPr>
              <w:fldChar w:fldCharType="end"/>
            </w:r>
          </w:hyperlink>
        </w:p>
        <w:p w14:paraId="196F20A3" w14:textId="45259157" w:rsidR="00350268" w:rsidRDefault="00317BA0">
          <w:pPr>
            <w:pStyle w:val="TOC2"/>
            <w:rPr>
              <w:rFonts w:asciiTheme="minorHAnsi" w:eastAsiaTheme="minorEastAsia" w:hAnsiTheme="minorHAnsi" w:cstheme="minorBidi"/>
              <w:noProof/>
              <w:sz w:val="22"/>
              <w:szCs w:val="22"/>
            </w:rPr>
          </w:pPr>
          <w:hyperlink w:anchor="_Toc57902906" w:history="1">
            <w:r w:rsidR="00350268" w:rsidRPr="00120925">
              <w:rPr>
                <w:rStyle w:val="Hyperlink"/>
                <w:b/>
                <w:noProof/>
              </w:rPr>
              <w:t>REFERENCES</w:t>
            </w:r>
            <w:r w:rsidR="00350268">
              <w:rPr>
                <w:noProof/>
                <w:webHidden/>
              </w:rPr>
              <w:tab/>
            </w:r>
            <w:r w:rsidR="00350268">
              <w:rPr>
                <w:noProof/>
                <w:webHidden/>
              </w:rPr>
              <w:fldChar w:fldCharType="begin"/>
            </w:r>
            <w:r w:rsidR="00350268">
              <w:rPr>
                <w:noProof/>
                <w:webHidden/>
              </w:rPr>
              <w:instrText xml:space="preserve"> PAGEREF _Toc57902906 \h </w:instrText>
            </w:r>
            <w:r w:rsidR="00350268">
              <w:rPr>
                <w:noProof/>
                <w:webHidden/>
              </w:rPr>
            </w:r>
            <w:r w:rsidR="00350268">
              <w:rPr>
                <w:noProof/>
                <w:webHidden/>
              </w:rPr>
              <w:fldChar w:fldCharType="separate"/>
            </w:r>
            <w:r w:rsidR="00350268">
              <w:rPr>
                <w:noProof/>
                <w:webHidden/>
              </w:rPr>
              <w:t>188</w:t>
            </w:r>
            <w:r w:rsidR="00350268">
              <w:rPr>
                <w:noProof/>
                <w:webHidden/>
              </w:rPr>
              <w:fldChar w:fldCharType="end"/>
            </w:r>
          </w:hyperlink>
        </w:p>
        <w:p w14:paraId="5743D78B" w14:textId="0FF9C7CC" w:rsidR="00350268" w:rsidRDefault="00317BA0">
          <w:pPr>
            <w:pStyle w:val="TOC1"/>
            <w:tabs>
              <w:tab w:val="right" w:leader="dot" w:pos="9782"/>
            </w:tabs>
            <w:rPr>
              <w:rFonts w:asciiTheme="minorHAnsi" w:eastAsiaTheme="minorEastAsia" w:hAnsiTheme="minorHAnsi" w:cstheme="minorBidi"/>
              <w:noProof/>
              <w:sz w:val="22"/>
              <w:szCs w:val="22"/>
            </w:rPr>
          </w:pPr>
          <w:hyperlink w:anchor="_Toc57902907" w:history="1">
            <w:r w:rsidR="00350268" w:rsidRPr="00120925">
              <w:rPr>
                <w:rStyle w:val="Hyperlink"/>
                <w:b/>
                <w:noProof/>
              </w:rPr>
              <w:t>ANNEX</w:t>
            </w:r>
            <w:r w:rsidR="00350268">
              <w:rPr>
                <w:noProof/>
                <w:webHidden/>
              </w:rPr>
              <w:tab/>
            </w:r>
            <w:r w:rsidR="00350268">
              <w:rPr>
                <w:noProof/>
                <w:webHidden/>
              </w:rPr>
              <w:fldChar w:fldCharType="begin"/>
            </w:r>
            <w:r w:rsidR="00350268">
              <w:rPr>
                <w:noProof/>
                <w:webHidden/>
              </w:rPr>
              <w:instrText xml:space="preserve"> PAGEREF _Toc57902907 \h </w:instrText>
            </w:r>
            <w:r w:rsidR="00350268">
              <w:rPr>
                <w:noProof/>
                <w:webHidden/>
              </w:rPr>
            </w:r>
            <w:r w:rsidR="00350268">
              <w:rPr>
                <w:noProof/>
                <w:webHidden/>
              </w:rPr>
              <w:fldChar w:fldCharType="separate"/>
            </w:r>
            <w:r w:rsidR="00350268">
              <w:rPr>
                <w:noProof/>
                <w:webHidden/>
              </w:rPr>
              <w:t>192</w:t>
            </w:r>
            <w:r w:rsidR="00350268">
              <w:rPr>
                <w:noProof/>
                <w:webHidden/>
              </w:rPr>
              <w:fldChar w:fldCharType="end"/>
            </w:r>
          </w:hyperlink>
        </w:p>
        <w:p w14:paraId="60B0D087" w14:textId="228B176A" w:rsidR="00350268" w:rsidRDefault="00317BA0">
          <w:pPr>
            <w:pStyle w:val="TOC2"/>
            <w:rPr>
              <w:rFonts w:asciiTheme="minorHAnsi" w:eastAsiaTheme="minorEastAsia" w:hAnsiTheme="minorHAnsi" w:cstheme="minorBidi"/>
              <w:noProof/>
              <w:sz w:val="22"/>
              <w:szCs w:val="22"/>
            </w:rPr>
          </w:pPr>
          <w:hyperlink w:anchor="_Toc57902908" w:history="1">
            <w:r w:rsidR="00350268" w:rsidRPr="00120925">
              <w:rPr>
                <w:rStyle w:val="Hyperlink"/>
                <w:b/>
                <w:noProof/>
              </w:rPr>
              <w:t>Annex I</w:t>
            </w:r>
            <w:r w:rsidR="00350268" w:rsidRPr="00120925">
              <w:rPr>
                <w:rStyle w:val="Hyperlink"/>
                <w:noProof/>
              </w:rPr>
              <w:t xml:space="preserve"> List of stakeholders consulted</w:t>
            </w:r>
            <w:r w:rsidR="00350268">
              <w:rPr>
                <w:noProof/>
                <w:webHidden/>
              </w:rPr>
              <w:tab/>
            </w:r>
            <w:r w:rsidR="00350268">
              <w:rPr>
                <w:noProof/>
                <w:webHidden/>
              </w:rPr>
              <w:fldChar w:fldCharType="begin"/>
            </w:r>
            <w:r w:rsidR="00350268">
              <w:rPr>
                <w:noProof/>
                <w:webHidden/>
              </w:rPr>
              <w:instrText xml:space="preserve"> PAGEREF _Toc57902908 \h </w:instrText>
            </w:r>
            <w:r w:rsidR="00350268">
              <w:rPr>
                <w:noProof/>
                <w:webHidden/>
              </w:rPr>
            </w:r>
            <w:r w:rsidR="00350268">
              <w:rPr>
                <w:noProof/>
                <w:webHidden/>
              </w:rPr>
              <w:fldChar w:fldCharType="separate"/>
            </w:r>
            <w:r w:rsidR="00350268">
              <w:rPr>
                <w:noProof/>
                <w:webHidden/>
              </w:rPr>
              <w:t>192</w:t>
            </w:r>
            <w:r w:rsidR="00350268">
              <w:rPr>
                <w:noProof/>
                <w:webHidden/>
              </w:rPr>
              <w:fldChar w:fldCharType="end"/>
            </w:r>
          </w:hyperlink>
        </w:p>
        <w:p w14:paraId="6F4641C0" w14:textId="7A3CAD7F" w:rsidR="00F943B5" w:rsidRPr="00191ACB" w:rsidRDefault="00F943B5">
          <w:pPr>
            <w:rPr>
              <w:rFonts w:ascii="Times New Roman" w:hAnsi="Times New Roman" w:cs="Times New Roman"/>
              <w:sz w:val="24"/>
              <w:szCs w:val="24"/>
            </w:rPr>
          </w:pPr>
          <w:r w:rsidRPr="00AB2F22">
            <w:rPr>
              <w:rFonts w:ascii="Times New Roman" w:hAnsi="Times New Roman" w:cs="Times New Roman"/>
              <w:b/>
              <w:bCs/>
              <w:noProof/>
              <w:sz w:val="24"/>
              <w:szCs w:val="24"/>
            </w:rPr>
            <w:fldChar w:fldCharType="end"/>
          </w:r>
        </w:p>
      </w:sdtContent>
    </w:sdt>
    <w:p w14:paraId="605EC068" w14:textId="77777777" w:rsidR="00DD5AF1" w:rsidRPr="00191ACB" w:rsidRDefault="00DD5AF1"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2E084E31" w14:textId="77777777" w:rsidR="00DD5AF1" w:rsidRPr="00191ACB" w:rsidRDefault="00DD5AF1" w:rsidP="002B173F">
      <w:pPr>
        <w:rPr>
          <w:rFonts w:ascii="Times New Roman" w:hAnsi="Times New Roman" w:cs="Times New Roman"/>
          <w:color w:val="000000" w:themeColor="text1"/>
          <w:sz w:val="24"/>
          <w:szCs w:val="24"/>
        </w:rPr>
      </w:pPr>
    </w:p>
    <w:p w14:paraId="0FAC83AC" w14:textId="77777777" w:rsidR="00DD5AF1" w:rsidRPr="00191ACB" w:rsidRDefault="00DD5AF1" w:rsidP="002B173F">
      <w:pPr>
        <w:rPr>
          <w:rFonts w:ascii="Times New Roman" w:hAnsi="Times New Roman" w:cs="Times New Roman"/>
          <w:color w:val="000000" w:themeColor="text1"/>
          <w:sz w:val="24"/>
          <w:szCs w:val="24"/>
        </w:rPr>
      </w:pPr>
    </w:p>
    <w:p w14:paraId="6844171A" w14:textId="77777777" w:rsidR="00DD5AF1" w:rsidRPr="00191ACB" w:rsidRDefault="00DD5AF1" w:rsidP="002B173F">
      <w:pPr>
        <w:rPr>
          <w:rFonts w:ascii="Times New Roman" w:hAnsi="Times New Roman" w:cs="Times New Roman"/>
          <w:color w:val="000000" w:themeColor="text1"/>
          <w:sz w:val="24"/>
          <w:szCs w:val="24"/>
        </w:rPr>
      </w:pPr>
    </w:p>
    <w:p w14:paraId="17373470" w14:textId="77777777" w:rsidR="00DD5AF1" w:rsidRPr="00191ACB" w:rsidRDefault="00DD5AF1" w:rsidP="002B173F">
      <w:pPr>
        <w:rPr>
          <w:rFonts w:ascii="Times New Roman" w:hAnsi="Times New Roman" w:cs="Times New Roman"/>
          <w:color w:val="000000" w:themeColor="text1"/>
          <w:sz w:val="24"/>
          <w:szCs w:val="24"/>
        </w:rPr>
      </w:pPr>
    </w:p>
    <w:p w14:paraId="572ED9D2" w14:textId="77777777" w:rsidR="005F315B" w:rsidRDefault="005F315B"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r>
        <w:rPr>
          <w:rFonts w:ascii="Times New Roman" w:eastAsia="Times New Roman" w:hAnsi="Times New Roman" w:cs="Times New Roman"/>
          <w:b/>
          <w:color w:val="000000" w:themeColor="text1"/>
          <w:sz w:val="24"/>
          <w:szCs w:val="24"/>
          <w:lang w:eastAsia="x-none"/>
        </w:rPr>
        <w:br w:type="page"/>
      </w:r>
    </w:p>
    <w:p w14:paraId="027B4441" w14:textId="26BDB754" w:rsidR="00E55469" w:rsidRPr="00AA051B" w:rsidRDefault="00A9606F"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bookmarkStart w:id="3" w:name="_Toc57902786"/>
      <w:r w:rsidRPr="00AA051B">
        <w:rPr>
          <w:rFonts w:ascii="Times New Roman" w:eastAsia="Times New Roman" w:hAnsi="Times New Roman" w:cs="Times New Roman"/>
          <w:b/>
          <w:color w:val="000000" w:themeColor="text1"/>
          <w:sz w:val="24"/>
          <w:szCs w:val="24"/>
          <w:lang w:eastAsia="x-none"/>
        </w:rPr>
        <w:lastRenderedPageBreak/>
        <w:t>TABLE OF TABLES</w:t>
      </w:r>
      <w:bookmarkEnd w:id="3"/>
    </w:p>
    <w:p w14:paraId="72753194" w14:textId="227C1151" w:rsidR="00AA051B" w:rsidRPr="00AA051B" w:rsidRDefault="00F943B5" w:rsidP="00AA051B">
      <w:pPr>
        <w:pStyle w:val="TableofFigures"/>
        <w:rPr>
          <w:rFonts w:asciiTheme="minorHAnsi" w:eastAsiaTheme="minorEastAsia" w:hAnsiTheme="minorHAnsi" w:cstheme="minorBidi"/>
          <w:sz w:val="22"/>
          <w:szCs w:val="22"/>
        </w:rPr>
      </w:pPr>
      <w:r w:rsidRPr="00AA051B">
        <w:rPr>
          <w:rFonts w:ascii="Times New Roman" w:eastAsia="Times New Roman" w:hAnsi="Times New Roman" w:cs="Times New Roman"/>
          <w:color w:val="000000" w:themeColor="text1"/>
          <w:szCs w:val="24"/>
          <w:lang w:eastAsia="x-none"/>
        </w:rPr>
        <w:fldChar w:fldCharType="begin"/>
      </w:r>
      <w:r w:rsidRPr="00AA051B">
        <w:rPr>
          <w:rFonts w:ascii="Times New Roman" w:eastAsia="Times New Roman" w:hAnsi="Times New Roman" w:cs="Times New Roman"/>
          <w:color w:val="000000" w:themeColor="text1"/>
          <w:szCs w:val="24"/>
          <w:lang w:eastAsia="x-none"/>
        </w:rPr>
        <w:instrText xml:space="preserve"> TOC \h \z \c "Table" </w:instrText>
      </w:r>
      <w:r w:rsidRPr="00AA051B">
        <w:rPr>
          <w:rFonts w:ascii="Times New Roman" w:eastAsia="Times New Roman" w:hAnsi="Times New Roman" w:cs="Times New Roman"/>
          <w:color w:val="000000" w:themeColor="text1"/>
          <w:szCs w:val="24"/>
          <w:lang w:eastAsia="x-none"/>
        </w:rPr>
        <w:fldChar w:fldCharType="separate"/>
      </w:r>
      <w:hyperlink w:anchor="_Toc56583754" w:history="1">
        <w:r w:rsidR="00AA051B" w:rsidRPr="00AA051B">
          <w:rPr>
            <w:rStyle w:val="Hyperlink"/>
          </w:rPr>
          <w:t>Table 2:1:Population Size by Rural/Urban, Zambia 1990-2010</w:t>
        </w:r>
        <w:r w:rsidR="00AA051B" w:rsidRPr="00AA051B">
          <w:rPr>
            <w:webHidden/>
          </w:rPr>
          <w:tab/>
        </w:r>
        <w:r w:rsidR="00AA051B" w:rsidRPr="00AA051B">
          <w:rPr>
            <w:webHidden/>
          </w:rPr>
          <w:fldChar w:fldCharType="begin"/>
        </w:r>
        <w:r w:rsidR="00AA051B" w:rsidRPr="00AA051B">
          <w:rPr>
            <w:webHidden/>
          </w:rPr>
          <w:instrText xml:space="preserve"> PAGEREF _Toc56583754 \h </w:instrText>
        </w:r>
        <w:r w:rsidR="00AA051B" w:rsidRPr="00AA051B">
          <w:rPr>
            <w:webHidden/>
          </w:rPr>
        </w:r>
        <w:r w:rsidR="00AA051B" w:rsidRPr="00AA051B">
          <w:rPr>
            <w:webHidden/>
          </w:rPr>
          <w:fldChar w:fldCharType="separate"/>
        </w:r>
        <w:r w:rsidR="00AA051B" w:rsidRPr="00AA051B">
          <w:rPr>
            <w:webHidden/>
          </w:rPr>
          <w:t>4</w:t>
        </w:r>
        <w:r w:rsidR="00AA051B" w:rsidRPr="00AA051B">
          <w:rPr>
            <w:webHidden/>
          </w:rPr>
          <w:fldChar w:fldCharType="end"/>
        </w:r>
      </w:hyperlink>
    </w:p>
    <w:p w14:paraId="14FBEFF5" w14:textId="24DCB5B5" w:rsidR="00AA051B" w:rsidRPr="00AA051B" w:rsidRDefault="00317BA0" w:rsidP="00AA051B">
      <w:pPr>
        <w:pStyle w:val="TableofFigures"/>
        <w:rPr>
          <w:rFonts w:asciiTheme="minorHAnsi" w:eastAsiaTheme="minorEastAsia" w:hAnsiTheme="minorHAnsi" w:cstheme="minorBidi"/>
          <w:sz w:val="22"/>
          <w:szCs w:val="22"/>
        </w:rPr>
      </w:pPr>
      <w:hyperlink w:anchor="_Toc56583755" w:history="1">
        <w:r w:rsidR="00AA051B" w:rsidRPr="00AA051B">
          <w:rPr>
            <w:rStyle w:val="Hyperlink"/>
          </w:rPr>
          <w:t>Table 2:2:Zambia, Population Projection (2011-2015)</w:t>
        </w:r>
        <w:r w:rsidR="00AA051B" w:rsidRPr="00AA051B">
          <w:rPr>
            <w:webHidden/>
          </w:rPr>
          <w:tab/>
        </w:r>
        <w:r w:rsidR="00AA051B" w:rsidRPr="00AA051B">
          <w:rPr>
            <w:webHidden/>
          </w:rPr>
          <w:fldChar w:fldCharType="begin"/>
        </w:r>
        <w:r w:rsidR="00AA051B" w:rsidRPr="00AA051B">
          <w:rPr>
            <w:webHidden/>
          </w:rPr>
          <w:instrText xml:space="preserve"> PAGEREF _Toc56583755 \h </w:instrText>
        </w:r>
        <w:r w:rsidR="00AA051B" w:rsidRPr="00AA051B">
          <w:rPr>
            <w:webHidden/>
          </w:rPr>
        </w:r>
        <w:r w:rsidR="00AA051B" w:rsidRPr="00AA051B">
          <w:rPr>
            <w:webHidden/>
          </w:rPr>
          <w:fldChar w:fldCharType="separate"/>
        </w:r>
        <w:r w:rsidR="00AA051B" w:rsidRPr="00AA051B">
          <w:rPr>
            <w:webHidden/>
          </w:rPr>
          <w:t>4</w:t>
        </w:r>
        <w:r w:rsidR="00AA051B" w:rsidRPr="00AA051B">
          <w:rPr>
            <w:webHidden/>
          </w:rPr>
          <w:fldChar w:fldCharType="end"/>
        </w:r>
      </w:hyperlink>
    </w:p>
    <w:p w14:paraId="203140C7" w14:textId="525D3103" w:rsidR="00AA051B" w:rsidRPr="00AA051B" w:rsidRDefault="00317BA0" w:rsidP="00AA051B">
      <w:pPr>
        <w:pStyle w:val="TableofFigures"/>
        <w:rPr>
          <w:rFonts w:asciiTheme="minorHAnsi" w:eastAsiaTheme="minorEastAsia" w:hAnsiTheme="minorHAnsi" w:cstheme="minorBidi"/>
          <w:sz w:val="22"/>
          <w:szCs w:val="22"/>
        </w:rPr>
      </w:pPr>
      <w:hyperlink w:anchor="_Toc56583756" w:history="1">
        <w:r w:rsidR="00AA051B" w:rsidRPr="00AA051B">
          <w:rPr>
            <w:rStyle w:val="Hyperlink"/>
          </w:rPr>
          <w:t>Table 2:3:Zambia's HDI trends 1990 - 2018</w:t>
        </w:r>
        <w:r w:rsidR="00AA051B" w:rsidRPr="00AA051B">
          <w:rPr>
            <w:webHidden/>
          </w:rPr>
          <w:tab/>
        </w:r>
        <w:r w:rsidR="00AA051B" w:rsidRPr="00AA051B">
          <w:rPr>
            <w:webHidden/>
          </w:rPr>
          <w:fldChar w:fldCharType="begin"/>
        </w:r>
        <w:r w:rsidR="00AA051B" w:rsidRPr="00AA051B">
          <w:rPr>
            <w:webHidden/>
          </w:rPr>
          <w:instrText xml:space="preserve"> PAGEREF _Toc56583756 \h </w:instrText>
        </w:r>
        <w:r w:rsidR="00AA051B" w:rsidRPr="00AA051B">
          <w:rPr>
            <w:webHidden/>
          </w:rPr>
        </w:r>
        <w:r w:rsidR="00AA051B" w:rsidRPr="00AA051B">
          <w:rPr>
            <w:webHidden/>
          </w:rPr>
          <w:fldChar w:fldCharType="separate"/>
        </w:r>
        <w:r w:rsidR="00AA051B" w:rsidRPr="00AA051B">
          <w:rPr>
            <w:webHidden/>
          </w:rPr>
          <w:t>6</w:t>
        </w:r>
        <w:r w:rsidR="00AA051B" w:rsidRPr="00AA051B">
          <w:rPr>
            <w:webHidden/>
          </w:rPr>
          <w:fldChar w:fldCharType="end"/>
        </w:r>
      </w:hyperlink>
    </w:p>
    <w:p w14:paraId="1C8EE3AB" w14:textId="31517DA9" w:rsidR="00AA051B" w:rsidRPr="00AA051B" w:rsidRDefault="00317BA0" w:rsidP="00AA051B">
      <w:pPr>
        <w:pStyle w:val="TableofFigures"/>
        <w:rPr>
          <w:rFonts w:asciiTheme="minorHAnsi" w:eastAsiaTheme="minorEastAsia" w:hAnsiTheme="minorHAnsi" w:cstheme="minorBidi"/>
          <w:sz w:val="22"/>
          <w:szCs w:val="22"/>
        </w:rPr>
      </w:pPr>
      <w:hyperlink w:anchor="_Toc56583757" w:history="1">
        <w:r w:rsidR="00AA051B" w:rsidRPr="00AA051B">
          <w:rPr>
            <w:rStyle w:val="Hyperlink"/>
          </w:rPr>
          <w:t>Table 2:4:Zambia's Economic Parameters…</w:t>
        </w:r>
        <w:r w:rsidR="00AA051B" w:rsidRPr="00AA051B">
          <w:rPr>
            <w:webHidden/>
          </w:rPr>
          <w:tab/>
        </w:r>
        <w:r w:rsidR="00AA051B" w:rsidRPr="00AA051B">
          <w:rPr>
            <w:webHidden/>
          </w:rPr>
          <w:fldChar w:fldCharType="begin"/>
        </w:r>
        <w:r w:rsidR="00AA051B" w:rsidRPr="00AA051B">
          <w:rPr>
            <w:webHidden/>
          </w:rPr>
          <w:instrText xml:space="preserve"> PAGEREF _Toc56583757 \h </w:instrText>
        </w:r>
        <w:r w:rsidR="00AA051B" w:rsidRPr="00AA051B">
          <w:rPr>
            <w:webHidden/>
          </w:rPr>
        </w:r>
        <w:r w:rsidR="00AA051B" w:rsidRPr="00AA051B">
          <w:rPr>
            <w:webHidden/>
          </w:rPr>
          <w:fldChar w:fldCharType="separate"/>
        </w:r>
        <w:r w:rsidR="00AA051B" w:rsidRPr="00AA051B">
          <w:rPr>
            <w:webHidden/>
          </w:rPr>
          <w:t>8</w:t>
        </w:r>
        <w:r w:rsidR="00AA051B" w:rsidRPr="00AA051B">
          <w:rPr>
            <w:webHidden/>
          </w:rPr>
          <w:fldChar w:fldCharType="end"/>
        </w:r>
      </w:hyperlink>
    </w:p>
    <w:p w14:paraId="30C0D4A3" w14:textId="1A71A7C5" w:rsidR="00AA051B" w:rsidRPr="00AA051B" w:rsidRDefault="00317BA0" w:rsidP="00AA051B">
      <w:pPr>
        <w:pStyle w:val="TableofFigures"/>
        <w:rPr>
          <w:rFonts w:asciiTheme="minorHAnsi" w:eastAsiaTheme="minorEastAsia" w:hAnsiTheme="minorHAnsi" w:cstheme="minorBidi"/>
          <w:sz w:val="22"/>
          <w:szCs w:val="22"/>
        </w:rPr>
      </w:pPr>
      <w:hyperlink w:anchor="_Toc56583758" w:history="1">
        <w:r w:rsidR="00AA051B" w:rsidRPr="00AA051B">
          <w:rPr>
            <w:rStyle w:val="Hyperlink"/>
          </w:rPr>
          <w:t>Table 2:5:Production (Mt) of Selected Crops for 2010 and 2016</w:t>
        </w:r>
        <w:r w:rsidR="00AA051B" w:rsidRPr="00AA051B">
          <w:rPr>
            <w:webHidden/>
          </w:rPr>
          <w:tab/>
        </w:r>
        <w:r w:rsidR="00AA051B" w:rsidRPr="00AA051B">
          <w:rPr>
            <w:webHidden/>
          </w:rPr>
          <w:fldChar w:fldCharType="begin"/>
        </w:r>
        <w:r w:rsidR="00AA051B" w:rsidRPr="00AA051B">
          <w:rPr>
            <w:webHidden/>
          </w:rPr>
          <w:instrText xml:space="preserve"> PAGEREF _Toc56583758 \h </w:instrText>
        </w:r>
        <w:r w:rsidR="00AA051B" w:rsidRPr="00AA051B">
          <w:rPr>
            <w:webHidden/>
          </w:rPr>
        </w:r>
        <w:r w:rsidR="00AA051B" w:rsidRPr="00AA051B">
          <w:rPr>
            <w:webHidden/>
          </w:rPr>
          <w:fldChar w:fldCharType="separate"/>
        </w:r>
        <w:r w:rsidR="00AA051B" w:rsidRPr="00AA051B">
          <w:rPr>
            <w:webHidden/>
          </w:rPr>
          <w:t>9</w:t>
        </w:r>
        <w:r w:rsidR="00AA051B" w:rsidRPr="00AA051B">
          <w:rPr>
            <w:webHidden/>
          </w:rPr>
          <w:fldChar w:fldCharType="end"/>
        </w:r>
      </w:hyperlink>
    </w:p>
    <w:p w14:paraId="70AA4FEC" w14:textId="2EBC8996" w:rsidR="00AA051B" w:rsidRPr="00AA051B" w:rsidRDefault="00317BA0" w:rsidP="00AA051B">
      <w:pPr>
        <w:pStyle w:val="TableofFigures"/>
        <w:rPr>
          <w:rFonts w:asciiTheme="minorHAnsi" w:eastAsiaTheme="minorEastAsia" w:hAnsiTheme="minorHAnsi" w:cstheme="minorBidi"/>
          <w:sz w:val="22"/>
          <w:szCs w:val="22"/>
        </w:rPr>
      </w:pPr>
      <w:hyperlink w:anchor="_Toc56583759" w:history="1">
        <w:r w:rsidR="00AA051B" w:rsidRPr="00AA051B">
          <w:rPr>
            <w:rStyle w:val="Hyperlink"/>
          </w:rPr>
          <w:t>Table 2:6:Livestock Population in 2010 and 2016</w:t>
        </w:r>
        <w:r w:rsidR="00AA051B" w:rsidRPr="00AA051B">
          <w:rPr>
            <w:webHidden/>
          </w:rPr>
          <w:tab/>
        </w:r>
        <w:r w:rsidR="00AA051B" w:rsidRPr="00AA051B">
          <w:rPr>
            <w:webHidden/>
          </w:rPr>
          <w:fldChar w:fldCharType="begin"/>
        </w:r>
        <w:r w:rsidR="00AA051B" w:rsidRPr="00AA051B">
          <w:rPr>
            <w:webHidden/>
          </w:rPr>
          <w:instrText xml:space="preserve"> PAGEREF _Toc56583759 \h </w:instrText>
        </w:r>
        <w:r w:rsidR="00AA051B" w:rsidRPr="00AA051B">
          <w:rPr>
            <w:webHidden/>
          </w:rPr>
        </w:r>
        <w:r w:rsidR="00AA051B" w:rsidRPr="00AA051B">
          <w:rPr>
            <w:webHidden/>
          </w:rPr>
          <w:fldChar w:fldCharType="separate"/>
        </w:r>
        <w:r w:rsidR="00AA051B" w:rsidRPr="00AA051B">
          <w:rPr>
            <w:webHidden/>
          </w:rPr>
          <w:t>9</w:t>
        </w:r>
        <w:r w:rsidR="00AA051B" w:rsidRPr="00AA051B">
          <w:rPr>
            <w:webHidden/>
          </w:rPr>
          <w:fldChar w:fldCharType="end"/>
        </w:r>
      </w:hyperlink>
    </w:p>
    <w:p w14:paraId="50C9015A" w14:textId="2C30B479" w:rsidR="00AA051B" w:rsidRPr="00AA051B" w:rsidRDefault="00317BA0" w:rsidP="00AA051B">
      <w:pPr>
        <w:pStyle w:val="TableofFigures"/>
        <w:rPr>
          <w:rFonts w:asciiTheme="minorHAnsi" w:eastAsiaTheme="minorEastAsia" w:hAnsiTheme="minorHAnsi" w:cstheme="minorBidi"/>
          <w:sz w:val="22"/>
          <w:szCs w:val="22"/>
        </w:rPr>
      </w:pPr>
      <w:hyperlink w:anchor="_Toc56583760" w:history="1">
        <w:r w:rsidR="00AA051B" w:rsidRPr="00AA051B">
          <w:rPr>
            <w:rStyle w:val="Hyperlink"/>
          </w:rPr>
          <w:t>Table 2:7:Mineral Production between 2017 and 2018</w:t>
        </w:r>
        <w:r w:rsidR="00AA051B" w:rsidRPr="00AA051B">
          <w:rPr>
            <w:webHidden/>
          </w:rPr>
          <w:tab/>
        </w:r>
        <w:r w:rsidR="00AA051B" w:rsidRPr="00AA051B">
          <w:rPr>
            <w:webHidden/>
          </w:rPr>
          <w:fldChar w:fldCharType="begin"/>
        </w:r>
        <w:r w:rsidR="00AA051B" w:rsidRPr="00AA051B">
          <w:rPr>
            <w:webHidden/>
          </w:rPr>
          <w:instrText xml:space="preserve"> PAGEREF _Toc56583760 \h </w:instrText>
        </w:r>
        <w:r w:rsidR="00AA051B" w:rsidRPr="00AA051B">
          <w:rPr>
            <w:webHidden/>
          </w:rPr>
        </w:r>
        <w:r w:rsidR="00AA051B" w:rsidRPr="00AA051B">
          <w:rPr>
            <w:webHidden/>
          </w:rPr>
          <w:fldChar w:fldCharType="separate"/>
        </w:r>
        <w:r w:rsidR="00AA051B" w:rsidRPr="00AA051B">
          <w:rPr>
            <w:webHidden/>
          </w:rPr>
          <w:t>11</w:t>
        </w:r>
        <w:r w:rsidR="00AA051B" w:rsidRPr="00AA051B">
          <w:rPr>
            <w:webHidden/>
          </w:rPr>
          <w:fldChar w:fldCharType="end"/>
        </w:r>
      </w:hyperlink>
    </w:p>
    <w:p w14:paraId="4A45B3D5" w14:textId="5AC835C8" w:rsidR="00AA051B" w:rsidRPr="00AA051B" w:rsidRDefault="00317BA0" w:rsidP="00AA051B">
      <w:pPr>
        <w:pStyle w:val="TableofFigures"/>
        <w:rPr>
          <w:rFonts w:asciiTheme="minorHAnsi" w:eastAsiaTheme="minorEastAsia" w:hAnsiTheme="minorHAnsi" w:cstheme="minorBidi"/>
          <w:sz w:val="22"/>
          <w:szCs w:val="22"/>
        </w:rPr>
      </w:pPr>
      <w:hyperlink w:anchor="_Toc56583761" w:history="1">
        <w:r w:rsidR="00AA051B" w:rsidRPr="00AA051B">
          <w:rPr>
            <w:rStyle w:val="Hyperlink"/>
          </w:rPr>
          <w:t>Table 2:8:Foreign direct investments contribution of the mining sector</w:t>
        </w:r>
        <w:r w:rsidR="00AA051B" w:rsidRPr="00AA051B">
          <w:rPr>
            <w:webHidden/>
          </w:rPr>
          <w:tab/>
        </w:r>
        <w:r w:rsidR="00AA051B" w:rsidRPr="00AA051B">
          <w:rPr>
            <w:webHidden/>
          </w:rPr>
          <w:fldChar w:fldCharType="begin"/>
        </w:r>
        <w:r w:rsidR="00AA051B" w:rsidRPr="00AA051B">
          <w:rPr>
            <w:webHidden/>
          </w:rPr>
          <w:instrText xml:space="preserve"> PAGEREF _Toc56583761 \h </w:instrText>
        </w:r>
        <w:r w:rsidR="00AA051B" w:rsidRPr="00AA051B">
          <w:rPr>
            <w:webHidden/>
          </w:rPr>
        </w:r>
        <w:r w:rsidR="00AA051B" w:rsidRPr="00AA051B">
          <w:rPr>
            <w:webHidden/>
          </w:rPr>
          <w:fldChar w:fldCharType="separate"/>
        </w:r>
        <w:r w:rsidR="00AA051B" w:rsidRPr="00AA051B">
          <w:rPr>
            <w:webHidden/>
          </w:rPr>
          <w:t>12</w:t>
        </w:r>
        <w:r w:rsidR="00AA051B" w:rsidRPr="00AA051B">
          <w:rPr>
            <w:webHidden/>
          </w:rPr>
          <w:fldChar w:fldCharType="end"/>
        </w:r>
      </w:hyperlink>
    </w:p>
    <w:p w14:paraId="6F10DFEC" w14:textId="581DF62B" w:rsidR="00AA051B" w:rsidRPr="00AA051B" w:rsidRDefault="00317BA0" w:rsidP="00AA051B">
      <w:pPr>
        <w:pStyle w:val="TableofFigures"/>
        <w:rPr>
          <w:rFonts w:asciiTheme="minorHAnsi" w:eastAsiaTheme="minorEastAsia" w:hAnsiTheme="minorHAnsi" w:cstheme="minorBidi"/>
          <w:sz w:val="22"/>
          <w:szCs w:val="22"/>
        </w:rPr>
      </w:pPr>
      <w:hyperlink w:anchor="_Toc56583762" w:history="1">
        <w:r w:rsidR="00AA051B" w:rsidRPr="00AA051B">
          <w:rPr>
            <w:rStyle w:val="Hyperlink"/>
          </w:rPr>
          <w:t>Table 3:1:Percentage contribution to overall emissions by sub category for 2016</w:t>
        </w:r>
        <w:r w:rsidR="00AA051B" w:rsidRPr="00AA051B">
          <w:rPr>
            <w:webHidden/>
          </w:rPr>
          <w:tab/>
        </w:r>
        <w:r w:rsidR="00AA051B" w:rsidRPr="00AA051B">
          <w:rPr>
            <w:webHidden/>
          </w:rPr>
          <w:fldChar w:fldCharType="begin"/>
        </w:r>
        <w:r w:rsidR="00AA051B" w:rsidRPr="00AA051B">
          <w:rPr>
            <w:webHidden/>
          </w:rPr>
          <w:instrText xml:space="preserve"> PAGEREF _Toc56583762 \h </w:instrText>
        </w:r>
        <w:r w:rsidR="00AA051B" w:rsidRPr="00AA051B">
          <w:rPr>
            <w:webHidden/>
          </w:rPr>
        </w:r>
        <w:r w:rsidR="00AA051B" w:rsidRPr="00AA051B">
          <w:rPr>
            <w:webHidden/>
          </w:rPr>
          <w:fldChar w:fldCharType="separate"/>
        </w:r>
        <w:r w:rsidR="00AA051B" w:rsidRPr="00AA051B">
          <w:rPr>
            <w:webHidden/>
          </w:rPr>
          <w:t>19</w:t>
        </w:r>
        <w:r w:rsidR="00AA051B" w:rsidRPr="00AA051B">
          <w:rPr>
            <w:webHidden/>
          </w:rPr>
          <w:fldChar w:fldCharType="end"/>
        </w:r>
      </w:hyperlink>
    </w:p>
    <w:p w14:paraId="756B5000" w14:textId="7016021E" w:rsidR="00AA051B" w:rsidRPr="00AA051B" w:rsidRDefault="00317BA0" w:rsidP="00AA051B">
      <w:pPr>
        <w:pStyle w:val="TableofFigures"/>
        <w:rPr>
          <w:rFonts w:asciiTheme="minorHAnsi" w:eastAsiaTheme="minorEastAsia" w:hAnsiTheme="minorHAnsi" w:cstheme="minorBidi"/>
          <w:sz w:val="22"/>
          <w:szCs w:val="22"/>
        </w:rPr>
      </w:pPr>
      <w:hyperlink w:anchor="_Toc56583763" w:history="1">
        <w:r w:rsidR="00AA051B" w:rsidRPr="00AA051B">
          <w:rPr>
            <w:rStyle w:val="Hyperlink"/>
          </w:rPr>
          <w:t>Table 3:2:GHG emissions (Gg CO2 eq.) by sector from 1994 to 2016</w:t>
        </w:r>
        <w:r w:rsidR="00AA051B" w:rsidRPr="00AA051B">
          <w:rPr>
            <w:webHidden/>
          </w:rPr>
          <w:tab/>
        </w:r>
        <w:r w:rsidR="00AA051B" w:rsidRPr="00AA051B">
          <w:rPr>
            <w:webHidden/>
          </w:rPr>
          <w:fldChar w:fldCharType="begin"/>
        </w:r>
        <w:r w:rsidR="00AA051B" w:rsidRPr="00AA051B">
          <w:rPr>
            <w:webHidden/>
          </w:rPr>
          <w:instrText xml:space="preserve"> PAGEREF _Toc56583763 \h </w:instrText>
        </w:r>
        <w:r w:rsidR="00AA051B" w:rsidRPr="00AA051B">
          <w:rPr>
            <w:webHidden/>
          </w:rPr>
        </w:r>
        <w:r w:rsidR="00AA051B" w:rsidRPr="00AA051B">
          <w:rPr>
            <w:webHidden/>
          </w:rPr>
          <w:fldChar w:fldCharType="separate"/>
        </w:r>
        <w:r w:rsidR="00AA051B" w:rsidRPr="00AA051B">
          <w:rPr>
            <w:webHidden/>
          </w:rPr>
          <w:t>22</w:t>
        </w:r>
        <w:r w:rsidR="00AA051B" w:rsidRPr="00AA051B">
          <w:rPr>
            <w:webHidden/>
          </w:rPr>
          <w:fldChar w:fldCharType="end"/>
        </w:r>
      </w:hyperlink>
    </w:p>
    <w:p w14:paraId="30E9062A" w14:textId="6DD02C09" w:rsidR="00AA051B" w:rsidRPr="00AA051B" w:rsidRDefault="00317BA0" w:rsidP="00AA051B">
      <w:pPr>
        <w:pStyle w:val="TableofFigures"/>
        <w:rPr>
          <w:rFonts w:asciiTheme="minorHAnsi" w:eastAsiaTheme="minorEastAsia" w:hAnsiTheme="minorHAnsi" w:cstheme="minorBidi"/>
          <w:sz w:val="22"/>
          <w:szCs w:val="22"/>
        </w:rPr>
      </w:pPr>
      <w:hyperlink w:anchor="_Toc56583764" w:history="1">
        <w:r w:rsidR="00AA051B" w:rsidRPr="00AA051B">
          <w:rPr>
            <w:rStyle w:val="Hyperlink"/>
          </w:rPr>
          <w:t>Table 3:3:Summary of Precursor Gases</w:t>
        </w:r>
        <w:r w:rsidR="00AA051B" w:rsidRPr="00AA051B">
          <w:rPr>
            <w:webHidden/>
          </w:rPr>
          <w:tab/>
        </w:r>
        <w:r w:rsidR="00AA051B" w:rsidRPr="00AA051B">
          <w:rPr>
            <w:webHidden/>
          </w:rPr>
          <w:fldChar w:fldCharType="begin"/>
        </w:r>
        <w:r w:rsidR="00AA051B" w:rsidRPr="00AA051B">
          <w:rPr>
            <w:webHidden/>
          </w:rPr>
          <w:instrText xml:space="preserve"> PAGEREF _Toc56583764 \h </w:instrText>
        </w:r>
        <w:r w:rsidR="00AA051B" w:rsidRPr="00AA051B">
          <w:rPr>
            <w:webHidden/>
          </w:rPr>
        </w:r>
        <w:r w:rsidR="00AA051B" w:rsidRPr="00AA051B">
          <w:rPr>
            <w:webHidden/>
          </w:rPr>
          <w:fldChar w:fldCharType="separate"/>
        </w:r>
        <w:r w:rsidR="00AA051B" w:rsidRPr="00AA051B">
          <w:rPr>
            <w:webHidden/>
          </w:rPr>
          <w:t>25</w:t>
        </w:r>
        <w:r w:rsidR="00AA051B" w:rsidRPr="00AA051B">
          <w:rPr>
            <w:webHidden/>
          </w:rPr>
          <w:fldChar w:fldCharType="end"/>
        </w:r>
      </w:hyperlink>
    </w:p>
    <w:p w14:paraId="769E3DF7" w14:textId="48DD0FF8" w:rsidR="00AA051B" w:rsidRPr="00AA051B" w:rsidRDefault="00317BA0" w:rsidP="00AA051B">
      <w:pPr>
        <w:pStyle w:val="TableofFigures"/>
        <w:rPr>
          <w:rFonts w:asciiTheme="minorHAnsi" w:eastAsiaTheme="minorEastAsia" w:hAnsiTheme="minorHAnsi" w:cstheme="minorBidi"/>
          <w:sz w:val="22"/>
          <w:szCs w:val="22"/>
        </w:rPr>
      </w:pPr>
      <w:hyperlink w:anchor="_Toc56583765" w:history="1">
        <w:r w:rsidR="00AA051B" w:rsidRPr="00AA051B">
          <w:rPr>
            <w:rStyle w:val="Hyperlink"/>
          </w:rPr>
          <w:t>Table 3:4:Detailed Summary of emissions</w:t>
        </w:r>
        <w:r w:rsidR="00AA051B" w:rsidRPr="00AA051B">
          <w:rPr>
            <w:webHidden/>
          </w:rPr>
          <w:tab/>
        </w:r>
        <w:r w:rsidR="00AA051B" w:rsidRPr="00AA051B">
          <w:rPr>
            <w:webHidden/>
          </w:rPr>
          <w:fldChar w:fldCharType="begin"/>
        </w:r>
        <w:r w:rsidR="00AA051B" w:rsidRPr="00AA051B">
          <w:rPr>
            <w:webHidden/>
          </w:rPr>
          <w:instrText xml:space="preserve"> PAGEREF _Toc56583765 \h </w:instrText>
        </w:r>
        <w:r w:rsidR="00AA051B" w:rsidRPr="00AA051B">
          <w:rPr>
            <w:webHidden/>
          </w:rPr>
        </w:r>
        <w:r w:rsidR="00AA051B" w:rsidRPr="00AA051B">
          <w:rPr>
            <w:webHidden/>
          </w:rPr>
          <w:fldChar w:fldCharType="separate"/>
        </w:r>
        <w:r w:rsidR="00AA051B" w:rsidRPr="00AA051B">
          <w:rPr>
            <w:webHidden/>
          </w:rPr>
          <w:t>28</w:t>
        </w:r>
        <w:r w:rsidR="00AA051B" w:rsidRPr="00AA051B">
          <w:rPr>
            <w:webHidden/>
          </w:rPr>
          <w:fldChar w:fldCharType="end"/>
        </w:r>
      </w:hyperlink>
    </w:p>
    <w:p w14:paraId="2FBC1C3A" w14:textId="0D62BDF0" w:rsidR="00AA051B" w:rsidRPr="00AA051B" w:rsidRDefault="00317BA0" w:rsidP="00AA051B">
      <w:pPr>
        <w:pStyle w:val="TableofFigures"/>
        <w:rPr>
          <w:rFonts w:asciiTheme="minorHAnsi" w:eastAsiaTheme="minorEastAsia" w:hAnsiTheme="minorHAnsi" w:cstheme="minorBidi"/>
          <w:sz w:val="22"/>
          <w:szCs w:val="22"/>
        </w:rPr>
      </w:pPr>
      <w:hyperlink w:anchor="_Toc56583766" w:history="1">
        <w:r w:rsidR="00AA051B" w:rsidRPr="00AA051B">
          <w:rPr>
            <w:rStyle w:val="Hyperlink"/>
          </w:rPr>
          <w:t>Table 3:5:Summary Reporting Table for 2016</w:t>
        </w:r>
        <w:r w:rsidR="00AA051B" w:rsidRPr="00AA051B">
          <w:rPr>
            <w:webHidden/>
          </w:rPr>
          <w:tab/>
        </w:r>
        <w:r w:rsidR="00AA051B" w:rsidRPr="00AA051B">
          <w:rPr>
            <w:webHidden/>
          </w:rPr>
          <w:fldChar w:fldCharType="begin"/>
        </w:r>
        <w:r w:rsidR="00AA051B" w:rsidRPr="00AA051B">
          <w:rPr>
            <w:webHidden/>
          </w:rPr>
          <w:instrText xml:space="preserve"> PAGEREF _Toc56583766 \h </w:instrText>
        </w:r>
        <w:r w:rsidR="00AA051B" w:rsidRPr="00AA051B">
          <w:rPr>
            <w:webHidden/>
          </w:rPr>
        </w:r>
        <w:r w:rsidR="00AA051B" w:rsidRPr="00AA051B">
          <w:rPr>
            <w:webHidden/>
          </w:rPr>
          <w:fldChar w:fldCharType="separate"/>
        </w:r>
        <w:r w:rsidR="00AA051B" w:rsidRPr="00AA051B">
          <w:rPr>
            <w:webHidden/>
          </w:rPr>
          <w:t>35</w:t>
        </w:r>
        <w:r w:rsidR="00AA051B" w:rsidRPr="00AA051B">
          <w:rPr>
            <w:webHidden/>
          </w:rPr>
          <w:fldChar w:fldCharType="end"/>
        </w:r>
      </w:hyperlink>
    </w:p>
    <w:p w14:paraId="5E939B56" w14:textId="764FF9C4" w:rsidR="00AA051B" w:rsidRPr="00AA051B" w:rsidRDefault="00317BA0" w:rsidP="00AA051B">
      <w:pPr>
        <w:pStyle w:val="TableofFigures"/>
        <w:rPr>
          <w:rFonts w:asciiTheme="minorHAnsi" w:eastAsiaTheme="minorEastAsia" w:hAnsiTheme="minorHAnsi" w:cstheme="minorBidi"/>
          <w:sz w:val="22"/>
          <w:szCs w:val="22"/>
        </w:rPr>
      </w:pPr>
      <w:hyperlink w:anchor="_Toc56583767" w:history="1">
        <w:r w:rsidR="00AA051B" w:rsidRPr="00AA051B">
          <w:rPr>
            <w:rStyle w:val="Hyperlink"/>
          </w:rPr>
          <w:t>Table 3:6:Summary of key category analysis for inventory year 2016.</w:t>
        </w:r>
        <w:r w:rsidR="00AA051B" w:rsidRPr="00AA051B">
          <w:rPr>
            <w:webHidden/>
          </w:rPr>
          <w:tab/>
        </w:r>
        <w:r w:rsidR="00AA051B" w:rsidRPr="00AA051B">
          <w:rPr>
            <w:webHidden/>
          </w:rPr>
          <w:fldChar w:fldCharType="begin"/>
        </w:r>
        <w:r w:rsidR="00AA051B" w:rsidRPr="00AA051B">
          <w:rPr>
            <w:webHidden/>
          </w:rPr>
          <w:instrText xml:space="preserve"> PAGEREF _Toc56583767 \h </w:instrText>
        </w:r>
        <w:r w:rsidR="00AA051B" w:rsidRPr="00AA051B">
          <w:rPr>
            <w:webHidden/>
          </w:rPr>
        </w:r>
        <w:r w:rsidR="00AA051B" w:rsidRPr="00AA051B">
          <w:rPr>
            <w:webHidden/>
          </w:rPr>
          <w:fldChar w:fldCharType="separate"/>
        </w:r>
        <w:r w:rsidR="00AA051B" w:rsidRPr="00AA051B">
          <w:rPr>
            <w:webHidden/>
          </w:rPr>
          <w:t>48</w:t>
        </w:r>
        <w:r w:rsidR="00AA051B" w:rsidRPr="00AA051B">
          <w:rPr>
            <w:webHidden/>
          </w:rPr>
          <w:fldChar w:fldCharType="end"/>
        </w:r>
      </w:hyperlink>
    </w:p>
    <w:p w14:paraId="5FBB09E8" w14:textId="42DB1CDC" w:rsidR="00AA051B" w:rsidRPr="00AA051B" w:rsidRDefault="00317BA0" w:rsidP="00AA051B">
      <w:pPr>
        <w:pStyle w:val="TableofFigures"/>
        <w:rPr>
          <w:rFonts w:asciiTheme="minorHAnsi" w:eastAsiaTheme="minorEastAsia" w:hAnsiTheme="minorHAnsi" w:cstheme="minorBidi"/>
          <w:sz w:val="22"/>
          <w:szCs w:val="22"/>
        </w:rPr>
      </w:pPr>
      <w:hyperlink w:anchor="_Toc56583768" w:history="1">
        <w:r w:rsidR="00AA051B" w:rsidRPr="00AA051B">
          <w:rPr>
            <w:rStyle w:val="Hyperlink"/>
          </w:rPr>
          <w:t>Table 3:7:IPPU Sector recalculations of total emissions CO2 eq.</w:t>
        </w:r>
        <w:r w:rsidR="00AA051B" w:rsidRPr="00AA051B">
          <w:rPr>
            <w:webHidden/>
          </w:rPr>
          <w:tab/>
        </w:r>
        <w:r w:rsidR="00AA051B" w:rsidRPr="00AA051B">
          <w:rPr>
            <w:webHidden/>
          </w:rPr>
          <w:fldChar w:fldCharType="begin"/>
        </w:r>
        <w:r w:rsidR="00AA051B" w:rsidRPr="00AA051B">
          <w:rPr>
            <w:webHidden/>
          </w:rPr>
          <w:instrText xml:space="preserve"> PAGEREF _Toc56583768 \h </w:instrText>
        </w:r>
        <w:r w:rsidR="00AA051B" w:rsidRPr="00AA051B">
          <w:rPr>
            <w:webHidden/>
          </w:rPr>
        </w:r>
        <w:r w:rsidR="00AA051B" w:rsidRPr="00AA051B">
          <w:rPr>
            <w:webHidden/>
          </w:rPr>
          <w:fldChar w:fldCharType="separate"/>
        </w:r>
        <w:r w:rsidR="00AA051B" w:rsidRPr="00AA051B">
          <w:rPr>
            <w:webHidden/>
          </w:rPr>
          <w:t>48</w:t>
        </w:r>
        <w:r w:rsidR="00AA051B" w:rsidRPr="00AA051B">
          <w:rPr>
            <w:webHidden/>
          </w:rPr>
          <w:fldChar w:fldCharType="end"/>
        </w:r>
      </w:hyperlink>
    </w:p>
    <w:p w14:paraId="2577F70E" w14:textId="13438F74" w:rsidR="00AA051B" w:rsidRPr="00AA051B" w:rsidRDefault="00317BA0" w:rsidP="00AA051B">
      <w:pPr>
        <w:pStyle w:val="TableofFigures"/>
        <w:rPr>
          <w:rFonts w:asciiTheme="minorHAnsi" w:eastAsiaTheme="minorEastAsia" w:hAnsiTheme="minorHAnsi" w:cstheme="minorBidi"/>
          <w:sz w:val="22"/>
          <w:szCs w:val="22"/>
        </w:rPr>
      </w:pPr>
      <w:hyperlink w:anchor="_Toc56583769" w:history="1">
        <w:r w:rsidR="00AA051B" w:rsidRPr="00AA051B">
          <w:rPr>
            <w:rStyle w:val="Hyperlink"/>
          </w:rPr>
          <w:t>Table 3:8:Comparison of CO2 emissions between Sectoral and Reference approach for 2016</w:t>
        </w:r>
        <w:r w:rsidR="00AA051B" w:rsidRPr="00AA051B">
          <w:rPr>
            <w:webHidden/>
          </w:rPr>
          <w:tab/>
        </w:r>
        <w:r w:rsidR="00AA051B" w:rsidRPr="00AA051B">
          <w:rPr>
            <w:webHidden/>
          </w:rPr>
          <w:fldChar w:fldCharType="begin"/>
        </w:r>
        <w:r w:rsidR="00AA051B" w:rsidRPr="00AA051B">
          <w:rPr>
            <w:webHidden/>
          </w:rPr>
          <w:instrText xml:space="preserve"> PAGEREF _Toc56583769 \h </w:instrText>
        </w:r>
        <w:r w:rsidR="00AA051B" w:rsidRPr="00AA051B">
          <w:rPr>
            <w:webHidden/>
          </w:rPr>
        </w:r>
        <w:r w:rsidR="00AA051B" w:rsidRPr="00AA051B">
          <w:rPr>
            <w:webHidden/>
          </w:rPr>
          <w:fldChar w:fldCharType="separate"/>
        </w:r>
        <w:r w:rsidR="00AA051B" w:rsidRPr="00AA051B">
          <w:rPr>
            <w:webHidden/>
          </w:rPr>
          <w:t>50</w:t>
        </w:r>
        <w:r w:rsidR="00AA051B" w:rsidRPr="00AA051B">
          <w:rPr>
            <w:webHidden/>
          </w:rPr>
          <w:fldChar w:fldCharType="end"/>
        </w:r>
      </w:hyperlink>
    </w:p>
    <w:p w14:paraId="064D8B89" w14:textId="5A05F1AB" w:rsidR="00AA051B" w:rsidRPr="00AA051B" w:rsidRDefault="00317BA0" w:rsidP="00AA051B">
      <w:pPr>
        <w:pStyle w:val="TableofFigures"/>
        <w:rPr>
          <w:rFonts w:asciiTheme="minorHAnsi" w:eastAsiaTheme="minorEastAsia" w:hAnsiTheme="minorHAnsi" w:cstheme="minorBidi"/>
          <w:sz w:val="22"/>
          <w:szCs w:val="22"/>
        </w:rPr>
      </w:pPr>
      <w:hyperlink w:anchor="_Toc56583770" w:history="1">
        <w:r w:rsidR="00AA051B" w:rsidRPr="00AA051B">
          <w:rPr>
            <w:rStyle w:val="Hyperlink"/>
          </w:rPr>
          <w:t>Table 3:9:Land cover classification scheme</w:t>
        </w:r>
        <w:r w:rsidR="00AA051B" w:rsidRPr="00AA051B">
          <w:rPr>
            <w:webHidden/>
          </w:rPr>
          <w:tab/>
        </w:r>
        <w:r w:rsidR="00AA051B" w:rsidRPr="00AA051B">
          <w:rPr>
            <w:webHidden/>
          </w:rPr>
          <w:fldChar w:fldCharType="begin"/>
        </w:r>
        <w:r w:rsidR="00AA051B" w:rsidRPr="00AA051B">
          <w:rPr>
            <w:webHidden/>
          </w:rPr>
          <w:instrText xml:space="preserve"> PAGEREF _Toc56583770 \h </w:instrText>
        </w:r>
        <w:r w:rsidR="00AA051B" w:rsidRPr="00AA051B">
          <w:rPr>
            <w:webHidden/>
          </w:rPr>
        </w:r>
        <w:r w:rsidR="00AA051B" w:rsidRPr="00AA051B">
          <w:rPr>
            <w:webHidden/>
          </w:rPr>
          <w:fldChar w:fldCharType="separate"/>
        </w:r>
        <w:r w:rsidR="00AA051B" w:rsidRPr="00AA051B">
          <w:rPr>
            <w:webHidden/>
          </w:rPr>
          <w:t>63</w:t>
        </w:r>
        <w:r w:rsidR="00AA051B" w:rsidRPr="00AA051B">
          <w:rPr>
            <w:webHidden/>
          </w:rPr>
          <w:fldChar w:fldCharType="end"/>
        </w:r>
      </w:hyperlink>
    </w:p>
    <w:p w14:paraId="67EECA21" w14:textId="37C0FFC2" w:rsidR="00AA051B" w:rsidRPr="00AA051B" w:rsidRDefault="00317BA0" w:rsidP="00AA051B">
      <w:pPr>
        <w:pStyle w:val="TableofFigures"/>
        <w:rPr>
          <w:rFonts w:asciiTheme="minorHAnsi" w:eastAsiaTheme="minorEastAsia" w:hAnsiTheme="minorHAnsi" w:cstheme="minorBidi"/>
          <w:sz w:val="22"/>
          <w:szCs w:val="22"/>
        </w:rPr>
      </w:pPr>
      <w:hyperlink w:anchor="_Toc56583771" w:history="1">
        <w:r w:rsidR="00AA051B" w:rsidRPr="00AA051B">
          <w:rPr>
            <w:rStyle w:val="Hyperlink"/>
          </w:rPr>
          <w:t>Table 3:10:Major forest types for reporting</w:t>
        </w:r>
        <w:r w:rsidR="00AA051B" w:rsidRPr="00AA051B">
          <w:rPr>
            <w:webHidden/>
          </w:rPr>
          <w:tab/>
        </w:r>
        <w:r w:rsidR="00AA051B" w:rsidRPr="00AA051B">
          <w:rPr>
            <w:webHidden/>
          </w:rPr>
          <w:fldChar w:fldCharType="begin"/>
        </w:r>
        <w:r w:rsidR="00AA051B" w:rsidRPr="00AA051B">
          <w:rPr>
            <w:webHidden/>
          </w:rPr>
          <w:instrText xml:space="preserve"> PAGEREF _Toc56583771 \h </w:instrText>
        </w:r>
        <w:r w:rsidR="00AA051B" w:rsidRPr="00AA051B">
          <w:rPr>
            <w:webHidden/>
          </w:rPr>
        </w:r>
        <w:r w:rsidR="00AA051B" w:rsidRPr="00AA051B">
          <w:rPr>
            <w:webHidden/>
          </w:rPr>
          <w:fldChar w:fldCharType="separate"/>
        </w:r>
        <w:r w:rsidR="00AA051B" w:rsidRPr="00AA051B">
          <w:rPr>
            <w:webHidden/>
          </w:rPr>
          <w:t>64</w:t>
        </w:r>
        <w:r w:rsidR="00AA051B" w:rsidRPr="00AA051B">
          <w:rPr>
            <w:webHidden/>
          </w:rPr>
          <w:fldChar w:fldCharType="end"/>
        </w:r>
      </w:hyperlink>
    </w:p>
    <w:p w14:paraId="4ECD3924" w14:textId="70803AF9" w:rsidR="00AA051B" w:rsidRPr="00AA051B" w:rsidRDefault="00317BA0" w:rsidP="00AA051B">
      <w:pPr>
        <w:pStyle w:val="TableofFigures"/>
        <w:rPr>
          <w:rFonts w:asciiTheme="minorHAnsi" w:eastAsiaTheme="minorEastAsia" w:hAnsiTheme="minorHAnsi" w:cstheme="minorBidi"/>
          <w:sz w:val="22"/>
          <w:szCs w:val="22"/>
        </w:rPr>
      </w:pPr>
      <w:hyperlink w:anchor="_Toc56583772" w:history="1">
        <w:r w:rsidR="00AA051B" w:rsidRPr="00AA051B">
          <w:rPr>
            <w:rStyle w:val="Hyperlink"/>
          </w:rPr>
          <w:t>Table 3:11:Trend of Emissions by Gas for AFOLU (Gg CO2 eq.)</w:t>
        </w:r>
        <w:r w:rsidR="00AA051B" w:rsidRPr="00AA051B">
          <w:rPr>
            <w:webHidden/>
          </w:rPr>
          <w:tab/>
        </w:r>
        <w:r w:rsidR="00AA051B" w:rsidRPr="00AA051B">
          <w:rPr>
            <w:webHidden/>
          </w:rPr>
          <w:fldChar w:fldCharType="begin"/>
        </w:r>
        <w:r w:rsidR="00AA051B" w:rsidRPr="00AA051B">
          <w:rPr>
            <w:webHidden/>
          </w:rPr>
          <w:instrText xml:space="preserve"> PAGEREF _Toc56583772 \h </w:instrText>
        </w:r>
        <w:r w:rsidR="00AA051B" w:rsidRPr="00AA051B">
          <w:rPr>
            <w:webHidden/>
          </w:rPr>
        </w:r>
        <w:r w:rsidR="00AA051B" w:rsidRPr="00AA051B">
          <w:rPr>
            <w:webHidden/>
          </w:rPr>
          <w:fldChar w:fldCharType="separate"/>
        </w:r>
        <w:r w:rsidR="00AA051B" w:rsidRPr="00AA051B">
          <w:rPr>
            <w:webHidden/>
          </w:rPr>
          <w:t>66</w:t>
        </w:r>
        <w:r w:rsidR="00AA051B" w:rsidRPr="00AA051B">
          <w:rPr>
            <w:webHidden/>
          </w:rPr>
          <w:fldChar w:fldCharType="end"/>
        </w:r>
      </w:hyperlink>
    </w:p>
    <w:p w14:paraId="3215FC29" w14:textId="7CB2E27C" w:rsidR="00AA051B" w:rsidRPr="00AA051B" w:rsidRDefault="00317BA0" w:rsidP="00AA051B">
      <w:pPr>
        <w:pStyle w:val="TableofFigures"/>
        <w:rPr>
          <w:rFonts w:asciiTheme="minorHAnsi" w:eastAsiaTheme="minorEastAsia" w:hAnsiTheme="minorHAnsi" w:cstheme="minorBidi"/>
          <w:sz w:val="22"/>
          <w:szCs w:val="22"/>
        </w:rPr>
      </w:pPr>
      <w:hyperlink w:anchor="_Toc56583773" w:history="1">
        <w:r w:rsidR="00AA051B" w:rsidRPr="00AA051B">
          <w:rPr>
            <w:rStyle w:val="Hyperlink"/>
          </w:rPr>
          <w:t>Table 3:12:Emission removals by Forest classification</w:t>
        </w:r>
        <w:r w:rsidR="00AA051B" w:rsidRPr="00AA051B">
          <w:rPr>
            <w:webHidden/>
          </w:rPr>
          <w:tab/>
        </w:r>
        <w:r w:rsidR="00AA051B" w:rsidRPr="00AA051B">
          <w:rPr>
            <w:webHidden/>
          </w:rPr>
          <w:fldChar w:fldCharType="begin"/>
        </w:r>
        <w:r w:rsidR="00AA051B" w:rsidRPr="00AA051B">
          <w:rPr>
            <w:webHidden/>
          </w:rPr>
          <w:instrText xml:space="preserve"> PAGEREF _Toc56583773 \h </w:instrText>
        </w:r>
        <w:r w:rsidR="00AA051B" w:rsidRPr="00AA051B">
          <w:rPr>
            <w:webHidden/>
          </w:rPr>
        </w:r>
        <w:r w:rsidR="00AA051B" w:rsidRPr="00AA051B">
          <w:rPr>
            <w:webHidden/>
          </w:rPr>
          <w:fldChar w:fldCharType="separate"/>
        </w:r>
        <w:r w:rsidR="00AA051B" w:rsidRPr="00AA051B">
          <w:rPr>
            <w:webHidden/>
          </w:rPr>
          <w:t>71</w:t>
        </w:r>
        <w:r w:rsidR="00AA051B" w:rsidRPr="00AA051B">
          <w:rPr>
            <w:webHidden/>
          </w:rPr>
          <w:fldChar w:fldCharType="end"/>
        </w:r>
      </w:hyperlink>
    </w:p>
    <w:p w14:paraId="107781D2" w14:textId="69EE6BAD" w:rsidR="00AA051B" w:rsidRPr="00AA051B" w:rsidRDefault="00317BA0" w:rsidP="00AA051B">
      <w:pPr>
        <w:pStyle w:val="TableofFigures"/>
        <w:rPr>
          <w:rFonts w:asciiTheme="minorHAnsi" w:eastAsiaTheme="minorEastAsia" w:hAnsiTheme="minorHAnsi" w:cstheme="minorBidi"/>
          <w:sz w:val="22"/>
          <w:szCs w:val="22"/>
        </w:rPr>
      </w:pPr>
      <w:hyperlink w:anchor="_Toc56583774" w:history="1">
        <w:r w:rsidR="00AA051B" w:rsidRPr="00AA051B">
          <w:rPr>
            <w:rStyle w:val="Hyperlink"/>
          </w:rPr>
          <w:t>Table 3:13: Emissions from Wood removal by forest classifications (Gg CO2 eq.)</w:t>
        </w:r>
        <w:r w:rsidR="00AA051B" w:rsidRPr="00AA051B">
          <w:rPr>
            <w:webHidden/>
          </w:rPr>
          <w:tab/>
        </w:r>
        <w:r w:rsidR="00AA051B" w:rsidRPr="00AA051B">
          <w:rPr>
            <w:webHidden/>
          </w:rPr>
          <w:fldChar w:fldCharType="begin"/>
        </w:r>
        <w:r w:rsidR="00AA051B" w:rsidRPr="00AA051B">
          <w:rPr>
            <w:webHidden/>
          </w:rPr>
          <w:instrText xml:space="preserve"> PAGEREF _Toc56583774 \h </w:instrText>
        </w:r>
        <w:r w:rsidR="00AA051B" w:rsidRPr="00AA051B">
          <w:rPr>
            <w:webHidden/>
          </w:rPr>
        </w:r>
        <w:r w:rsidR="00AA051B" w:rsidRPr="00AA051B">
          <w:rPr>
            <w:webHidden/>
          </w:rPr>
          <w:fldChar w:fldCharType="separate"/>
        </w:r>
        <w:r w:rsidR="00AA051B" w:rsidRPr="00AA051B">
          <w:rPr>
            <w:webHidden/>
          </w:rPr>
          <w:t>72</w:t>
        </w:r>
        <w:r w:rsidR="00AA051B" w:rsidRPr="00AA051B">
          <w:rPr>
            <w:webHidden/>
          </w:rPr>
          <w:fldChar w:fldCharType="end"/>
        </w:r>
      </w:hyperlink>
    </w:p>
    <w:p w14:paraId="53BC0F5C" w14:textId="198D140E" w:rsidR="00AA051B" w:rsidRPr="00AA051B" w:rsidRDefault="00317BA0" w:rsidP="00AA051B">
      <w:pPr>
        <w:pStyle w:val="TableofFigures"/>
        <w:rPr>
          <w:rFonts w:asciiTheme="minorHAnsi" w:eastAsiaTheme="minorEastAsia" w:hAnsiTheme="minorHAnsi" w:cstheme="minorBidi"/>
          <w:sz w:val="22"/>
          <w:szCs w:val="22"/>
        </w:rPr>
      </w:pPr>
      <w:hyperlink w:anchor="_Toc56583775" w:history="1">
        <w:r w:rsidR="00AA051B" w:rsidRPr="00AA051B">
          <w:rPr>
            <w:rStyle w:val="Hyperlink"/>
          </w:rPr>
          <w:t>Table 3:14: Emissions from fuelwood removal by forest classifications (Gg CO2 eq.)</w:t>
        </w:r>
        <w:r w:rsidR="00AA051B" w:rsidRPr="00AA051B">
          <w:rPr>
            <w:webHidden/>
          </w:rPr>
          <w:tab/>
        </w:r>
        <w:r w:rsidR="00AA051B" w:rsidRPr="00AA051B">
          <w:rPr>
            <w:webHidden/>
          </w:rPr>
          <w:fldChar w:fldCharType="begin"/>
        </w:r>
        <w:r w:rsidR="00AA051B" w:rsidRPr="00AA051B">
          <w:rPr>
            <w:webHidden/>
          </w:rPr>
          <w:instrText xml:space="preserve"> PAGEREF _Toc56583775 \h </w:instrText>
        </w:r>
        <w:r w:rsidR="00AA051B" w:rsidRPr="00AA051B">
          <w:rPr>
            <w:webHidden/>
          </w:rPr>
        </w:r>
        <w:r w:rsidR="00AA051B" w:rsidRPr="00AA051B">
          <w:rPr>
            <w:webHidden/>
          </w:rPr>
          <w:fldChar w:fldCharType="separate"/>
        </w:r>
        <w:r w:rsidR="00AA051B" w:rsidRPr="00AA051B">
          <w:rPr>
            <w:webHidden/>
          </w:rPr>
          <w:t>74</w:t>
        </w:r>
        <w:r w:rsidR="00AA051B" w:rsidRPr="00AA051B">
          <w:rPr>
            <w:webHidden/>
          </w:rPr>
          <w:fldChar w:fldCharType="end"/>
        </w:r>
      </w:hyperlink>
    </w:p>
    <w:p w14:paraId="70A60D7E" w14:textId="20599A8D" w:rsidR="00AA051B" w:rsidRPr="00AA051B" w:rsidRDefault="00317BA0" w:rsidP="00AA051B">
      <w:pPr>
        <w:pStyle w:val="TableofFigures"/>
        <w:rPr>
          <w:rFonts w:asciiTheme="minorHAnsi" w:eastAsiaTheme="minorEastAsia" w:hAnsiTheme="minorHAnsi" w:cstheme="minorBidi"/>
          <w:sz w:val="22"/>
          <w:szCs w:val="22"/>
        </w:rPr>
      </w:pPr>
      <w:hyperlink w:anchor="_Toc56583776" w:history="1">
        <w:r w:rsidR="00AA051B" w:rsidRPr="00AA051B">
          <w:rPr>
            <w:rStyle w:val="Hyperlink"/>
          </w:rPr>
          <w:t>Table 3:15:Precursor gas emissions from Domestic waste water treatment and discharge-4.D.1 (Gg)</w:t>
        </w:r>
        <w:r w:rsidR="00AA051B" w:rsidRPr="00AA051B">
          <w:rPr>
            <w:webHidden/>
          </w:rPr>
          <w:tab/>
        </w:r>
        <w:r w:rsidR="00AA051B" w:rsidRPr="00AA051B">
          <w:rPr>
            <w:webHidden/>
          </w:rPr>
          <w:fldChar w:fldCharType="begin"/>
        </w:r>
        <w:r w:rsidR="00AA051B" w:rsidRPr="00AA051B">
          <w:rPr>
            <w:webHidden/>
          </w:rPr>
          <w:instrText xml:space="preserve"> PAGEREF _Toc56583776 \h </w:instrText>
        </w:r>
        <w:r w:rsidR="00AA051B" w:rsidRPr="00AA051B">
          <w:rPr>
            <w:webHidden/>
          </w:rPr>
        </w:r>
        <w:r w:rsidR="00AA051B" w:rsidRPr="00AA051B">
          <w:rPr>
            <w:webHidden/>
          </w:rPr>
          <w:fldChar w:fldCharType="separate"/>
        </w:r>
        <w:r w:rsidR="00AA051B" w:rsidRPr="00AA051B">
          <w:rPr>
            <w:webHidden/>
          </w:rPr>
          <w:t>86</w:t>
        </w:r>
        <w:r w:rsidR="00AA051B" w:rsidRPr="00AA051B">
          <w:rPr>
            <w:webHidden/>
          </w:rPr>
          <w:fldChar w:fldCharType="end"/>
        </w:r>
      </w:hyperlink>
    </w:p>
    <w:p w14:paraId="2D608925" w14:textId="6543DEE6" w:rsidR="00AA051B" w:rsidRPr="00AA051B" w:rsidRDefault="00317BA0" w:rsidP="00AA051B">
      <w:pPr>
        <w:pStyle w:val="TableofFigures"/>
        <w:rPr>
          <w:rFonts w:asciiTheme="minorHAnsi" w:eastAsiaTheme="minorEastAsia" w:hAnsiTheme="minorHAnsi" w:cstheme="minorBidi"/>
          <w:sz w:val="22"/>
          <w:szCs w:val="22"/>
        </w:rPr>
      </w:pPr>
      <w:hyperlink w:anchor="_Toc56583777" w:history="1">
        <w:r w:rsidR="00AA051B" w:rsidRPr="00AA051B">
          <w:rPr>
            <w:rStyle w:val="Hyperlink"/>
          </w:rPr>
          <w:t>Table 4:1:GDP for Zambia</w:t>
        </w:r>
        <w:r w:rsidR="00AA051B" w:rsidRPr="00AA051B">
          <w:rPr>
            <w:webHidden/>
          </w:rPr>
          <w:tab/>
        </w:r>
        <w:r w:rsidR="00AA051B" w:rsidRPr="00AA051B">
          <w:rPr>
            <w:webHidden/>
          </w:rPr>
          <w:fldChar w:fldCharType="begin"/>
        </w:r>
        <w:r w:rsidR="00AA051B" w:rsidRPr="00AA051B">
          <w:rPr>
            <w:webHidden/>
          </w:rPr>
          <w:instrText xml:space="preserve"> PAGEREF _Toc56583777 \h </w:instrText>
        </w:r>
        <w:r w:rsidR="00AA051B" w:rsidRPr="00AA051B">
          <w:rPr>
            <w:webHidden/>
          </w:rPr>
        </w:r>
        <w:r w:rsidR="00AA051B" w:rsidRPr="00AA051B">
          <w:rPr>
            <w:webHidden/>
          </w:rPr>
          <w:fldChar w:fldCharType="separate"/>
        </w:r>
        <w:r w:rsidR="00AA051B" w:rsidRPr="00AA051B">
          <w:rPr>
            <w:webHidden/>
          </w:rPr>
          <w:t>100</w:t>
        </w:r>
        <w:r w:rsidR="00AA051B" w:rsidRPr="00AA051B">
          <w:rPr>
            <w:webHidden/>
          </w:rPr>
          <w:fldChar w:fldCharType="end"/>
        </w:r>
      </w:hyperlink>
    </w:p>
    <w:p w14:paraId="6B7A1958" w14:textId="7F64F394" w:rsidR="00AA051B" w:rsidRPr="00AA051B" w:rsidRDefault="00317BA0" w:rsidP="00AA051B">
      <w:pPr>
        <w:pStyle w:val="TableofFigures"/>
        <w:rPr>
          <w:rFonts w:asciiTheme="minorHAnsi" w:eastAsiaTheme="minorEastAsia" w:hAnsiTheme="minorHAnsi" w:cstheme="minorBidi"/>
          <w:sz w:val="22"/>
          <w:szCs w:val="22"/>
        </w:rPr>
      </w:pPr>
      <w:hyperlink w:anchor="_Toc56583778" w:history="1">
        <w:r w:rsidR="00AA051B" w:rsidRPr="00AA051B">
          <w:rPr>
            <w:rStyle w:val="Hyperlink"/>
          </w:rPr>
          <w:t>Table 4:2:Carbon Intensity for IPPU Gg CO2 eq per 2011 PPP million $ GDP</w:t>
        </w:r>
        <w:r w:rsidR="00AA051B" w:rsidRPr="00AA051B">
          <w:rPr>
            <w:webHidden/>
          </w:rPr>
          <w:tab/>
        </w:r>
        <w:r w:rsidR="00AA051B" w:rsidRPr="00AA051B">
          <w:rPr>
            <w:webHidden/>
          </w:rPr>
          <w:fldChar w:fldCharType="begin"/>
        </w:r>
        <w:r w:rsidR="00AA051B" w:rsidRPr="00AA051B">
          <w:rPr>
            <w:webHidden/>
          </w:rPr>
          <w:instrText xml:space="preserve"> PAGEREF _Toc56583778 \h </w:instrText>
        </w:r>
        <w:r w:rsidR="00AA051B" w:rsidRPr="00AA051B">
          <w:rPr>
            <w:webHidden/>
          </w:rPr>
        </w:r>
        <w:r w:rsidR="00AA051B" w:rsidRPr="00AA051B">
          <w:rPr>
            <w:webHidden/>
          </w:rPr>
          <w:fldChar w:fldCharType="separate"/>
        </w:r>
        <w:r w:rsidR="00AA051B" w:rsidRPr="00AA051B">
          <w:rPr>
            <w:webHidden/>
          </w:rPr>
          <w:t>100</w:t>
        </w:r>
        <w:r w:rsidR="00AA051B" w:rsidRPr="00AA051B">
          <w:rPr>
            <w:webHidden/>
          </w:rPr>
          <w:fldChar w:fldCharType="end"/>
        </w:r>
      </w:hyperlink>
    </w:p>
    <w:p w14:paraId="462B3B0E" w14:textId="44BD6174" w:rsidR="00AA051B" w:rsidRPr="00AA051B" w:rsidRDefault="00317BA0" w:rsidP="00AA051B">
      <w:pPr>
        <w:pStyle w:val="TableofFigures"/>
        <w:rPr>
          <w:rFonts w:asciiTheme="minorHAnsi" w:eastAsiaTheme="minorEastAsia" w:hAnsiTheme="minorHAnsi" w:cstheme="minorBidi"/>
          <w:sz w:val="22"/>
          <w:szCs w:val="22"/>
        </w:rPr>
      </w:pPr>
      <w:hyperlink w:anchor="_Toc56583779" w:history="1">
        <w:r w:rsidR="00AA051B" w:rsidRPr="00AA051B">
          <w:rPr>
            <w:rStyle w:val="Hyperlink"/>
          </w:rPr>
          <w:t>Table 4:3: Zambia’s projected population (millions)</w:t>
        </w:r>
        <w:r w:rsidR="00AA051B" w:rsidRPr="00AA051B">
          <w:rPr>
            <w:webHidden/>
          </w:rPr>
          <w:tab/>
        </w:r>
        <w:r w:rsidR="00AA051B" w:rsidRPr="00AA051B">
          <w:rPr>
            <w:webHidden/>
          </w:rPr>
          <w:fldChar w:fldCharType="begin"/>
        </w:r>
        <w:r w:rsidR="00AA051B" w:rsidRPr="00AA051B">
          <w:rPr>
            <w:webHidden/>
          </w:rPr>
          <w:instrText xml:space="preserve"> PAGEREF _Toc56583779 \h </w:instrText>
        </w:r>
        <w:r w:rsidR="00AA051B" w:rsidRPr="00AA051B">
          <w:rPr>
            <w:webHidden/>
          </w:rPr>
        </w:r>
        <w:r w:rsidR="00AA051B" w:rsidRPr="00AA051B">
          <w:rPr>
            <w:webHidden/>
          </w:rPr>
          <w:fldChar w:fldCharType="separate"/>
        </w:r>
        <w:r w:rsidR="00AA051B" w:rsidRPr="00AA051B">
          <w:rPr>
            <w:webHidden/>
          </w:rPr>
          <w:t>100</w:t>
        </w:r>
        <w:r w:rsidR="00AA051B" w:rsidRPr="00AA051B">
          <w:rPr>
            <w:webHidden/>
          </w:rPr>
          <w:fldChar w:fldCharType="end"/>
        </w:r>
      </w:hyperlink>
    </w:p>
    <w:p w14:paraId="03856C1F" w14:textId="42978E01" w:rsidR="00AA051B" w:rsidRPr="00AA051B" w:rsidRDefault="00317BA0" w:rsidP="00AA051B">
      <w:pPr>
        <w:pStyle w:val="TableofFigures"/>
        <w:rPr>
          <w:rFonts w:asciiTheme="minorHAnsi" w:eastAsiaTheme="minorEastAsia" w:hAnsiTheme="minorHAnsi" w:cstheme="minorBidi"/>
          <w:sz w:val="22"/>
          <w:szCs w:val="22"/>
        </w:rPr>
      </w:pPr>
      <w:hyperlink w:anchor="_Toc56583780" w:history="1">
        <w:r w:rsidR="00AA051B" w:rsidRPr="00AA051B">
          <w:rPr>
            <w:rStyle w:val="Hyperlink"/>
          </w:rPr>
          <w:t>Table 4:4: Projected baseline emissions by sector (Gg CO2 eq.)</w:t>
        </w:r>
        <w:r w:rsidR="00AA051B" w:rsidRPr="00AA051B">
          <w:rPr>
            <w:webHidden/>
          </w:rPr>
          <w:tab/>
        </w:r>
        <w:r w:rsidR="00AA051B" w:rsidRPr="00AA051B">
          <w:rPr>
            <w:webHidden/>
          </w:rPr>
          <w:fldChar w:fldCharType="begin"/>
        </w:r>
        <w:r w:rsidR="00AA051B" w:rsidRPr="00AA051B">
          <w:rPr>
            <w:webHidden/>
          </w:rPr>
          <w:instrText xml:space="preserve"> PAGEREF _Toc56583780 \h </w:instrText>
        </w:r>
        <w:r w:rsidR="00AA051B" w:rsidRPr="00AA051B">
          <w:rPr>
            <w:webHidden/>
          </w:rPr>
        </w:r>
        <w:r w:rsidR="00AA051B" w:rsidRPr="00AA051B">
          <w:rPr>
            <w:webHidden/>
          </w:rPr>
          <w:fldChar w:fldCharType="separate"/>
        </w:r>
        <w:r w:rsidR="00AA051B" w:rsidRPr="00AA051B">
          <w:rPr>
            <w:webHidden/>
          </w:rPr>
          <w:t>101</w:t>
        </w:r>
        <w:r w:rsidR="00AA051B" w:rsidRPr="00AA051B">
          <w:rPr>
            <w:webHidden/>
          </w:rPr>
          <w:fldChar w:fldCharType="end"/>
        </w:r>
      </w:hyperlink>
    </w:p>
    <w:p w14:paraId="3091812F" w14:textId="243538F3" w:rsidR="00AA051B" w:rsidRPr="00AA051B" w:rsidRDefault="00317BA0" w:rsidP="00AA051B">
      <w:pPr>
        <w:pStyle w:val="TableofFigures"/>
        <w:rPr>
          <w:rFonts w:asciiTheme="minorHAnsi" w:eastAsiaTheme="minorEastAsia" w:hAnsiTheme="minorHAnsi" w:cstheme="minorBidi"/>
          <w:sz w:val="22"/>
          <w:szCs w:val="22"/>
        </w:rPr>
      </w:pPr>
      <w:hyperlink w:anchor="_Toc56583781" w:history="1">
        <w:r w:rsidR="00AA051B" w:rsidRPr="00AA051B">
          <w:rPr>
            <w:rStyle w:val="Hyperlink"/>
          </w:rPr>
          <w:t>Table 4:5:Aggregate projected national sequestration Gg CO2eq</w:t>
        </w:r>
        <w:r w:rsidR="00AA051B" w:rsidRPr="00AA051B">
          <w:rPr>
            <w:webHidden/>
          </w:rPr>
          <w:tab/>
        </w:r>
        <w:r w:rsidR="00AA051B" w:rsidRPr="00AA051B">
          <w:rPr>
            <w:webHidden/>
          </w:rPr>
          <w:fldChar w:fldCharType="begin"/>
        </w:r>
        <w:r w:rsidR="00AA051B" w:rsidRPr="00AA051B">
          <w:rPr>
            <w:webHidden/>
          </w:rPr>
          <w:instrText xml:space="preserve"> PAGEREF _Toc56583781 \h </w:instrText>
        </w:r>
        <w:r w:rsidR="00AA051B" w:rsidRPr="00AA051B">
          <w:rPr>
            <w:webHidden/>
          </w:rPr>
        </w:r>
        <w:r w:rsidR="00AA051B" w:rsidRPr="00AA051B">
          <w:rPr>
            <w:webHidden/>
          </w:rPr>
          <w:fldChar w:fldCharType="separate"/>
        </w:r>
        <w:r w:rsidR="00AA051B" w:rsidRPr="00AA051B">
          <w:rPr>
            <w:webHidden/>
          </w:rPr>
          <w:t>103</w:t>
        </w:r>
        <w:r w:rsidR="00AA051B" w:rsidRPr="00AA051B">
          <w:rPr>
            <w:webHidden/>
          </w:rPr>
          <w:fldChar w:fldCharType="end"/>
        </w:r>
      </w:hyperlink>
    </w:p>
    <w:p w14:paraId="5915AA16" w14:textId="7FB252D2" w:rsidR="00AA051B" w:rsidRPr="00AA051B" w:rsidRDefault="00317BA0" w:rsidP="00AA051B">
      <w:pPr>
        <w:pStyle w:val="TableofFigures"/>
        <w:rPr>
          <w:rFonts w:asciiTheme="minorHAnsi" w:eastAsiaTheme="minorEastAsia" w:hAnsiTheme="minorHAnsi" w:cstheme="minorBidi"/>
          <w:sz w:val="22"/>
          <w:szCs w:val="22"/>
        </w:rPr>
      </w:pPr>
      <w:hyperlink w:anchor="_Toc56583782" w:history="1">
        <w:r w:rsidR="00AA051B" w:rsidRPr="00AA051B">
          <w:rPr>
            <w:rStyle w:val="Hyperlink"/>
          </w:rPr>
          <w:t>Table 4:6:Projected annual emissions for each scenario</w:t>
        </w:r>
        <w:r w:rsidR="00AA051B" w:rsidRPr="00AA051B">
          <w:rPr>
            <w:webHidden/>
          </w:rPr>
          <w:tab/>
        </w:r>
        <w:r w:rsidR="00AA051B" w:rsidRPr="00AA051B">
          <w:rPr>
            <w:webHidden/>
          </w:rPr>
          <w:fldChar w:fldCharType="begin"/>
        </w:r>
        <w:r w:rsidR="00AA051B" w:rsidRPr="00AA051B">
          <w:rPr>
            <w:webHidden/>
          </w:rPr>
          <w:instrText xml:space="preserve"> PAGEREF _Toc56583782 \h </w:instrText>
        </w:r>
        <w:r w:rsidR="00AA051B" w:rsidRPr="00AA051B">
          <w:rPr>
            <w:webHidden/>
          </w:rPr>
        </w:r>
        <w:r w:rsidR="00AA051B" w:rsidRPr="00AA051B">
          <w:rPr>
            <w:webHidden/>
          </w:rPr>
          <w:fldChar w:fldCharType="separate"/>
        </w:r>
        <w:r w:rsidR="00AA051B" w:rsidRPr="00AA051B">
          <w:rPr>
            <w:webHidden/>
          </w:rPr>
          <w:t>103</w:t>
        </w:r>
        <w:r w:rsidR="00AA051B" w:rsidRPr="00AA051B">
          <w:rPr>
            <w:webHidden/>
          </w:rPr>
          <w:fldChar w:fldCharType="end"/>
        </w:r>
      </w:hyperlink>
    </w:p>
    <w:p w14:paraId="2F2AE8CE" w14:textId="0EFC3503" w:rsidR="00AA051B" w:rsidRPr="00AA051B" w:rsidRDefault="00317BA0" w:rsidP="00AA051B">
      <w:pPr>
        <w:pStyle w:val="TableofFigures"/>
        <w:rPr>
          <w:rFonts w:asciiTheme="minorHAnsi" w:eastAsiaTheme="minorEastAsia" w:hAnsiTheme="minorHAnsi" w:cstheme="minorBidi"/>
          <w:sz w:val="22"/>
          <w:szCs w:val="22"/>
        </w:rPr>
      </w:pPr>
      <w:hyperlink w:anchor="_Toc56583783" w:history="1">
        <w:r w:rsidR="00AA051B" w:rsidRPr="00AA051B">
          <w:rPr>
            <w:rStyle w:val="Hyperlink"/>
          </w:rPr>
          <w:t>Table 4:7:Mitigation emissions reduction with and without sequestration</w:t>
        </w:r>
        <w:r w:rsidR="00AA051B" w:rsidRPr="00AA051B">
          <w:rPr>
            <w:webHidden/>
          </w:rPr>
          <w:tab/>
        </w:r>
        <w:r w:rsidR="00AA051B" w:rsidRPr="00AA051B">
          <w:rPr>
            <w:webHidden/>
          </w:rPr>
          <w:fldChar w:fldCharType="begin"/>
        </w:r>
        <w:r w:rsidR="00AA051B" w:rsidRPr="00AA051B">
          <w:rPr>
            <w:webHidden/>
          </w:rPr>
          <w:instrText xml:space="preserve"> PAGEREF _Toc56583783 \h </w:instrText>
        </w:r>
        <w:r w:rsidR="00AA051B" w:rsidRPr="00AA051B">
          <w:rPr>
            <w:webHidden/>
          </w:rPr>
        </w:r>
        <w:r w:rsidR="00AA051B" w:rsidRPr="00AA051B">
          <w:rPr>
            <w:webHidden/>
          </w:rPr>
          <w:fldChar w:fldCharType="separate"/>
        </w:r>
        <w:r w:rsidR="00AA051B" w:rsidRPr="00AA051B">
          <w:rPr>
            <w:webHidden/>
          </w:rPr>
          <w:t>104</w:t>
        </w:r>
        <w:r w:rsidR="00AA051B" w:rsidRPr="00AA051B">
          <w:rPr>
            <w:webHidden/>
          </w:rPr>
          <w:fldChar w:fldCharType="end"/>
        </w:r>
      </w:hyperlink>
    </w:p>
    <w:p w14:paraId="1C32065F" w14:textId="11A7A963" w:rsidR="00AA051B" w:rsidRPr="00AA051B" w:rsidRDefault="00317BA0" w:rsidP="00AA051B">
      <w:pPr>
        <w:pStyle w:val="TableofFigures"/>
        <w:rPr>
          <w:rFonts w:asciiTheme="minorHAnsi" w:eastAsiaTheme="minorEastAsia" w:hAnsiTheme="minorHAnsi" w:cstheme="minorBidi"/>
          <w:sz w:val="22"/>
          <w:szCs w:val="22"/>
        </w:rPr>
      </w:pPr>
      <w:hyperlink w:anchor="_Toc56583784" w:history="1">
        <w:r w:rsidR="00AA051B" w:rsidRPr="00AA051B">
          <w:rPr>
            <w:rStyle w:val="Hyperlink"/>
          </w:rPr>
          <w:t>Table 4:8: Cumulative mitigation emissions (Gg CO2 eq.) according to three trajectories:</w:t>
        </w:r>
        <w:r w:rsidR="00AA051B" w:rsidRPr="00AA051B">
          <w:rPr>
            <w:webHidden/>
          </w:rPr>
          <w:tab/>
        </w:r>
        <w:r w:rsidR="00AA051B" w:rsidRPr="00AA051B">
          <w:rPr>
            <w:webHidden/>
          </w:rPr>
          <w:fldChar w:fldCharType="begin"/>
        </w:r>
        <w:r w:rsidR="00AA051B" w:rsidRPr="00AA051B">
          <w:rPr>
            <w:webHidden/>
          </w:rPr>
          <w:instrText xml:space="preserve"> PAGEREF _Toc56583784 \h </w:instrText>
        </w:r>
        <w:r w:rsidR="00AA051B" w:rsidRPr="00AA051B">
          <w:rPr>
            <w:webHidden/>
          </w:rPr>
        </w:r>
        <w:r w:rsidR="00AA051B" w:rsidRPr="00AA051B">
          <w:rPr>
            <w:webHidden/>
          </w:rPr>
          <w:fldChar w:fldCharType="separate"/>
        </w:r>
        <w:r w:rsidR="00AA051B" w:rsidRPr="00AA051B">
          <w:rPr>
            <w:webHidden/>
          </w:rPr>
          <w:t>105</w:t>
        </w:r>
        <w:r w:rsidR="00AA051B" w:rsidRPr="00AA051B">
          <w:rPr>
            <w:webHidden/>
          </w:rPr>
          <w:fldChar w:fldCharType="end"/>
        </w:r>
      </w:hyperlink>
    </w:p>
    <w:p w14:paraId="462B34B1" w14:textId="0C41727F" w:rsidR="00AA051B" w:rsidRPr="00AA051B" w:rsidRDefault="00317BA0" w:rsidP="00AA051B">
      <w:pPr>
        <w:pStyle w:val="TableofFigures"/>
        <w:rPr>
          <w:rFonts w:asciiTheme="minorHAnsi" w:eastAsiaTheme="minorEastAsia" w:hAnsiTheme="minorHAnsi" w:cstheme="minorBidi"/>
          <w:sz w:val="22"/>
          <w:szCs w:val="22"/>
        </w:rPr>
      </w:pPr>
      <w:hyperlink w:anchor="_Toc56583785" w:history="1">
        <w:r w:rsidR="00AA051B" w:rsidRPr="00AA051B">
          <w:rPr>
            <w:rStyle w:val="Hyperlink"/>
          </w:rPr>
          <w:t>Table 4:9:Emission reductions under energy (Gg CO2 eq.)</w:t>
        </w:r>
        <w:r w:rsidR="00AA051B" w:rsidRPr="00AA051B">
          <w:rPr>
            <w:webHidden/>
          </w:rPr>
          <w:tab/>
        </w:r>
        <w:r w:rsidR="00AA051B" w:rsidRPr="00AA051B">
          <w:rPr>
            <w:webHidden/>
          </w:rPr>
          <w:fldChar w:fldCharType="begin"/>
        </w:r>
        <w:r w:rsidR="00AA051B" w:rsidRPr="00AA051B">
          <w:rPr>
            <w:webHidden/>
          </w:rPr>
          <w:instrText xml:space="preserve"> PAGEREF _Toc56583785 \h </w:instrText>
        </w:r>
        <w:r w:rsidR="00AA051B" w:rsidRPr="00AA051B">
          <w:rPr>
            <w:webHidden/>
          </w:rPr>
        </w:r>
        <w:r w:rsidR="00AA051B" w:rsidRPr="00AA051B">
          <w:rPr>
            <w:webHidden/>
          </w:rPr>
          <w:fldChar w:fldCharType="separate"/>
        </w:r>
        <w:r w:rsidR="00AA051B" w:rsidRPr="00AA051B">
          <w:rPr>
            <w:webHidden/>
          </w:rPr>
          <w:t>106</w:t>
        </w:r>
        <w:r w:rsidR="00AA051B" w:rsidRPr="00AA051B">
          <w:rPr>
            <w:webHidden/>
          </w:rPr>
          <w:fldChar w:fldCharType="end"/>
        </w:r>
      </w:hyperlink>
    </w:p>
    <w:p w14:paraId="02913D66" w14:textId="48316737" w:rsidR="00AA051B" w:rsidRPr="00AA051B" w:rsidRDefault="00317BA0" w:rsidP="00AA051B">
      <w:pPr>
        <w:pStyle w:val="TableofFigures"/>
        <w:rPr>
          <w:rFonts w:asciiTheme="minorHAnsi" w:eastAsiaTheme="minorEastAsia" w:hAnsiTheme="minorHAnsi" w:cstheme="minorBidi"/>
          <w:sz w:val="22"/>
          <w:szCs w:val="22"/>
        </w:rPr>
      </w:pPr>
      <w:hyperlink w:anchor="_Toc56583786" w:history="1">
        <w:r w:rsidR="00AA051B" w:rsidRPr="00AA051B">
          <w:rPr>
            <w:rStyle w:val="Hyperlink"/>
          </w:rPr>
          <w:t>Table 4:10:Electrification emissions</w:t>
        </w:r>
        <w:r w:rsidR="00AA051B" w:rsidRPr="00AA051B">
          <w:rPr>
            <w:webHidden/>
          </w:rPr>
          <w:tab/>
        </w:r>
        <w:r w:rsidR="00AA051B" w:rsidRPr="00AA051B">
          <w:rPr>
            <w:webHidden/>
          </w:rPr>
          <w:fldChar w:fldCharType="begin"/>
        </w:r>
        <w:r w:rsidR="00AA051B" w:rsidRPr="00AA051B">
          <w:rPr>
            <w:webHidden/>
          </w:rPr>
          <w:instrText xml:space="preserve"> PAGEREF _Toc56583786 \h </w:instrText>
        </w:r>
        <w:r w:rsidR="00AA051B" w:rsidRPr="00AA051B">
          <w:rPr>
            <w:webHidden/>
          </w:rPr>
        </w:r>
        <w:r w:rsidR="00AA051B" w:rsidRPr="00AA051B">
          <w:rPr>
            <w:webHidden/>
          </w:rPr>
          <w:fldChar w:fldCharType="separate"/>
        </w:r>
        <w:r w:rsidR="00AA051B" w:rsidRPr="00AA051B">
          <w:rPr>
            <w:webHidden/>
          </w:rPr>
          <w:t>108</w:t>
        </w:r>
        <w:r w:rsidR="00AA051B" w:rsidRPr="00AA051B">
          <w:rPr>
            <w:webHidden/>
          </w:rPr>
          <w:fldChar w:fldCharType="end"/>
        </w:r>
      </w:hyperlink>
    </w:p>
    <w:p w14:paraId="18ED3664" w14:textId="3EFBEF26" w:rsidR="00AA051B" w:rsidRPr="00AA051B" w:rsidRDefault="00317BA0" w:rsidP="00AA051B">
      <w:pPr>
        <w:pStyle w:val="TableofFigures"/>
        <w:rPr>
          <w:rFonts w:asciiTheme="minorHAnsi" w:eastAsiaTheme="minorEastAsia" w:hAnsiTheme="minorHAnsi" w:cstheme="minorBidi"/>
          <w:sz w:val="22"/>
          <w:szCs w:val="22"/>
        </w:rPr>
      </w:pPr>
      <w:hyperlink w:anchor="_Toc56583787" w:history="1">
        <w:r w:rsidR="00AA051B" w:rsidRPr="00AA051B">
          <w:rPr>
            <w:rStyle w:val="Hyperlink"/>
          </w:rPr>
          <w:t>Table 4:11:Mitigation action-electrification</w:t>
        </w:r>
        <w:r w:rsidR="00AA051B" w:rsidRPr="00AA051B">
          <w:rPr>
            <w:webHidden/>
          </w:rPr>
          <w:tab/>
        </w:r>
        <w:r w:rsidR="00AA051B" w:rsidRPr="00AA051B">
          <w:rPr>
            <w:webHidden/>
          </w:rPr>
          <w:fldChar w:fldCharType="begin"/>
        </w:r>
        <w:r w:rsidR="00AA051B" w:rsidRPr="00AA051B">
          <w:rPr>
            <w:webHidden/>
          </w:rPr>
          <w:instrText xml:space="preserve"> PAGEREF _Toc56583787 \h </w:instrText>
        </w:r>
        <w:r w:rsidR="00AA051B" w:rsidRPr="00AA051B">
          <w:rPr>
            <w:webHidden/>
          </w:rPr>
        </w:r>
        <w:r w:rsidR="00AA051B" w:rsidRPr="00AA051B">
          <w:rPr>
            <w:webHidden/>
          </w:rPr>
          <w:fldChar w:fldCharType="separate"/>
        </w:r>
        <w:r w:rsidR="00AA051B" w:rsidRPr="00AA051B">
          <w:rPr>
            <w:webHidden/>
          </w:rPr>
          <w:t>109</w:t>
        </w:r>
        <w:r w:rsidR="00AA051B" w:rsidRPr="00AA051B">
          <w:rPr>
            <w:webHidden/>
          </w:rPr>
          <w:fldChar w:fldCharType="end"/>
        </w:r>
      </w:hyperlink>
    </w:p>
    <w:p w14:paraId="5F4C66FB" w14:textId="7EA28484" w:rsidR="00AA051B" w:rsidRPr="00AA051B" w:rsidRDefault="00317BA0" w:rsidP="00AA051B">
      <w:pPr>
        <w:pStyle w:val="TableofFigures"/>
        <w:rPr>
          <w:rFonts w:asciiTheme="minorHAnsi" w:eastAsiaTheme="minorEastAsia" w:hAnsiTheme="minorHAnsi" w:cstheme="minorBidi"/>
          <w:sz w:val="22"/>
          <w:szCs w:val="22"/>
        </w:rPr>
      </w:pPr>
      <w:hyperlink w:anchor="_Toc56583788" w:history="1">
        <w:r w:rsidR="00AA051B" w:rsidRPr="00AA051B">
          <w:rPr>
            <w:rStyle w:val="Hyperlink"/>
          </w:rPr>
          <w:t>Table 4:12:Key parameters and assumptions used in emission reduction estimates</w:t>
        </w:r>
        <w:r w:rsidR="00AA051B" w:rsidRPr="00AA051B">
          <w:rPr>
            <w:webHidden/>
          </w:rPr>
          <w:tab/>
        </w:r>
        <w:r w:rsidR="00AA051B" w:rsidRPr="00AA051B">
          <w:rPr>
            <w:webHidden/>
          </w:rPr>
          <w:fldChar w:fldCharType="begin"/>
        </w:r>
        <w:r w:rsidR="00AA051B" w:rsidRPr="00AA051B">
          <w:rPr>
            <w:webHidden/>
          </w:rPr>
          <w:instrText xml:space="preserve"> PAGEREF _Toc56583788 \h </w:instrText>
        </w:r>
        <w:r w:rsidR="00AA051B" w:rsidRPr="00AA051B">
          <w:rPr>
            <w:webHidden/>
          </w:rPr>
        </w:r>
        <w:r w:rsidR="00AA051B" w:rsidRPr="00AA051B">
          <w:rPr>
            <w:webHidden/>
          </w:rPr>
          <w:fldChar w:fldCharType="separate"/>
        </w:r>
        <w:r w:rsidR="00AA051B" w:rsidRPr="00AA051B">
          <w:rPr>
            <w:webHidden/>
          </w:rPr>
          <w:t>110</w:t>
        </w:r>
        <w:r w:rsidR="00AA051B" w:rsidRPr="00AA051B">
          <w:rPr>
            <w:webHidden/>
          </w:rPr>
          <w:fldChar w:fldCharType="end"/>
        </w:r>
      </w:hyperlink>
    </w:p>
    <w:p w14:paraId="1117950F" w14:textId="630988B9" w:rsidR="00AA051B" w:rsidRPr="00AA051B" w:rsidRDefault="00317BA0" w:rsidP="00AA051B">
      <w:pPr>
        <w:pStyle w:val="TableofFigures"/>
        <w:rPr>
          <w:rFonts w:asciiTheme="minorHAnsi" w:eastAsiaTheme="minorEastAsia" w:hAnsiTheme="minorHAnsi" w:cstheme="minorBidi"/>
          <w:sz w:val="22"/>
          <w:szCs w:val="22"/>
        </w:rPr>
      </w:pPr>
      <w:hyperlink w:anchor="_Toc56583789" w:history="1">
        <w:r w:rsidR="00AA051B" w:rsidRPr="00AA051B">
          <w:rPr>
            <w:rStyle w:val="Hyperlink"/>
          </w:rPr>
          <w:t>Table 4:13:Additional parameters and assumption</w:t>
        </w:r>
        <w:r w:rsidR="00AA051B" w:rsidRPr="00AA051B">
          <w:rPr>
            <w:webHidden/>
          </w:rPr>
          <w:tab/>
        </w:r>
        <w:r w:rsidR="00AA051B" w:rsidRPr="00AA051B">
          <w:rPr>
            <w:webHidden/>
          </w:rPr>
          <w:fldChar w:fldCharType="begin"/>
        </w:r>
        <w:r w:rsidR="00AA051B" w:rsidRPr="00AA051B">
          <w:rPr>
            <w:webHidden/>
          </w:rPr>
          <w:instrText xml:space="preserve"> PAGEREF _Toc56583789 \h </w:instrText>
        </w:r>
        <w:r w:rsidR="00AA051B" w:rsidRPr="00AA051B">
          <w:rPr>
            <w:webHidden/>
          </w:rPr>
        </w:r>
        <w:r w:rsidR="00AA051B" w:rsidRPr="00AA051B">
          <w:rPr>
            <w:webHidden/>
          </w:rPr>
          <w:fldChar w:fldCharType="separate"/>
        </w:r>
        <w:r w:rsidR="00AA051B" w:rsidRPr="00AA051B">
          <w:rPr>
            <w:webHidden/>
          </w:rPr>
          <w:t>111</w:t>
        </w:r>
        <w:r w:rsidR="00AA051B" w:rsidRPr="00AA051B">
          <w:rPr>
            <w:webHidden/>
          </w:rPr>
          <w:fldChar w:fldCharType="end"/>
        </w:r>
      </w:hyperlink>
    </w:p>
    <w:p w14:paraId="50BE2D2D" w14:textId="6D0FD721" w:rsidR="00AA051B" w:rsidRPr="00AA051B" w:rsidRDefault="00317BA0" w:rsidP="00AA051B">
      <w:pPr>
        <w:pStyle w:val="TableofFigures"/>
        <w:rPr>
          <w:rFonts w:asciiTheme="minorHAnsi" w:eastAsiaTheme="minorEastAsia" w:hAnsiTheme="minorHAnsi" w:cstheme="minorBidi"/>
          <w:sz w:val="22"/>
          <w:szCs w:val="22"/>
        </w:rPr>
      </w:pPr>
      <w:hyperlink w:anchor="_Toc56583790" w:history="1">
        <w:r w:rsidR="00AA051B" w:rsidRPr="00AA051B">
          <w:rPr>
            <w:rStyle w:val="Hyperlink"/>
          </w:rPr>
          <w:t>Table 4:14: Projected number of households</w:t>
        </w:r>
        <w:r w:rsidR="00AA051B" w:rsidRPr="00AA051B">
          <w:rPr>
            <w:webHidden/>
          </w:rPr>
          <w:tab/>
        </w:r>
        <w:r w:rsidR="00AA051B" w:rsidRPr="00AA051B">
          <w:rPr>
            <w:webHidden/>
          </w:rPr>
          <w:fldChar w:fldCharType="begin"/>
        </w:r>
        <w:r w:rsidR="00AA051B" w:rsidRPr="00AA051B">
          <w:rPr>
            <w:webHidden/>
          </w:rPr>
          <w:instrText xml:space="preserve"> PAGEREF _Toc56583790 \h </w:instrText>
        </w:r>
        <w:r w:rsidR="00AA051B" w:rsidRPr="00AA051B">
          <w:rPr>
            <w:webHidden/>
          </w:rPr>
        </w:r>
        <w:r w:rsidR="00AA051B" w:rsidRPr="00AA051B">
          <w:rPr>
            <w:webHidden/>
          </w:rPr>
          <w:fldChar w:fldCharType="separate"/>
        </w:r>
        <w:r w:rsidR="00AA051B" w:rsidRPr="00AA051B">
          <w:rPr>
            <w:webHidden/>
          </w:rPr>
          <w:t>111</w:t>
        </w:r>
        <w:r w:rsidR="00AA051B" w:rsidRPr="00AA051B">
          <w:rPr>
            <w:webHidden/>
          </w:rPr>
          <w:fldChar w:fldCharType="end"/>
        </w:r>
      </w:hyperlink>
    </w:p>
    <w:p w14:paraId="2AD7F130" w14:textId="39F89461" w:rsidR="00AA051B" w:rsidRPr="00AA051B" w:rsidRDefault="00317BA0" w:rsidP="00AA051B">
      <w:pPr>
        <w:pStyle w:val="TableofFigures"/>
        <w:rPr>
          <w:rFonts w:asciiTheme="minorHAnsi" w:eastAsiaTheme="minorEastAsia" w:hAnsiTheme="minorHAnsi" w:cstheme="minorBidi"/>
          <w:sz w:val="22"/>
          <w:szCs w:val="22"/>
        </w:rPr>
      </w:pPr>
      <w:hyperlink w:anchor="_Toc56583791" w:history="1">
        <w:r w:rsidR="00AA051B" w:rsidRPr="00AA051B">
          <w:rPr>
            <w:rStyle w:val="Hyperlink"/>
          </w:rPr>
          <w:t>Table 4:15:GHG emissions reductions under Solar PV Utility scale-Gg CO2 eq</w:t>
        </w:r>
        <w:r w:rsidR="00AA051B" w:rsidRPr="00AA051B">
          <w:rPr>
            <w:rStyle w:val="Hyperlink"/>
            <w:rFonts w:eastAsia="Calibri"/>
          </w:rPr>
          <w:t>.</w:t>
        </w:r>
        <w:r w:rsidR="00AA051B" w:rsidRPr="00AA051B">
          <w:rPr>
            <w:webHidden/>
          </w:rPr>
          <w:tab/>
        </w:r>
        <w:r w:rsidR="00AA051B" w:rsidRPr="00AA051B">
          <w:rPr>
            <w:webHidden/>
          </w:rPr>
          <w:fldChar w:fldCharType="begin"/>
        </w:r>
        <w:r w:rsidR="00AA051B" w:rsidRPr="00AA051B">
          <w:rPr>
            <w:webHidden/>
          </w:rPr>
          <w:instrText xml:space="preserve"> PAGEREF _Toc56583791 \h </w:instrText>
        </w:r>
        <w:r w:rsidR="00AA051B" w:rsidRPr="00AA051B">
          <w:rPr>
            <w:webHidden/>
          </w:rPr>
        </w:r>
        <w:r w:rsidR="00AA051B" w:rsidRPr="00AA051B">
          <w:rPr>
            <w:webHidden/>
          </w:rPr>
          <w:fldChar w:fldCharType="separate"/>
        </w:r>
        <w:r w:rsidR="00AA051B" w:rsidRPr="00AA051B">
          <w:rPr>
            <w:webHidden/>
          </w:rPr>
          <w:t>112</w:t>
        </w:r>
        <w:r w:rsidR="00AA051B" w:rsidRPr="00AA051B">
          <w:rPr>
            <w:webHidden/>
          </w:rPr>
          <w:fldChar w:fldCharType="end"/>
        </w:r>
      </w:hyperlink>
    </w:p>
    <w:p w14:paraId="394C901C" w14:textId="4A49D377" w:rsidR="00AA051B" w:rsidRPr="00AA051B" w:rsidRDefault="00317BA0" w:rsidP="00AA051B">
      <w:pPr>
        <w:pStyle w:val="TableofFigures"/>
        <w:rPr>
          <w:rFonts w:asciiTheme="minorHAnsi" w:eastAsiaTheme="minorEastAsia" w:hAnsiTheme="minorHAnsi" w:cstheme="minorBidi"/>
          <w:sz w:val="22"/>
          <w:szCs w:val="22"/>
        </w:rPr>
      </w:pPr>
      <w:hyperlink w:anchor="_Toc56583792" w:history="1">
        <w:r w:rsidR="00AA051B" w:rsidRPr="00AA051B">
          <w:rPr>
            <w:rStyle w:val="Hyperlink"/>
          </w:rPr>
          <w:t>Table 4:16:Mitigation actions on solar PV utility scale</w:t>
        </w:r>
        <w:r w:rsidR="00AA051B" w:rsidRPr="00AA051B">
          <w:rPr>
            <w:webHidden/>
          </w:rPr>
          <w:tab/>
        </w:r>
        <w:r w:rsidR="00AA051B" w:rsidRPr="00AA051B">
          <w:rPr>
            <w:webHidden/>
          </w:rPr>
          <w:fldChar w:fldCharType="begin"/>
        </w:r>
        <w:r w:rsidR="00AA051B" w:rsidRPr="00AA051B">
          <w:rPr>
            <w:webHidden/>
          </w:rPr>
          <w:instrText xml:space="preserve"> PAGEREF _Toc56583792 \h </w:instrText>
        </w:r>
        <w:r w:rsidR="00AA051B" w:rsidRPr="00AA051B">
          <w:rPr>
            <w:webHidden/>
          </w:rPr>
        </w:r>
        <w:r w:rsidR="00AA051B" w:rsidRPr="00AA051B">
          <w:rPr>
            <w:webHidden/>
          </w:rPr>
          <w:fldChar w:fldCharType="separate"/>
        </w:r>
        <w:r w:rsidR="00AA051B" w:rsidRPr="00AA051B">
          <w:rPr>
            <w:webHidden/>
          </w:rPr>
          <w:t>114</w:t>
        </w:r>
        <w:r w:rsidR="00AA051B" w:rsidRPr="00AA051B">
          <w:rPr>
            <w:webHidden/>
          </w:rPr>
          <w:fldChar w:fldCharType="end"/>
        </w:r>
      </w:hyperlink>
    </w:p>
    <w:p w14:paraId="49415B90" w14:textId="16ACF60A" w:rsidR="00AA051B" w:rsidRPr="00AA051B" w:rsidRDefault="00317BA0" w:rsidP="00AA051B">
      <w:pPr>
        <w:pStyle w:val="TableofFigures"/>
        <w:rPr>
          <w:rFonts w:asciiTheme="minorHAnsi" w:eastAsiaTheme="minorEastAsia" w:hAnsiTheme="minorHAnsi" w:cstheme="minorBidi"/>
          <w:sz w:val="22"/>
          <w:szCs w:val="22"/>
        </w:rPr>
      </w:pPr>
      <w:hyperlink w:anchor="_Toc56583793" w:history="1">
        <w:r w:rsidR="00AA051B" w:rsidRPr="00AA051B">
          <w:rPr>
            <w:rStyle w:val="Hyperlink"/>
          </w:rPr>
          <w:t>Table 4:17:Emission reduction potential Gg CO2 eq. for Solar Home Systems</w:t>
        </w:r>
        <w:r w:rsidR="00AA051B" w:rsidRPr="00AA051B">
          <w:rPr>
            <w:webHidden/>
          </w:rPr>
          <w:tab/>
        </w:r>
        <w:r w:rsidR="00AA051B" w:rsidRPr="00AA051B">
          <w:rPr>
            <w:webHidden/>
          </w:rPr>
          <w:fldChar w:fldCharType="begin"/>
        </w:r>
        <w:r w:rsidR="00AA051B" w:rsidRPr="00AA051B">
          <w:rPr>
            <w:webHidden/>
          </w:rPr>
          <w:instrText xml:space="preserve"> PAGEREF _Toc56583793 \h </w:instrText>
        </w:r>
        <w:r w:rsidR="00AA051B" w:rsidRPr="00AA051B">
          <w:rPr>
            <w:webHidden/>
          </w:rPr>
        </w:r>
        <w:r w:rsidR="00AA051B" w:rsidRPr="00AA051B">
          <w:rPr>
            <w:webHidden/>
          </w:rPr>
          <w:fldChar w:fldCharType="separate"/>
        </w:r>
        <w:r w:rsidR="00AA051B" w:rsidRPr="00AA051B">
          <w:rPr>
            <w:webHidden/>
          </w:rPr>
          <w:t>118</w:t>
        </w:r>
        <w:r w:rsidR="00AA051B" w:rsidRPr="00AA051B">
          <w:rPr>
            <w:webHidden/>
          </w:rPr>
          <w:fldChar w:fldCharType="end"/>
        </w:r>
      </w:hyperlink>
    </w:p>
    <w:p w14:paraId="6B627189" w14:textId="58F84364" w:rsidR="00AA051B" w:rsidRPr="00AA051B" w:rsidRDefault="00317BA0" w:rsidP="00AA051B">
      <w:pPr>
        <w:pStyle w:val="TableofFigures"/>
        <w:rPr>
          <w:rFonts w:asciiTheme="minorHAnsi" w:eastAsiaTheme="minorEastAsia" w:hAnsiTheme="minorHAnsi" w:cstheme="minorBidi"/>
          <w:sz w:val="22"/>
          <w:szCs w:val="22"/>
        </w:rPr>
      </w:pPr>
      <w:hyperlink w:anchor="_Toc56583794" w:history="1">
        <w:r w:rsidR="00AA051B" w:rsidRPr="00AA051B">
          <w:rPr>
            <w:rStyle w:val="Hyperlink"/>
          </w:rPr>
          <w:t>Table 4:18:Solar Homes systems</w:t>
        </w:r>
        <w:r w:rsidR="00AA051B" w:rsidRPr="00AA051B">
          <w:rPr>
            <w:webHidden/>
          </w:rPr>
          <w:tab/>
        </w:r>
        <w:r w:rsidR="00AA051B" w:rsidRPr="00AA051B">
          <w:rPr>
            <w:webHidden/>
          </w:rPr>
          <w:fldChar w:fldCharType="begin"/>
        </w:r>
        <w:r w:rsidR="00AA051B" w:rsidRPr="00AA051B">
          <w:rPr>
            <w:webHidden/>
          </w:rPr>
          <w:instrText xml:space="preserve"> PAGEREF _Toc56583794 \h </w:instrText>
        </w:r>
        <w:r w:rsidR="00AA051B" w:rsidRPr="00AA051B">
          <w:rPr>
            <w:webHidden/>
          </w:rPr>
        </w:r>
        <w:r w:rsidR="00AA051B" w:rsidRPr="00AA051B">
          <w:rPr>
            <w:webHidden/>
          </w:rPr>
          <w:fldChar w:fldCharType="separate"/>
        </w:r>
        <w:r w:rsidR="00AA051B" w:rsidRPr="00AA051B">
          <w:rPr>
            <w:webHidden/>
          </w:rPr>
          <w:t>118</w:t>
        </w:r>
        <w:r w:rsidR="00AA051B" w:rsidRPr="00AA051B">
          <w:rPr>
            <w:webHidden/>
          </w:rPr>
          <w:fldChar w:fldCharType="end"/>
        </w:r>
      </w:hyperlink>
    </w:p>
    <w:p w14:paraId="3AAA86E3" w14:textId="2A07A0B2" w:rsidR="00AA051B" w:rsidRPr="00AA051B" w:rsidRDefault="00317BA0" w:rsidP="00AA051B">
      <w:pPr>
        <w:pStyle w:val="TableofFigures"/>
        <w:rPr>
          <w:rFonts w:asciiTheme="minorHAnsi" w:eastAsiaTheme="minorEastAsia" w:hAnsiTheme="minorHAnsi" w:cstheme="minorBidi"/>
          <w:sz w:val="22"/>
          <w:szCs w:val="22"/>
        </w:rPr>
      </w:pPr>
      <w:hyperlink w:anchor="_Toc56583795" w:history="1">
        <w:r w:rsidR="00AA051B" w:rsidRPr="00AA051B">
          <w:rPr>
            <w:rStyle w:val="Hyperlink"/>
          </w:rPr>
          <w:t>Table 4:19:Mitigation Action-Solar home systems</w:t>
        </w:r>
        <w:r w:rsidR="00AA051B" w:rsidRPr="00AA051B">
          <w:rPr>
            <w:webHidden/>
          </w:rPr>
          <w:tab/>
        </w:r>
        <w:r w:rsidR="00AA051B" w:rsidRPr="00AA051B">
          <w:rPr>
            <w:webHidden/>
          </w:rPr>
          <w:fldChar w:fldCharType="begin"/>
        </w:r>
        <w:r w:rsidR="00AA051B" w:rsidRPr="00AA051B">
          <w:rPr>
            <w:webHidden/>
          </w:rPr>
          <w:instrText xml:space="preserve"> PAGEREF _Toc56583795 \h </w:instrText>
        </w:r>
        <w:r w:rsidR="00AA051B" w:rsidRPr="00AA051B">
          <w:rPr>
            <w:webHidden/>
          </w:rPr>
        </w:r>
        <w:r w:rsidR="00AA051B" w:rsidRPr="00AA051B">
          <w:rPr>
            <w:webHidden/>
          </w:rPr>
          <w:fldChar w:fldCharType="separate"/>
        </w:r>
        <w:r w:rsidR="00AA051B" w:rsidRPr="00AA051B">
          <w:rPr>
            <w:webHidden/>
          </w:rPr>
          <w:t>120</w:t>
        </w:r>
        <w:r w:rsidR="00AA051B" w:rsidRPr="00AA051B">
          <w:rPr>
            <w:webHidden/>
          </w:rPr>
          <w:fldChar w:fldCharType="end"/>
        </w:r>
      </w:hyperlink>
    </w:p>
    <w:p w14:paraId="3B057E85" w14:textId="2263157B" w:rsidR="00AA051B" w:rsidRPr="00AA051B" w:rsidRDefault="00317BA0" w:rsidP="00AA051B">
      <w:pPr>
        <w:pStyle w:val="TableofFigures"/>
        <w:rPr>
          <w:rFonts w:asciiTheme="minorHAnsi" w:eastAsiaTheme="minorEastAsia" w:hAnsiTheme="minorHAnsi" w:cstheme="minorBidi"/>
          <w:sz w:val="22"/>
          <w:szCs w:val="22"/>
        </w:rPr>
      </w:pPr>
      <w:hyperlink w:anchor="_Toc56583796" w:history="1">
        <w:r w:rsidR="00AA051B" w:rsidRPr="00AA051B">
          <w:rPr>
            <w:rStyle w:val="Hyperlink"/>
          </w:rPr>
          <w:t>Table 4:20:Emission reduction potential for off-grid small hydro (Gg CO2 eq.)</w:t>
        </w:r>
        <w:r w:rsidR="00AA051B" w:rsidRPr="00AA051B">
          <w:rPr>
            <w:webHidden/>
          </w:rPr>
          <w:tab/>
        </w:r>
        <w:r w:rsidR="00AA051B" w:rsidRPr="00AA051B">
          <w:rPr>
            <w:webHidden/>
          </w:rPr>
          <w:fldChar w:fldCharType="begin"/>
        </w:r>
        <w:r w:rsidR="00AA051B" w:rsidRPr="00AA051B">
          <w:rPr>
            <w:webHidden/>
          </w:rPr>
          <w:instrText xml:space="preserve"> PAGEREF _Toc56583796 \h </w:instrText>
        </w:r>
        <w:r w:rsidR="00AA051B" w:rsidRPr="00AA051B">
          <w:rPr>
            <w:webHidden/>
          </w:rPr>
        </w:r>
        <w:r w:rsidR="00AA051B" w:rsidRPr="00AA051B">
          <w:rPr>
            <w:webHidden/>
          </w:rPr>
          <w:fldChar w:fldCharType="separate"/>
        </w:r>
        <w:r w:rsidR="00AA051B" w:rsidRPr="00AA051B">
          <w:rPr>
            <w:webHidden/>
          </w:rPr>
          <w:t>122</w:t>
        </w:r>
        <w:r w:rsidR="00AA051B" w:rsidRPr="00AA051B">
          <w:rPr>
            <w:webHidden/>
          </w:rPr>
          <w:fldChar w:fldCharType="end"/>
        </w:r>
      </w:hyperlink>
    </w:p>
    <w:p w14:paraId="5CD375CD" w14:textId="2C3F0627" w:rsidR="00AA051B" w:rsidRPr="00AA051B" w:rsidRDefault="00317BA0" w:rsidP="00AA051B">
      <w:pPr>
        <w:pStyle w:val="TableofFigures"/>
        <w:rPr>
          <w:rFonts w:asciiTheme="minorHAnsi" w:eastAsiaTheme="minorEastAsia" w:hAnsiTheme="minorHAnsi" w:cstheme="minorBidi"/>
          <w:sz w:val="22"/>
          <w:szCs w:val="22"/>
        </w:rPr>
      </w:pPr>
      <w:hyperlink w:anchor="_Toc56583797" w:history="1">
        <w:r w:rsidR="00AA051B" w:rsidRPr="00AA051B">
          <w:rPr>
            <w:rStyle w:val="Hyperlink"/>
          </w:rPr>
          <w:t>Table 4:21:Mitigation Actions -Small hydro off grid Initiatives</w:t>
        </w:r>
        <w:r w:rsidR="00AA051B" w:rsidRPr="00AA051B">
          <w:rPr>
            <w:webHidden/>
          </w:rPr>
          <w:tab/>
        </w:r>
        <w:r w:rsidR="00AA051B" w:rsidRPr="00AA051B">
          <w:rPr>
            <w:webHidden/>
          </w:rPr>
          <w:fldChar w:fldCharType="begin"/>
        </w:r>
        <w:r w:rsidR="00AA051B" w:rsidRPr="00AA051B">
          <w:rPr>
            <w:webHidden/>
          </w:rPr>
          <w:instrText xml:space="preserve"> PAGEREF _Toc56583797 \h </w:instrText>
        </w:r>
        <w:r w:rsidR="00AA051B" w:rsidRPr="00AA051B">
          <w:rPr>
            <w:webHidden/>
          </w:rPr>
        </w:r>
        <w:r w:rsidR="00AA051B" w:rsidRPr="00AA051B">
          <w:rPr>
            <w:webHidden/>
          </w:rPr>
          <w:fldChar w:fldCharType="separate"/>
        </w:r>
        <w:r w:rsidR="00AA051B" w:rsidRPr="00AA051B">
          <w:rPr>
            <w:webHidden/>
          </w:rPr>
          <w:t>122</w:t>
        </w:r>
        <w:r w:rsidR="00AA051B" w:rsidRPr="00AA051B">
          <w:rPr>
            <w:webHidden/>
          </w:rPr>
          <w:fldChar w:fldCharType="end"/>
        </w:r>
      </w:hyperlink>
    </w:p>
    <w:p w14:paraId="375B303C" w14:textId="1E9666CA" w:rsidR="00AA051B" w:rsidRPr="00AA051B" w:rsidRDefault="00317BA0" w:rsidP="00AA051B">
      <w:pPr>
        <w:pStyle w:val="TableofFigures"/>
        <w:rPr>
          <w:rFonts w:asciiTheme="minorHAnsi" w:eastAsiaTheme="minorEastAsia" w:hAnsiTheme="minorHAnsi" w:cstheme="minorBidi"/>
          <w:sz w:val="22"/>
          <w:szCs w:val="22"/>
        </w:rPr>
      </w:pPr>
      <w:hyperlink w:anchor="_Toc56583798" w:history="1">
        <w:r w:rsidR="00AA051B" w:rsidRPr="00AA051B">
          <w:rPr>
            <w:rStyle w:val="Hyperlink"/>
          </w:rPr>
          <w:t>Table 4:22:Emission reduction potential for on-grid electricity generation Gg CO2 eq</w:t>
        </w:r>
        <w:r w:rsidR="00AA051B" w:rsidRPr="00AA051B">
          <w:rPr>
            <w:webHidden/>
          </w:rPr>
          <w:tab/>
        </w:r>
        <w:r w:rsidR="00AA051B" w:rsidRPr="00AA051B">
          <w:rPr>
            <w:webHidden/>
          </w:rPr>
          <w:fldChar w:fldCharType="begin"/>
        </w:r>
        <w:r w:rsidR="00AA051B" w:rsidRPr="00AA051B">
          <w:rPr>
            <w:webHidden/>
          </w:rPr>
          <w:instrText xml:space="preserve"> PAGEREF _Toc56583798 \h </w:instrText>
        </w:r>
        <w:r w:rsidR="00AA051B" w:rsidRPr="00AA051B">
          <w:rPr>
            <w:webHidden/>
          </w:rPr>
        </w:r>
        <w:r w:rsidR="00AA051B" w:rsidRPr="00AA051B">
          <w:rPr>
            <w:webHidden/>
          </w:rPr>
          <w:fldChar w:fldCharType="separate"/>
        </w:r>
        <w:r w:rsidR="00AA051B" w:rsidRPr="00AA051B">
          <w:rPr>
            <w:webHidden/>
          </w:rPr>
          <w:t>124</w:t>
        </w:r>
        <w:r w:rsidR="00AA051B" w:rsidRPr="00AA051B">
          <w:rPr>
            <w:webHidden/>
          </w:rPr>
          <w:fldChar w:fldCharType="end"/>
        </w:r>
      </w:hyperlink>
    </w:p>
    <w:p w14:paraId="405643D1" w14:textId="693348A6" w:rsidR="00AA051B" w:rsidRPr="00AA051B" w:rsidRDefault="00317BA0" w:rsidP="00AA051B">
      <w:pPr>
        <w:pStyle w:val="TableofFigures"/>
        <w:rPr>
          <w:rFonts w:asciiTheme="minorHAnsi" w:eastAsiaTheme="minorEastAsia" w:hAnsiTheme="minorHAnsi" w:cstheme="minorBidi"/>
          <w:sz w:val="22"/>
          <w:szCs w:val="22"/>
        </w:rPr>
      </w:pPr>
      <w:hyperlink w:anchor="_Toc56583799" w:history="1">
        <w:r w:rsidR="00AA051B" w:rsidRPr="00AA051B">
          <w:rPr>
            <w:rStyle w:val="Hyperlink"/>
          </w:rPr>
          <w:t>Table 4:23:Mitigation actions for electricity generation</w:t>
        </w:r>
        <w:r w:rsidR="00AA051B" w:rsidRPr="00AA051B">
          <w:rPr>
            <w:webHidden/>
          </w:rPr>
          <w:tab/>
        </w:r>
        <w:r w:rsidR="00AA051B" w:rsidRPr="00AA051B">
          <w:rPr>
            <w:webHidden/>
          </w:rPr>
          <w:fldChar w:fldCharType="begin"/>
        </w:r>
        <w:r w:rsidR="00AA051B" w:rsidRPr="00AA051B">
          <w:rPr>
            <w:webHidden/>
          </w:rPr>
          <w:instrText xml:space="preserve"> PAGEREF _Toc56583799 \h </w:instrText>
        </w:r>
        <w:r w:rsidR="00AA051B" w:rsidRPr="00AA051B">
          <w:rPr>
            <w:webHidden/>
          </w:rPr>
        </w:r>
        <w:r w:rsidR="00AA051B" w:rsidRPr="00AA051B">
          <w:rPr>
            <w:webHidden/>
          </w:rPr>
          <w:fldChar w:fldCharType="separate"/>
        </w:r>
        <w:r w:rsidR="00AA051B" w:rsidRPr="00AA051B">
          <w:rPr>
            <w:webHidden/>
          </w:rPr>
          <w:t>127</w:t>
        </w:r>
        <w:r w:rsidR="00AA051B" w:rsidRPr="00AA051B">
          <w:rPr>
            <w:webHidden/>
          </w:rPr>
          <w:fldChar w:fldCharType="end"/>
        </w:r>
      </w:hyperlink>
    </w:p>
    <w:p w14:paraId="4874707B" w14:textId="5C019F3C" w:rsidR="00AA051B" w:rsidRPr="00AA051B" w:rsidRDefault="00317BA0" w:rsidP="00AA051B">
      <w:pPr>
        <w:pStyle w:val="TableofFigures"/>
        <w:rPr>
          <w:rFonts w:asciiTheme="minorHAnsi" w:eastAsiaTheme="minorEastAsia" w:hAnsiTheme="minorHAnsi" w:cstheme="minorBidi"/>
          <w:sz w:val="22"/>
          <w:szCs w:val="22"/>
        </w:rPr>
      </w:pPr>
      <w:hyperlink w:anchor="_Toc56583800" w:history="1">
        <w:r w:rsidR="00AA051B" w:rsidRPr="00AA051B">
          <w:rPr>
            <w:rStyle w:val="Hyperlink"/>
          </w:rPr>
          <w:t>Table 4:24:Emission reduction potential for energy efficiency (Gg CO2 eq)</w:t>
        </w:r>
        <w:r w:rsidR="00AA051B" w:rsidRPr="00AA051B">
          <w:rPr>
            <w:webHidden/>
          </w:rPr>
          <w:tab/>
        </w:r>
        <w:r w:rsidR="00AA051B" w:rsidRPr="00AA051B">
          <w:rPr>
            <w:webHidden/>
          </w:rPr>
          <w:fldChar w:fldCharType="begin"/>
        </w:r>
        <w:r w:rsidR="00AA051B" w:rsidRPr="00AA051B">
          <w:rPr>
            <w:webHidden/>
          </w:rPr>
          <w:instrText xml:space="preserve"> PAGEREF _Toc56583800 \h </w:instrText>
        </w:r>
        <w:r w:rsidR="00AA051B" w:rsidRPr="00AA051B">
          <w:rPr>
            <w:webHidden/>
          </w:rPr>
        </w:r>
        <w:r w:rsidR="00AA051B" w:rsidRPr="00AA051B">
          <w:rPr>
            <w:webHidden/>
          </w:rPr>
          <w:fldChar w:fldCharType="separate"/>
        </w:r>
        <w:r w:rsidR="00AA051B" w:rsidRPr="00AA051B">
          <w:rPr>
            <w:webHidden/>
          </w:rPr>
          <w:t>132</w:t>
        </w:r>
        <w:r w:rsidR="00AA051B" w:rsidRPr="00AA051B">
          <w:rPr>
            <w:webHidden/>
          </w:rPr>
          <w:fldChar w:fldCharType="end"/>
        </w:r>
      </w:hyperlink>
    </w:p>
    <w:p w14:paraId="360C0A6E" w14:textId="0BB0FA25" w:rsidR="00AA051B" w:rsidRPr="00AA051B" w:rsidRDefault="00317BA0" w:rsidP="00AA051B">
      <w:pPr>
        <w:pStyle w:val="TableofFigures"/>
        <w:rPr>
          <w:rFonts w:asciiTheme="minorHAnsi" w:eastAsiaTheme="minorEastAsia" w:hAnsiTheme="minorHAnsi" w:cstheme="minorBidi"/>
          <w:sz w:val="22"/>
          <w:szCs w:val="22"/>
        </w:rPr>
      </w:pPr>
      <w:hyperlink w:anchor="_Toc56583801" w:history="1">
        <w:r w:rsidR="00AA051B" w:rsidRPr="00AA051B">
          <w:rPr>
            <w:rStyle w:val="Hyperlink"/>
          </w:rPr>
          <w:t>Table 4:25:Mitigation actions under energy efficiency</w:t>
        </w:r>
        <w:r w:rsidR="00AA051B" w:rsidRPr="00AA051B">
          <w:rPr>
            <w:webHidden/>
          </w:rPr>
          <w:tab/>
        </w:r>
        <w:r w:rsidR="00AA051B" w:rsidRPr="00AA051B">
          <w:rPr>
            <w:webHidden/>
          </w:rPr>
          <w:fldChar w:fldCharType="begin"/>
        </w:r>
        <w:r w:rsidR="00AA051B" w:rsidRPr="00AA051B">
          <w:rPr>
            <w:webHidden/>
          </w:rPr>
          <w:instrText xml:space="preserve"> PAGEREF _Toc56583801 \h </w:instrText>
        </w:r>
        <w:r w:rsidR="00AA051B" w:rsidRPr="00AA051B">
          <w:rPr>
            <w:webHidden/>
          </w:rPr>
        </w:r>
        <w:r w:rsidR="00AA051B" w:rsidRPr="00AA051B">
          <w:rPr>
            <w:webHidden/>
          </w:rPr>
          <w:fldChar w:fldCharType="separate"/>
        </w:r>
        <w:r w:rsidR="00AA051B" w:rsidRPr="00AA051B">
          <w:rPr>
            <w:webHidden/>
          </w:rPr>
          <w:t>134</w:t>
        </w:r>
        <w:r w:rsidR="00AA051B" w:rsidRPr="00AA051B">
          <w:rPr>
            <w:webHidden/>
          </w:rPr>
          <w:fldChar w:fldCharType="end"/>
        </w:r>
      </w:hyperlink>
    </w:p>
    <w:p w14:paraId="06F8FF72" w14:textId="7B8581BB" w:rsidR="00AA051B" w:rsidRPr="00AA051B" w:rsidRDefault="00317BA0" w:rsidP="00AA051B">
      <w:pPr>
        <w:pStyle w:val="TableofFigures"/>
        <w:rPr>
          <w:rFonts w:asciiTheme="minorHAnsi" w:eastAsiaTheme="minorEastAsia" w:hAnsiTheme="minorHAnsi" w:cstheme="minorBidi"/>
          <w:sz w:val="22"/>
          <w:szCs w:val="22"/>
        </w:rPr>
      </w:pPr>
      <w:hyperlink w:anchor="_Toc56583802" w:history="1">
        <w:r w:rsidR="00AA051B" w:rsidRPr="00AA051B">
          <w:rPr>
            <w:rStyle w:val="Hyperlink"/>
          </w:rPr>
          <w:t>Table 4:26:Emission reduction potential for Wind power generation (Gg CO2 eq)</w:t>
        </w:r>
        <w:r w:rsidR="00AA051B" w:rsidRPr="00AA051B">
          <w:rPr>
            <w:webHidden/>
          </w:rPr>
          <w:tab/>
        </w:r>
        <w:r w:rsidR="00AA051B" w:rsidRPr="00AA051B">
          <w:rPr>
            <w:webHidden/>
          </w:rPr>
          <w:fldChar w:fldCharType="begin"/>
        </w:r>
        <w:r w:rsidR="00AA051B" w:rsidRPr="00AA051B">
          <w:rPr>
            <w:webHidden/>
          </w:rPr>
          <w:instrText xml:space="preserve"> PAGEREF _Toc56583802 \h </w:instrText>
        </w:r>
        <w:r w:rsidR="00AA051B" w:rsidRPr="00AA051B">
          <w:rPr>
            <w:webHidden/>
          </w:rPr>
        </w:r>
        <w:r w:rsidR="00AA051B" w:rsidRPr="00AA051B">
          <w:rPr>
            <w:webHidden/>
          </w:rPr>
          <w:fldChar w:fldCharType="separate"/>
        </w:r>
        <w:r w:rsidR="00AA051B" w:rsidRPr="00AA051B">
          <w:rPr>
            <w:webHidden/>
          </w:rPr>
          <w:t>136</w:t>
        </w:r>
        <w:r w:rsidR="00AA051B" w:rsidRPr="00AA051B">
          <w:rPr>
            <w:webHidden/>
          </w:rPr>
          <w:fldChar w:fldCharType="end"/>
        </w:r>
      </w:hyperlink>
    </w:p>
    <w:p w14:paraId="196C77F5" w14:textId="40555F14" w:rsidR="00AA051B" w:rsidRPr="00AA051B" w:rsidRDefault="00317BA0" w:rsidP="00AA051B">
      <w:pPr>
        <w:pStyle w:val="TableofFigures"/>
        <w:rPr>
          <w:rFonts w:asciiTheme="minorHAnsi" w:eastAsiaTheme="minorEastAsia" w:hAnsiTheme="minorHAnsi" w:cstheme="minorBidi"/>
          <w:sz w:val="22"/>
          <w:szCs w:val="22"/>
        </w:rPr>
      </w:pPr>
      <w:hyperlink w:anchor="_Toc56583803" w:history="1">
        <w:r w:rsidR="00AA051B" w:rsidRPr="00AA051B">
          <w:rPr>
            <w:rStyle w:val="Hyperlink"/>
          </w:rPr>
          <w:t>Table 4:27:Mitigation action for Wind Power</w:t>
        </w:r>
        <w:r w:rsidR="00AA051B" w:rsidRPr="00AA051B">
          <w:rPr>
            <w:webHidden/>
          </w:rPr>
          <w:tab/>
        </w:r>
        <w:r w:rsidR="00AA051B" w:rsidRPr="00AA051B">
          <w:rPr>
            <w:webHidden/>
          </w:rPr>
          <w:fldChar w:fldCharType="begin"/>
        </w:r>
        <w:r w:rsidR="00AA051B" w:rsidRPr="00AA051B">
          <w:rPr>
            <w:webHidden/>
          </w:rPr>
          <w:instrText xml:space="preserve"> PAGEREF _Toc56583803 \h </w:instrText>
        </w:r>
        <w:r w:rsidR="00AA051B" w:rsidRPr="00AA051B">
          <w:rPr>
            <w:webHidden/>
          </w:rPr>
        </w:r>
        <w:r w:rsidR="00AA051B" w:rsidRPr="00AA051B">
          <w:rPr>
            <w:webHidden/>
          </w:rPr>
          <w:fldChar w:fldCharType="separate"/>
        </w:r>
        <w:r w:rsidR="00AA051B" w:rsidRPr="00AA051B">
          <w:rPr>
            <w:webHidden/>
          </w:rPr>
          <w:t>137</w:t>
        </w:r>
        <w:r w:rsidR="00AA051B" w:rsidRPr="00AA051B">
          <w:rPr>
            <w:webHidden/>
          </w:rPr>
          <w:fldChar w:fldCharType="end"/>
        </w:r>
      </w:hyperlink>
    </w:p>
    <w:p w14:paraId="7142A6AD" w14:textId="217DB7F8" w:rsidR="00AA051B" w:rsidRPr="00AA051B" w:rsidRDefault="00317BA0" w:rsidP="00AA051B">
      <w:pPr>
        <w:pStyle w:val="TableofFigures"/>
        <w:rPr>
          <w:rFonts w:asciiTheme="minorHAnsi" w:eastAsiaTheme="minorEastAsia" w:hAnsiTheme="minorHAnsi" w:cstheme="minorBidi"/>
          <w:sz w:val="22"/>
          <w:szCs w:val="22"/>
        </w:rPr>
      </w:pPr>
      <w:hyperlink w:anchor="_Toc56583804" w:history="1">
        <w:r w:rsidR="00AA051B" w:rsidRPr="00AA051B">
          <w:rPr>
            <w:rStyle w:val="Hyperlink"/>
          </w:rPr>
          <w:t>Table 4:28:Emission reduction potential for geothermal power generation (Gg CO2 eq.)</w:t>
        </w:r>
        <w:r w:rsidR="00AA051B" w:rsidRPr="00AA051B">
          <w:rPr>
            <w:webHidden/>
          </w:rPr>
          <w:tab/>
        </w:r>
        <w:r w:rsidR="00AA051B" w:rsidRPr="00AA051B">
          <w:rPr>
            <w:webHidden/>
          </w:rPr>
          <w:fldChar w:fldCharType="begin"/>
        </w:r>
        <w:r w:rsidR="00AA051B" w:rsidRPr="00AA051B">
          <w:rPr>
            <w:webHidden/>
          </w:rPr>
          <w:instrText xml:space="preserve"> PAGEREF _Toc56583804 \h </w:instrText>
        </w:r>
        <w:r w:rsidR="00AA051B" w:rsidRPr="00AA051B">
          <w:rPr>
            <w:webHidden/>
          </w:rPr>
        </w:r>
        <w:r w:rsidR="00AA051B" w:rsidRPr="00AA051B">
          <w:rPr>
            <w:webHidden/>
          </w:rPr>
          <w:fldChar w:fldCharType="separate"/>
        </w:r>
        <w:r w:rsidR="00AA051B" w:rsidRPr="00AA051B">
          <w:rPr>
            <w:webHidden/>
          </w:rPr>
          <w:t>138</w:t>
        </w:r>
        <w:r w:rsidR="00AA051B" w:rsidRPr="00AA051B">
          <w:rPr>
            <w:webHidden/>
          </w:rPr>
          <w:fldChar w:fldCharType="end"/>
        </w:r>
      </w:hyperlink>
    </w:p>
    <w:p w14:paraId="25012F4A" w14:textId="629055F2" w:rsidR="00AA051B" w:rsidRPr="00AA051B" w:rsidRDefault="00317BA0" w:rsidP="00AA051B">
      <w:pPr>
        <w:pStyle w:val="TableofFigures"/>
        <w:rPr>
          <w:rFonts w:asciiTheme="minorHAnsi" w:eastAsiaTheme="minorEastAsia" w:hAnsiTheme="minorHAnsi" w:cstheme="minorBidi"/>
          <w:sz w:val="22"/>
          <w:szCs w:val="22"/>
        </w:rPr>
      </w:pPr>
      <w:hyperlink w:anchor="_Toc56583805" w:history="1">
        <w:r w:rsidR="00AA051B" w:rsidRPr="00AA051B">
          <w:rPr>
            <w:rStyle w:val="Hyperlink"/>
          </w:rPr>
          <w:t>Table 4:29:Mitigation action for Geothermal power</w:t>
        </w:r>
        <w:r w:rsidR="00AA051B" w:rsidRPr="00AA051B">
          <w:rPr>
            <w:webHidden/>
          </w:rPr>
          <w:tab/>
        </w:r>
        <w:r w:rsidR="00AA051B" w:rsidRPr="00AA051B">
          <w:rPr>
            <w:webHidden/>
          </w:rPr>
          <w:fldChar w:fldCharType="begin"/>
        </w:r>
        <w:r w:rsidR="00AA051B" w:rsidRPr="00AA051B">
          <w:rPr>
            <w:webHidden/>
          </w:rPr>
          <w:instrText xml:space="preserve"> PAGEREF _Toc56583805 \h </w:instrText>
        </w:r>
        <w:r w:rsidR="00AA051B" w:rsidRPr="00AA051B">
          <w:rPr>
            <w:webHidden/>
          </w:rPr>
        </w:r>
        <w:r w:rsidR="00AA051B" w:rsidRPr="00AA051B">
          <w:rPr>
            <w:webHidden/>
          </w:rPr>
          <w:fldChar w:fldCharType="separate"/>
        </w:r>
        <w:r w:rsidR="00AA051B" w:rsidRPr="00AA051B">
          <w:rPr>
            <w:webHidden/>
          </w:rPr>
          <w:t>139</w:t>
        </w:r>
        <w:r w:rsidR="00AA051B" w:rsidRPr="00AA051B">
          <w:rPr>
            <w:webHidden/>
          </w:rPr>
          <w:fldChar w:fldCharType="end"/>
        </w:r>
      </w:hyperlink>
    </w:p>
    <w:p w14:paraId="397FE7D9" w14:textId="1DFD6FE4" w:rsidR="00AA051B" w:rsidRPr="00AA051B" w:rsidRDefault="00317BA0" w:rsidP="00AA051B">
      <w:pPr>
        <w:pStyle w:val="TableofFigures"/>
        <w:rPr>
          <w:rFonts w:asciiTheme="minorHAnsi" w:eastAsiaTheme="minorEastAsia" w:hAnsiTheme="minorHAnsi" w:cstheme="minorBidi"/>
          <w:sz w:val="22"/>
          <w:szCs w:val="22"/>
        </w:rPr>
      </w:pPr>
      <w:hyperlink w:anchor="_Toc56583806" w:history="1">
        <w:r w:rsidR="00AA051B" w:rsidRPr="00AA051B">
          <w:rPr>
            <w:rStyle w:val="Hyperlink"/>
          </w:rPr>
          <w:t>Table 4:30: Emission reduction potential for Biomass energy (Gg CO2 eq.)</w:t>
        </w:r>
        <w:r w:rsidR="00AA051B" w:rsidRPr="00AA051B">
          <w:rPr>
            <w:webHidden/>
          </w:rPr>
          <w:tab/>
        </w:r>
        <w:r w:rsidR="00AA051B" w:rsidRPr="00AA051B">
          <w:rPr>
            <w:webHidden/>
          </w:rPr>
          <w:fldChar w:fldCharType="begin"/>
        </w:r>
        <w:r w:rsidR="00AA051B" w:rsidRPr="00AA051B">
          <w:rPr>
            <w:webHidden/>
          </w:rPr>
          <w:instrText xml:space="preserve"> PAGEREF _Toc56583806 \h </w:instrText>
        </w:r>
        <w:r w:rsidR="00AA051B" w:rsidRPr="00AA051B">
          <w:rPr>
            <w:webHidden/>
          </w:rPr>
        </w:r>
        <w:r w:rsidR="00AA051B" w:rsidRPr="00AA051B">
          <w:rPr>
            <w:webHidden/>
          </w:rPr>
          <w:fldChar w:fldCharType="separate"/>
        </w:r>
        <w:r w:rsidR="00AA051B" w:rsidRPr="00AA051B">
          <w:rPr>
            <w:webHidden/>
          </w:rPr>
          <w:t>141</w:t>
        </w:r>
        <w:r w:rsidR="00AA051B" w:rsidRPr="00AA051B">
          <w:rPr>
            <w:webHidden/>
          </w:rPr>
          <w:fldChar w:fldCharType="end"/>
        </w:r>
      </w:hyperlink>
    </w:p>
    <w:p w14:paraId="7AEE51FC" w14:textId="7A13B44E" w:rsidR="00AA051B" w:rsidRPr="00AA051B" w:rsidRDefault="00317BA0" w:rsidP="00AA051B">
      <w:pPr>
        <w:pStyle w:val="TableofFigures"/>
        <w:rPr>
          <w:rFonts w:asciiTheme="minorHAnsi" w:eastAsiaTheme="minorEastAsia" w:hAnsiTheme="minorHAnsi" w:cstheme="minorBidi"/>
          <w:sz w:val="22"/>
          <w:szCs w:val="22"/>
        </w:rPr>
      </w:pPr>
      <w:hyperlink w:anchor="_Toc56583807" w:history="1">
        <w:r w:rsidR="00AA051B" w:rsidRPr="00AA051B">
          <w:rPr>
            <w:rStyle w:val="Hyperlink"/>
          </w:rPr>
          <w:t>Table 4:31: Mitigation action for biomass combustion</w:t>
        </w:r>
        <w:r w:rsidR="00AA051B" w:rsidRPr="00AA051B">
          <w:rPr>
            <w:webHidden/>
          </w:rPr>
          <w:tab/>
        </w:r>
        <w:r w:rsidR="00AA051B" w:rsidRPr="00AA051B">
          <w:rPr>
            <w:webHidden/>
          </w:rPr>
          <w:fldChar w:fldCharType="begin"/>
        </w:r>
        <w:r w:rsidR="00AA051B" w:rsidRPr="00AA051B">
          <w:rPr>
            <w:webHidden/>
          </w:rPr>
          <w:instrText xml:space="preserve"> PAGEREF _Toc56583807 \h </w:instrText>
        </w:r>
        <w:r w:rsidR="00AA051B" w:rsidRPr="00AA051B">
          <w:rPr>
            <w:webHidden/>
          </w:rPr>
        </w:r>
        <w:r w:rsidR="00AA051B" w:rsidRPr="00AA051B">
          <w:rPr>
            <w:webHidden/>
          </w:rPr>
          <w:fldChar w:fldCharType="separate"/>
        </w:r>
        <w:r w:rsidR="00AA051B" w:rsidRPr="00AA051B">
          <w:rPr>
            <w:webHidden/>
          </w:rPr>
          <w:t>142</w:t>
        </w:r>
        <w:r w:rsidR="00AA051B" w:rsidRPr="00AA051B">
          <w:rPr>
            <w:webHidden/>
          </w:rPr>
          <w:fldChar w:fldCharType="end"/>
        </w:r>
      </w:hyperlink>
    </w:p>
    <w:p w14:paraId="23CC2ECE" w14:textId="7F66C17F" w:rsidR="00AA051B" w:rsidRPr="00AA051B" w:rsidRDefault="00317BA0" w:rsidP="00AA051B">
      <w:pPr>
        <w:pStyle w:val="TableofFigures"/>
        <w:rPr>
          <w:rFonts w:asciiTheme="minorHAnsi" w:eastAsiaTheme="minorEastAsia" w:hAnsiTheme="minorHAnsi" w:cstheme="minorBidi"/>
          <w:sz w:val="22"/>
          <w:szCs w:val="22"/>
        </w:rPr>
      </w:pPr>
      <w:hyperlink w:anchor="_Toc56583808" w:history="1">
        <w:r w:rsidR="00AA051B" w:rsidRPr="00AA051B">
          <w:rPr>
            <w:rStyle w:val="Hyperlink"/>
          </w:rPr>
          <w:t>Table 4:32 :Emission reduction potential for transport NAMA (Gg CO2 eq.)</w:t>
        </w:r>
        <w:r w:rsidR="00AA051B" w:rsidRPr="00AA051B">
          <w:rPr>
            <w:webHidden/>
          </w:rPr>
          <w:tab/>
        </w:r>
        <w:r w:rsidR="00AA051B" w:rsidRPr="00AA051B">
          <w:rPr>
            <w:webHidden/>
          </w:rPr>
          <w:fldChar w:fldCharType="begin"/>
        </w:r>
        <w:r w:rsidR="00AA051B" w:rsidRPr="00AA051B">
          <w:rPr>
            <w:webHidden/>
          </w:rPr>
          <w:instrText xml:space="preserve"> PAGEREF _Toc56583808 \h </w:instrText>
        </w:r>
        <w:r w:rsidR="00AA051B" w:rsidRPr="00AA051B">
          <w:rPr>
            <w:webHidden/>
          </w:rPr>
        </w:r>
        <w:r w:rsidR="00AA051B" w:rsidRPr="00AA051B">
          <w:rPr>
            <w:webHidden/>
          </w:rPr>
          <w:fldChar w:fldCharType="separate"/>
        </w:r>
        <w:r w:rsidR="00AA051B" w:rsidRPr="00AA051B">
          <w:rPr>
            <w:webHidden/>
          </w:rPr>
          <w:t>144</w:t>
        </w:r>
        <w:r w:rsidR="00AA051B" w:rsidRPr="00AA051B">
          <w:rPr>
            <w:webHidden/>
          </w:rPr>
          <w:fldChar w:fldCharType="end"/>
        </w:r>
      </w:hyperlink>
    </w:p>
    <w:p w14:paraId="6B2C4ADB" w14:textId="289F2BE3" w:rsidR="00AA051B" w:rsidRPr="00AA051B" w:rsidRDefault="00317BA0" w:rsidP="00AA051B">
      <w:pPr>
        <w:pStyle w:val="TableofFigures"/>
        <w:rPr>
          <w:rFonts w:asciiTheme="minorHAnsi" w:eastAsiaTheme="minorEastAsia" w:hAnsiTheme="minorHAnsi" w:cstheme="minorBidi"/>
          <w:sz w:val="22"/>
          <w:szCs w:val="22"/>
        </w:rPr>
      </w:pPr>
      <w:hyperlink w:anchor="_Toc56583809" w:history="1">
        <w:r w:rsidR="00AA051B" w:rsidRPr="00AA051B">
          <w:rPr>
            <w:rStyle w:val="Hyperlink"/>
          </w:rPr>
          <w:t>Table 4:33: Mitigation action for transport NAMA</w:t>
        </w:r>
        <w:r w:rsidR="00AA051B" w:rsidRPr="00AA051B">
          <w:rPr>
            <w:webHidden/>
          </w:rPr>
          <w:tab/>
        </w:r>
        <w:r w:rsidR="00AA051B" w:rsidRPr="00AA051B">
          <w:rPr>
            <w:webHidden/>
          </w:rPr>
          <w:fldChar w:fldCharType="begin"/>
        </w:r>
        <w:r w:rsidR="00AA051B" w:rsidRPr="00AA051B">
          <w:rPr>
            <w:webHidden/>
          </w:rPr>
          <w:instrText xml:space="preserve"> PAGEREF _Toc56583809 \h </w:instrText>
        </w:r>
        <w:r w:rsidR="00AA051B" w:rsidRPr="00AA051B">
          <w:rPr>
            <w:webHidden/>
          </w:rPr>
        </w:r>
        <w:r w:rsidR="00AA051B" w:rsidRPr="00AA051B">
          <w:rPr>
            <w:webHidden/>
          </w:rPr>
          <w:fldChar w:fldCharType="separate"/>
        </w:r>
        <w:r w:rsidR="00AA051B" w:rsidRPr="00AA051B">
          <w:rPr>
            <w:webHidden/>
          </w:rPr>
          <w:t>145</w:t>
        </w:r>
        <w:r w:rsidR="00AA051B" w:rsidRPr="00AA051B">
          <w:rPr>
            <w:webHidden/>
          </w:rPr>
          <w:fldChar w:fldCharType="end"/>
        </w:r>
      </w:hyperlink>
    </w:p>
    <w:p w14:paraId="1D40B257" w14:textId="1FB43D9B" w:rsidR="00AA051B" w:rsidRPr="00AA051B" w:rsidRDefault="00317BA0" w:rsidP="00AA051B">
      <w:pPr>
        <w:pStyle w:val="TableofFigures"/>
        <w:rPr>
          <w:rFonts w:asciiTheme="minorHAnsi" w:eastAsiaTheme="minorEastAsia" w:hAnsiTheme="minorHAnsi" w:cstheme="minorBidi"/>
          <w:sz w:val="22"/>
          <w:szCs w:val="22"/>
        </w:rPr>
      </w:pPr>
      <w:hyperlink w:anchor="_Toc56583810" w:history="1">
        <w:r w:rsidR="00AA051B" w:rsidRPr="00AA051B">
          <w:rPr>
            <w:rStyle w:val="Hyperlink"/>
          </w:rPr>
          <w:t>Table 4:34: Emissions reduction potential for constrained scenario</w:t>
        </w:r>
        <w:r w:rsidR="00AA051B" w:rsidRPr="00AA051B">
          <w:rPr>
            <w:webHidden/>
          </w:rPr>
          <w:tab/>
        </w:r>
        <w:r w:rsidR="00AA051B" w:rsidRPr="00AA051B">
          <w:rPr>
            <w:webHidden/>
          </w:rPr>
          <w:fldChar w:fldCharType="begin"/>
        </w:r>
        <w:r w:rsidR="00AA051B" w:rsidRPr="00AA051B">
          <w:rPr>
            <w:webHidden/>
          </w:rPr>
          <w:instrText xml:space="preserve"> PAGEREF _Toc56583810 \h </w:instrText>
        </w:r>
        <w:r w:rsidR="00AA051B" w:rsidRPr="00AA051B">
          <w:rPr>
            <w:webHidden/>
          </w:rPr>
        </w:r>
        <w:r w:rsidR="00AA051B" w:rsidRPr="00AA051B">
          <w:rPr>
            <w:webHidden/>
          </w:rPr>
          <w:fldChar w:fldCharType="separate"/>
        </w:r>
        <w:r w:rsidR="00AA051B" w:rsidRPr="00AA051B">
          <w:rPr>
            <w:webHidden/>
          </w:rPr>
          <w:t>145</w:t>
        </w:r>
        <w:r w:rsidR="00AA051B" w:rsidRPr="00AA051B">
          <w:rPr>
            <w:webHidden/>
          </w:rPr>
          <w:fldChar w:fldCharType="end"/>
        </w:r>
      </w:hyperlink>
    </w:p>
    <w:p w14:paraId="560673F8" w14:textId="68E36393" w:rsidR="00AA051B" w:rsidRPr="00AA051B" w:rsidRDefault="00317BA0" w:rsidP="00AA051B">
      <w:pPr>
        <w:pStyle w:val="TableofFigures"/>
        <w:rPr>
          <w:rFonts w:asciiTheme="minorHAnsi" w:eastAsiaTheme="minorEastAsia" w:hAnsiTheme="minorHAnsi" w:cstheme="minorBidi"/>
          <w:sz w:val="22"/>
          <w:szCs w:val="22"/>
        </w:rPr>
      </w:pPr>
      <w:hyperlink w:anchor="_Toc56583811" w:history="1">
        <w:r w:rsidR="00AA051B" w:rsidRPr="00AA051B">
          <w:rPr>
            <w:rStyle w:val="Hyperlink"/>
          </w:rPr>
          <w:t>Table 4:35: Emissions reduction potential for enhanced support scenario</w:t>
        </w:r>
        <w:r w:rsidR="00AA051B" w:rsidRPr="00AA051B">
          <w:rPr>
            <w:webHidden/>
          </w:rPr>
          <w:tab/>
        </w:r>
        <w:r w:rsidR="00AA051B" w:rsidRPr="00AA051B">
          <w:rPr>
            <w:webHidden/>
          </w:rPr>
          <w:fldChar w:fldCharType="begin"/>
        </w:r>
        <w:r w:rsidR="00AA051B" w:rsidRPr="00AA051B">
          <w:rPr>
            <w:webHidden/>
          </w:rPr>
          <w:instrText xml:space="preserve"> PAGEREF _Toc56583811 \h </w:instrText>
        </w:r>
        <w:r w:rsidR="00AA051B" w:rsidRPr="00AA051B">
          <w:rPr>
            <w:webHidden/>
          </w:rPr>
        </w:r>
        <w:r w:rsidR="00AA051B" w:rsidRPr="00AA051B">
          <w:rPr>
            <w:webHidden/>
          </w:rPr>
          <w:fldChar w:fldCharType="separate"/>
        </w:r>
        <w:r w:rsidR="00AA051B" w:rsidRPr="00AA051B">
          <w:rPr>
            <w:webHidden/>
          </w:rPr>
          <w:t>146</w:t>
        </w:r>
        <w:r w:rsidR="00AA051B" w:rsidRPr="00AA051B">
          <w:rPr>
            <w:webHidden/>
          </w:rPr>
          <w:fldChar w:fldCharType="end"/>
        </w:r>
      </w:hyperlink>
    </w:p>
    <w:p w14:paraId="509BCC0E" w14:textId="21426286" w:rsidR="00AA051B" w:rsidRPr="00AA051B" w:rsidRDefault="00317BA0" w:rsidP="00AA051B">
      <w:pPr>
        <w:pStyle w:val="TableofFigures"/>
        <w:rPr>
          <w:rFonts w:asciiTheme="minorHAnsi" w:eastAsiaTheme="minorEastAsia" w:hAnsiTheme="minorHAnsi" w:cstheme="minorBidi"/>
          <w:sz w:val="22"/>
          <w:szCs w:val="22"/>
        </w:rPr>
      </w:pPr>
      <w:hyperlink w:anchor="_Toc56583812" w:history="1">
        <w:r w:rsidR="00AA051B" w:rsidRPr="00AA051B">
          <w:rPr>
            <w:rStyle w:val="Hyperlink"/>
          </w:rPr>
          <w:t>Table 4:36:Mitigation Action-Biomass combustion</w:t>
        </w:r>
        <w:r w:rsidR="00AA051B" w:rsidRPr="00AA051B">
          <w:rPr>
            <w:webHidden/>
          </w:rPr>
          <w:tab/>
        </w:r>
        <w:r w:rsidR="00AA051B" w:rsidRPr="00AA051B">
          <w:rPr>
            <w:webHidden/>
          </w:rPr>
          <w:fldChar w:fldCharType="begin"/>
        </w:r>
        <w:r w:rsidR="00AA051B" w:rsidRPr="00AA051B">
          <w:rPr>
            <w:webHidden/>
          </w:rPr>
          <w:instrText xml:space="preserve"> PAGEREF _Toc56583812 \h </w:instrText>
        </w:r>
        <w:r w:rsidR="00AA051B" w:rsidRPr="00AA051B">
          <w:rPr>
            <w:webHidden/>
          </w:rPr>
        </w:r>
        <w:r w:rsidR="00AA051B" w:rsidRPr="00AA051B">
          <w:rPr>
            <w:webHidden/>
          </w:rPr>
          <w:fldChar w:fldCharType="separate"/>
        </w:r>
        <w:r w:rsidR="00AA051B" w:rsidRPr="00AA051B">
          <w:rPr>
            <w:webHidden/>
          </w:rPr>
          <w:t>147</w:t>
        </w:r>
        <w:r w:rsidR="00AA051B" w:rsidRPr="00AA051B">
          <w:rPr>
            <w:webHidden/>
          </w:rPr>
          <w:fldChar w:fldCharType="end"/>
        </w:r>
      </w:hyperlink>
    </w:p>
    <w:p w14:paraId="03F0228F" w14:textId="3AD5C26F" w:rsidR="00AA051B" w:rsidRPr="00AA051B" w:rsidRDefault="00317BA0" w:rsidP="00AA051B">
      <w:pPr>
        <w:pStyle w:val="TableofFigures"/>
        <w:rPr>
          <w:rFonts w:asciiTheme="minorHAnsi" w:eastAsiaTheme="minorEastAsia" w:hAnsiTheme="minorHAnsi" w:cstheme="minorBidi"/>
          <w:sz w:val="22"/>
          <w:szCs w:val="22"/>
        </w:rPr>
      </w:pPr>
      <w:hyperlink w:anchor="_Toc56583813" w:history="1">
        <w:r w:rsidR="00AA051B" w:rsidRPr="00AA051B">
          <w:rPr>
            <w:rStyle w:val="Hyperlink"/>
          </w:rPr>
          <w:t>Table 4:37: Assumptions and Methodological Approaches used in the Zambia INDC, 2016</w:t>
        </w:r>
        <w:r w:rsidR="00AA051B" w:rsidRPr="00AA051B">
          <w:rPr>
            <w:webHidden/>
          </w:rPr>
          <w:tab/>
        </w:r>
        <w:r w:rsidR="00AA051B" w:rsidRPr="00AA051B">
          <w:rPr>
            <w:webHidden/>
          </w:rPr>
          <w:fldChar w:fldCharType="begin"/>
        </w:r>
        <w:r w:rsidR="00AA051B" w:rsidRPr="00AA051B">
          <w:rPr>
            <w:webHidden/>
          </w:rPr>
          <w:instrText xml:space="preserve"> PAGEREF _Toc56583813 \h </w:instrText>
        </w:r>
        <w:r w:rsidR="00AA051B" w:rsidRPr="00AA051B">
          <w:rPr>
            <w:webHidden/>
          </w:rPr>
        </w:r>
        <w:r w:rsidR="00AA051B" w:rsidRPr="00AA051B">
          <w:rPr>
            <w:webHidden/>
          </w:rPr>
          <w:fldChar w:fldCharType="separate"/>
        </w:r>
        <w:r w:rsidR="00AA051B" w:rsidRPr="00AA051B">
          <w:rPr>
            <w:webHidden/>
          </w:rPr>
          <w:t>149</w:t>
        </w:r>
        <w:r w:rsidR="00AA051B" w:rsidRPr="00AA051B">
          <w:rPr>
            <w:webHidden/>
          </w:rPr>
          <w:fldChar w:fldCharType="end"/>
        </w:r>
      </w:hyperlink>
    </w:p>
    <w:p w14:paraId="2E6A89E3" w14:textId="38022581" w:rsidR="00AA051B" w:rsidRPr="00AA051B" w:rsidRDefault="00317BA0" w:rsidP="00AA051B">
      <w:pPr>
        <w:pStyle w:val="TableofFigures"/>
        <w:rPr>
          <w:rFonts w:asciiTheme="minorHAnsi" w:eastAsiaTheme="minorEastAsia" w:hAnsiTheme="minorHAnsi" w:cstheme="minorBidi"/>
          <w:sz w:val="22"/>
          <w:szCs w:val="22"/>
        </w:rPr>
      </w:pPr>
      <w:hyperlink w:anchor="_Toc56583814" w:history="1">
        <w:r w:rsidR="00AA051B" w:rsidRPr="00AA051B">
          <w:rPr>
            <w:rStyle w:val="Hyperlink"/>
          </w:rPr>
          <w:t>Table 4:38: Baseline emissions projections for Industrial Processes and Product Use (Gg CO2 eq.)</w:t>
        </w:r>
        <w:r w:rsidR="00AA051B" w:rsidRPr="00AA051B">
          <w:rPr>
            <w:webHidden/>
          </w:rPr>
          <w:tab/>
        </w:r>
        <w:r w:rsidR="00AA051B" w:rsidRPr="00AA051B">
          <w:rPr>
            <w:webHidden/>
          </w:rPr>
          <w:fldChar w:fldCharType="begin"/>
        </w:r>
        <w:r w:rsidR="00AA051B" w:rsidRPr="00AA051B">
          <w:rPr>
            <w:webHidden/>
          </w:rPr>
          <w:instrText xml:space="preserve"> PAGEREF _Toc56583814 \h </w:instrText>
        </w:r>
        <w:r w:rsidR="00AA051B" w:rsidRPr="00AA051B">
          <w:rPr>
            <w:webHidden/>
          </w:rPr>
        </w:r>
        <w:r w:rsidR="00AA051B" w:rsidRPr="00AA051B">
          <w:rPr>
            <w:webHidden/>
          </w:rPr>
          <w:fldChar w:fldCharType="separate"/>
        </w:r>
        <w:r w:rsidR="00AA051B" w:rsidRPr="00AA051B">
          <w:rPr>
            <w:webHidden/>
          </w:rPr>
          <w:t>150</w:t>
        </w:r>
        <w:r w:rsidR="00AA051B" w:rsidRPr="00AA051B">
          <w:rPr>
            <w:webHidden/>
          </w:rPr>
          <w:fldChar w:fldCharType="end"/>
        </w:r>
      </w:hyperlink>
    </w:p>
    <w:p w14:paraId="48389D4F" w14:textId="6E2C7526" w:rsidR="00AA051B" w:rsidRPr="00AA051B" w:rsidRDefault="00317BA0" w:rsidP="00AA051B">
      <w:pPr>
        <w:pStyle w:val="TableofFigures"/>
        <w:rPr>
          <w:rFonts w:asciiTheme="minorHAnsi" w:eastAsiaTheme="minorEastAsia" w:hAnsiTheme="minorHAnsi" w:cstheme="minorBidi"/>
          <w:sz w:val="22"/>
          <w:szCs w:val="22"/>
        </w:rPr>
      </w:pPr>
      <w:hyperlink w:anchor="_Toc56583815" w:history="1">
        <w:r w:rsidR="00AA051B" w:rsidRPr="00AA051B">
          <w:rPr>
            <w:rStyle w:val="Hyperlink"/>
          </w:rPr>
          <w:t>Table 4:39: Initiatives to reduce GHG emissions in the IPPU sector</w:t>
        </w:r>
        <w:r w:rsidR="00AA051B" w:rsidRPr="00AA051B">
          <w:rPr>
            <w:webHidden/>
          </w:rPr>
          <w:tab/>
        </w:r>
        <w:r w:rsidR="00AA051B" w:rsidRPr="00AA051B">
          <w:rPr>
            <w:webHidden/>
          </w:rPr>
          <w:fldChar w:fldCharType="begin"/>
        </w:r>
        <w:r w:rsidR="00AA051B" w:rsidRPr="00AA051B">
          <w:rPr>
            <w:webHidden/>
          </w:rPr>
          <w:instrText xml:space="preserve"> PAGEREF _Toc56583815 \h </w:instrText>
        </w:r>
        <w:r w:rsidR="00AA051B" w:rsidRPr="00AA051B">
          <w:rPr>
            <w:webHidden/>
          </w:rPr>
        </w:r>
        <w:r w:rsidR="00AA051B" w:rsidRPr="00AA051B">
          <w:rPr>
            <w:webHidden/>
          </w:rPr>
          <w:fldChar w:fldCharType="separate"/>
        </w:r>
        <w:r w:rsidR="00AA051B" w:rsidRPr="00AA051B">
          <w:rPr>
            <w:webHidden/>
          </w:rPr>
          <w:t>150</w:t>
        </w:r>
        <w:r w:rsidR="00AA051B" w:rsidRPr="00AA051B">
          <w:rPr>
            <w:webHidden/>
          </w:rPr>
          <w:fldChar w:fldCharType="end"/>
        </w:r>
      </w:hyperlink>
    </w:p>
    <w:p w14:paraId="3EF7C35B" w14:textId="0EFA96FA" w:rsidR="00AA051B" w:rsidRPr="00AA051B" w:rsidRDefault="00317BA0" w:rsidP="00AA051B">
      <w:pPr>
        <w:pStyle w:val="TableofFigures"/>
        <w:rPr>
          <w:rFonts w:asciiTheme="minorHAnsi" w:eastAsiaTheme="minorEastAsia" w:hAnsiTheme="minorHAnsi" w:cstheme="minorBidi"/>
          <w:sz w:val="22"/>
          <w:szCs w:val="22"/>
        </w:rPr>
      </w:pPr>
      <w:hyperlink w:anchor="_Toc56583816" w:history="1">
        <w:r w:rsidR="00AA051B" w:rsidRPr="00AA051B">
          <w:rPr>
            <w:rStyle w:val="Hyperlink"/>
          </w:rPr>
          <w:t>Table 4:40:Projected Baseline AFOLU emissions by category (Gg CO2 eq.)</w:t>
        </w:r>
        <w:r w:rsidR="00AA051B" w:rsidRPr="00AA051B">
          <w:rPr>
            <w:webHidden/>
          </w:rPr>
          <w:tab/>
        </w:r>
        <w:r w:rsidR="00AA051B" w:rsidRPr="00AA051B">
          <w:rPr>
            <w:webHidden/>
          </w:rPr>
          <w:fldChar w:fldCharType="begin"/>
        </w:r>
        <w:r w:rsidR="00AA051B" w:rsidRPr="00AA051B">
          <w:rPr>
            <w:webHidden/>
          </w:rPr>
          <w:instrText xml:space="preserve"> PAGEREF _Toc56583816 \h </w:instrText>
        </w:r>
        <w:r w:rsidR="00AA051B" w:rsidRPr="00AA051B">
          <w:rPr>
            <w:webHidden/>
          </w:rPr>
        </w:r>
        <w:r w:rsidR="00AA051B" w:rsidRPr="00AA051B">
          <w:rPr>
            <w:webHidden/>
          </w:rPr>
          <w:fldChar w:fldCharType="separate"/>
        </w:r>
        <w:r w:rsidR="00AA051B" w:rsidRPr="00AA051B">
          <w:rPr>
            <w:webHidden/>
          </w:rPr>
          <w:t>152</w:t>
        </w:r>
        <w:r w:rsidR="00AA051B" w:rsidRPr="00AA051B">
          <w:rPr>
            <w:webHidden/>
          </w:rPr>
          <w:fldChar w:fldCharType="end"/>
        </w:r>
      </w:hyperlink>
    </w:p>
    <w:p w14:paraId="420E43DD" w14:textId="47E204EE" w:rsidR="00AA051B" w:rsidRPr="00AA051B" w:rsidRDefault="00317BA0" w:rsidP="00AA051B">
      <w:pPr>
        <w:pStyle w:val="TableofFigures"/>
        <w:rPr>
          <w:rFonts w:asciiTheme="minorHAnsi" w:eastAsiaTheme="minorEastAsia" w:hAnsiTheme="minorHAnsi" w:cstheme="minorBidi"/>
          <w:sz w:val="22"/>
          <w:szCs w:val="22"/>
        </w:rPr>
      </w:pPr>
      <w:hyperlink w:anchor="_Toc56583817" w:history="1">
        <w:r w:rsidR="00AA051B" w:rsidRPr="00AA051B">
          <w:rPr>
            <w:rStyle w:val="Hyperlink"/>
          </w:rPr>
          <w:t>Table 4:41:41Projected emissions reduction for agriculture under for AFOLU (Gg CO2 eq.)</w:t>
        </w:r>
        <w:r w:rsidR="00AA051B" w:rsidRPr="00AA051B">
          <w:rPr>
            <w:webHidden/>
          </w:rPr>
          <w:tab/>
        </w:r>
        <w:r w:rsidR="00AA051B" w:rsidRPr="00AA051B">
          <w:rPr>
            <w:webHidden/>
          </w:rPr>
          <w:fldChar w:fldCharType="begin"/>
        </w:r>
        <w:r w:rsidR="00AA051B" w:rsidRPr="00AA051B">
          <w:rPr>
            <w:webHidden/>
          </w:rPr>
          <w:instrText xml:space="preserve"> PAGEREF _Toc56583817 \h </w:instrText>
        </w:r>
        <w:r w:rsidR="00AA051B" w:rsidRPr="00AA051B">
          <w:rPr>
            <w:webHidden/>
          </w:rPr>
        </w:r>
        <w:r w:rsidR="00AA051B" w:rsidRPr="00AA051B">
          <w:rPr>
            <w:webHidden/>
          </w:rPr>
          <w:fldChar w:fldCharType="separate"/>
        </w:r>
        <w:r w:rsidR="00AA051B" w:rsidRPr="00AA051B">
          <w:rPr>
            <w:webHidden/>
          </w:rPr>
          <w:t>152</w:t>
        </w:r>
        <w:r w:rsidR="00AA051B" w:rsidRPr="00AA051B">
          <w:rPr>
            <w:webHidden/>
          </w:rPr>
          <w:fldChar w:fldCharType="end"/>
        </w:r>
      </w:hyperlink>
    </w:p>
    <w:p w14:paraId="384E4BE7" w14:textId="11BF2E08" w:rsidR="00AA051B" w:rsidRPr="00AA051B" w:rsidRDefault="00317BA0" w:rsidP="00AA051B">
      <w:pPr>
        <w:pStyle w:val="TableofFigures"/>
        <w:rPr>
          <w:rFonts w:asciiTheme="minorHAnsi" w:eastAsiaTheme="minorEastAsia" w:hAnsiTheme="minorHAnsi" w:cstheme="minorBidi"/>
          <w:sz w:val="22"/>
          <w:szCs w:val="22"/>
        </w:rPr>
      </w:pPr>
      <w:hyperlink w:anchor="_Toc56583818" w:history="1">
        <w:r w:rsidR="00AA051B" w:rsidRPr="00AA051B">
          <w:rPr>
            <w:rStyle w:val="Hyperlink"/>
          </w:rPr>
          <w:t>Table 4:42: Fertiliser application rates for conventional and conservation agriculture</w:t>
        </w:r>
        <w:r w:rsidR="00AA051B" w:rsidRPr="00AA051B">
          <w:rPr>
            <w:rStyle w:val="Hyperlink"/>
            <w:rFonts w:eastAsia="Calibri"/>
          </w:rPr>
          <w:t>.</w:t>
        </w:r>
        <w:r w:rsidR="00AA051B" w:rsidRPr="00AA051B">
          <w:rPr>
            <w:webHidden/>
          </w:rPr>
          <w:tab/>
        </w:r>
        <w:r w:rsidR="00AA051B" w:rsidRPr="00AA051B">
          <w:rPr>
            <w:webHidden/>
          </w:rPr>
          <w:fldChar w:fldCharType="begin"/>
        </w:r>
        <w:r w:rsidR="00AA051B" w:rsidRPr="00AA051B">
          <w:rPr>
            <w:webHidden/>
          </w:rPr>
          <w:instrText xml:space="preserve"> PAGEREF _Toc56583818 \h </w:instrText>
        </w:r>
        <w:r w:rsidR="00AA051B" w:rsidRPr="00AA051B">
          <w:rPr>
            <w:webHidden/>
          </w:rPr>
        </w:r>
        <w:r w:rsidR="00AA051B" w:rsidRPr="00AA051B">
          <w:rPr>
            <w:webHidden/>
          </w:rPr>
          <w:fldChar w:fldCharType="separate"/>
        </w:r>
        <w:r w:rsidR="00AA051B" w:rsidRPr="00AA051B">
          <w:rPr>
            <w:webHidden/>
          </w:rPr>
          <w:t>152</w:t>
        </w:r>
        <w:r w:rsidR="00AA051B" w:rsidRPr="00AA051B">
          <w:rPr>
            <w:webHidden/>
          </w:rPr>
          <w:fldChar w:fldCharType="end"/>
        </w:r>
      </w:hyperlink>
    </w:p>
    <w:p w14:paraId="2EC2B5DC" w14:textId="1D5C9D43" w:rsidR="00AA051B" w:rsidRPr="00AA051B" w:rsidRDefault="00317BA0" w:rsidP="00AA051B">
      <w:pPr>
        <w:pStyle w:val="TableofFigures"/>
        <w:rPr>
          <w:rFonts w:asciiTheme="minorHAnsi" w:eastAsiaTheme="minorEastAsia" w:hAnsiTheme="minorHAnsi" w:cstheme="minorBidi"/>
          <w:sz w:val="22"/>
          <w:szCs w:val="22"/>
        </w:rPr>
      </w:pPr>
      <w:hyperlink w:anchor="_Toc56583819" w:history="1">
        <w:r w:rsidR="00AA051B" w:rsidRPr="00AA051B">
          <w:rPr>
            <w:rStyle w:val="Hyperlink"/>
          </w:rPr>
          <w:t>Table 4:43:Mitigation projects in agriculture</w:t>
        </w:r>
        <w:r w:rsidR="00AA051B" w:rsidRPr="00AA051B">
          <w:rPr>
            <w:webHidden/>
          </w:rPr>
          <w:tab/>
        </w:r>
        <w:r w:rsidR="00AA051B" w:rsidRPr="00AA051B">
          <w:rPr>
            <w:webHidden/>
          </w:rPr>
          <w:fldChar w:fldCharType="begin"/>
        </w:r>
        <w:r w:rsidR="00AA051B" w:rsidRPr="00AA051B">
          <w:rPr>
            <w:webHidden/>
          </w:rPr>
          <w:instrText xml:space="preserve"> PAGEREF _Toc56583819 \h </w:instrText>
        </w:r>
        <w:r w:rsidR="00AA051B" w:rsidRPr="00AA051B">
          <w:rPr>
            <w:webHidden/>
          </w:rPr>
        </w:r>
        <w:r w:rsidR="00AA051B" w:rsidRPr="00AA051B">
          <w:rPr>
            <w:webHidden/>
          </w:rPr>
          <w:fldChar w:fldCharType="separate"/>
        </w:r>
        <w:r w:rsidR="00AA051B" w:rsidRPr="00AA051B">
          <w:rPr>
            <w:webHidden/>
          </w:rPr>
          <w:t>154</w:t>
        </w:r>
        <w:r w:rsidR="00AA051B" w:rsidRPr="00AA051B">
          <w:rPr>
            <w:webHidden/>
          </w:rPr>
          <w:fldChar w:fldCharType="end"/>
        </w:r>
      </w:hyperlink>
    </w:p>
    <w:p w14:paraId="7EC783B2" w14:textId="2811EB2C" w:rsidR="00AA051B" w:rsidRPr="00AA051B" w:rsidRDefault="00317BA0" w:rsidP="00AA051B">
      <w:pPr>
        <w:pStyle w:val="TableofFigures"/>
        <w:rPr>
          <w:rFonts w:asciiTheme="minorHAnsi" w:eastAsiaTheme="minorEastAsia" w:hAnsiTheme="minorHAnsi" w:cstheme="minorBidi"/>
          <w:sz w:val="22"/>
          <w:szCs w:val="22"/>
        </w:rPr>
      </w:pPr>
      <w:hyperlink w:anchor="_Toc56583820" w:history="1">
        <w:r w:rsidR="00AA051B" w:rsidRPr="00AA051B">
          <w:rPr>
            <w:rStyle w:val="Hyperlink"/>
          </w:rPr>
          <w:t>Table 4:44: Mitigation action for agriculture</w:t>
        </w:r>
        <w:r w:rsidR="00AA051B" w:rsidRPr="00AA051B">
          <w:rPr>
            <w:webHidden/>
          </w:rPr>
          <w:tab/>
        </w:r>
        <w:r w:rsidR="00AA051B" w:rsidRPr="00AA051B">
          <w:rPr>
            <w:webHidden/>
          </w:rPr>
          <w:fldChar w:fldCharType="begin"/>
        </w:r>
        <w:r w:rsidR="00AA051B" w:rsidRPr="00AA051B">
          <w:rPr>
            <w:webHidden/>
          </w:rPr>
          <w:instrText xml:space="preserve"> PAGEREF _Toc56583820 \h </w:instrText>
        </w:r>
        <w:r w:rsidR="00AA051B" w:rsidRPr="00AA051B">
          <w:rPr>
            <w:webHidden/>
          </w:rPr>
        </w:r>
        <w:r w:rsidR="00AA051B" w:rsidRPr="00AA051B">
          <w:rPr>
            <w:webHidden/>
          </w:rPr>
          <w:fldChar w:fldCharType="separate"/>
        </w:r>
        <w:r w:rsidR="00AA051B" w:rsidRPr="00AA051B">
          <w:rPr>
            <w:webHidden/>
          </w:rPr>
          <w:t>154</w:t>
        </w:r>
        <w:r w:rsidR="00AA051B" w:rsidRPr="00AA051B">
          <w:rPr>
            <w:webHidden/>
          </w:rPr>
          <w:fldChar w:fldCharType="end"/>
        </w:r>
      </w:hyperlink>
    </w:p>
    <w:p w14:paraId="47144E82" w14:textId="55F67F1A" w:rsidR="00AA051B" w:rsidRPr="00AA051B" w:rsidRDefault="00317BA0" w:rsidP="00AA051B">
      <w:pPr>
        <w:pStyle w:val="TableofFigures"/>
        <w:rPr>
          <w:rFonts w:asciiTheme="minorHAnsi" w:eastAsiaTheme="minorEastAsia" w:hAnsiTheme="minorHAnsi" w:cstheme="minorBidi"/>
          <w:sz w:val="22"/>
          <w:szCs w:val="22"/>
        </w:rPr>
      </w:pPr>
      <w:hyperlink w:anchor="_Toc56583821" w:history="1">
        <w:r w:rsidR="00AA051B" w:rsidRPr="00AA051B">
          <w:rPr>
            <w:rStyle w:val="Hyperlink"/>
          </w:rPr>
          <w:t>Table 4:45:Projected emissions reduction for forestry under for AFOLU (Gg CO2 eq.)</w:t>
        </w:r>
        <w:r w:rsidR="00AA051B" w:rsidRPr="00AA051B">
          <w:rPr>
            <w:webHidden/>
          </w:rPr>
          <w:tab/>
        </w:r>
        <w:r w:rsidR="00AA051B" w:rsidRPr="00AA051B">
          <w:rPr>
            <w:webHidden/>
          </w:rPr>
          <w:fldChar w:fldCharType="begin"/>
        </w:r>
        <w:r w:rsidR="00AA051B" w:rsidRPr="00AA051B">
          <w:rPr>
            <w:webHidden/>
          </w:rPr>
          <w:instrText xml:space="preserve"> PAGEREF _Toc56583821 \h </w:instrText>
        </w:r>
        <w:r w:rsidR="00AA051B" w:rsidRPr="00AA051B">
          <w:rPr>
            <w:webHidden/>
          </w:rPr>
        </w:r>
        <w:r w:rsidR="00AA051B" w:rsidRPr="00AA051B">
          <w:rPr>
            <w:webHidden/>
          </w:rPr>
          <w:fldChar w:fldCharType="separate"/>
        </w:r>
        <w:r w:rsidR="00AA051B" w:rsidRPr="00AA051B">
          <w:rPr>
            <w:webHidden/>
          </w:rPr>
          <w:t>156</w:t>
        </w:r>
        <w:r w:rsidR="00AA051B" w:rsidRPr="00AA051B">
          <w:rPr>
            <w:webHidden/>
          </w:rPr>
          <w:fldChar w:fldCharType="end"/>
        </w:r>
      </w:hyperlink>
    </w:p>
    <w:p w14:paraId="71149B07" w14:textId="3A98D22F" w:rsidR="00AA051B" w:rsidRPr="00AA051B" w:rsidRDefault="00317BA0" w:rsidP="00AA051B">
      <w:pPr>
        <w:pStyle w:val="TableofFigures"/>
        <w:rPr>
          <w:rFonts w:asciiTheme="minorHAnsi" w:eastAsiaTheme="minorEastAsia" w:hAnsiTheme="minorHAnsi" w:cstheme="minorBidi"/>
          <w:sz w:val="22"/>
          <w:szCs w:val="22"/>
        </w:rPr>
      </w:pPr>
      <w:hyperlink w:anchor="_Toc56583822" w:history="1">
        <w:r w:rsidR="00AA051B" w:rsidRPr="00AA051B">
          <w:rPr>
            <w:rStyle w:val="Hyperlink"/>
          </w:rPr>
          <w:t>Table 4:46: Parameters and assumptions used in calculating emissions reduction under forestry</w:t>
        </w:r>
        <w:r w:rsidR="00AA051B" w:rsidRPr="00AA051B">
          <w:rPr>
            <w:webHidden/>
          </w:rPr>
          <w:tab/>
        </w:r>
        <w:r w:rsidR="00AA051B" w:rsidRPr="00AA051B">
          <w:rPr>
            <w:webHidden/>
          </w:rPr>
          <w:fldChar w:fldCharType="begin"/>
        </w:r>
        <w:r w:rsidR="00AA051B" w:rsidRPr="00AA051B">
          <w:rPr>
            <w:webHidden/>
          </w:rPr>
          <w:instrText xml:space="preserve"> PAGEREF _Toc56583822 \h </w:instrText>
        </w:r>
        <w:r w:rsidR="00AA051B" w:rsidRPr="00AA051B">
          <w:rPr>
            <w:webHidden/>
          </w:rPr>
        </w:r>
        <w:r w:rsidR="00AA051B" w:rsidRPr="00AA051B">
          <w:rPr>
            <w:webHidden/>
          </w:rPr>
          <w:fldChar w:fldCharType="separate"/>
        </w:r>
        <w:r w:rsidR="00AA051B" w:rsidRPr="00AA051B">
          <w:rPr>
            <w:webHidden/>
          </w:rPr>
          <w:t>156</w:t>
        </w:r>
        <w:r w:rsidR="00AA051B" w:rsidRPr="00AA051B">
          <w:rPr>
            <w:webHidden/>
          </w:rPr>
          <w:fldChar w:fldCharType="end"/>
        </w:r>
      </w:hyperlink>
    </w:p>
    <w:p w14:paraId="3E8C5886" w14:textId="2C264C15" w:rsidR="00AA051B" w:rsidRPr="00AA051B" w:rsidRDefault="00317BA0" w:rsidP="00AA051B">
      <w:pPr>
        <w:pStyle w:val="TableofFigures"/>
        <w:rPr>
          <w:rFonts w:asciiTheme="minorHAnsi" w:eastAsiaTheme="minorEastAsia" w:hAnsiTheme="minorHAnsi" w:cstheme="minorBidi"/>
          <w:sz w:val="22"/>
          <w:szCs w:val="22"/>
        </w:rPr>
      </w:pPr>
      <w:hyperlink w:anchor="_Toc56583823" w:history="1">
        <w:r w:rsidR="00AA051B" w:rsidRPr="00AA051B">
          <w:rPr>
            <w:rStyle w:val="Hyperlink"/>
          </w:rPr>
          <w:t>Table 4:47:Tree Planting mitigation actions</w:t>
        </w:r>
        <w:r w:rsidR="00AA051B" w:rsidRPr="00AA051B">
          <w:rPr>
            <w:webHidden/>
          </w:rPr>
          <w:tab/>
        </w:r>
        <w:r w:rsidR="00AA051B" w:rsidRPr="00AA051B">
          <w:rPr>
            <w:webHidden/>
          </w:rPr>
          <w:fldChar w:fldCharType="begin"/>
        </w:r>
        <w:r w:rsidR="00AA051B" w:rsidRPr="00AA051B">
          <w:rPr>
            <w:webHidden/>
          </w:rPr>
          <w:instrText xml:space="preserve"> PAGEREF _Toc56583823 \h </w:instrText>
        </w:r>
        <w:r w:rsidR="00AA051B" w:rsidRPr="00AA051B">
          <w:rPr>
            <w:webHidden/>
          </w:rPr>
        </w:r>
        <w:r w:rsidR="00AA051B" w:rsidRPr="00AA051B">
          <w:rPr>
            <w:webHidden/>
          </w:rPr>
          <w:fldChar w:fldCharType="separate"/>
        </w:r>
        <w:r w:rsidR="00AA051B" w:rsidRPr="00AA051B">
          <w:rPr>
            <w:webHidden/>
          </w:rPr>
          <w:t>157</w:t>
        </w:r>
        <w:r w:rsidR="00AA051B" w:rsidRPr="00AA051B">
          <w:rPr>
            <w:webHidden/>
          </w:rPr>
          <w:fldChar w:fldCharType="end"/>
        </w:r>
      </w:hyperlink>
    </w:p>
    <w:p w14:paraId="292CE59F" w14:textId="2694BD61" w:rsidR="00AA051B" w:rsidRPr="00AA051B" w:rsidRDefault="00317BA0" w:rsidP="00AA051B">
      <w:pPr>
        <w:pStyle w:val="TableofFigures"/>
        <w:rPr>
          <w:rFonts w:asciiTheme="minorHAnsi" w:eastAsiaTheme="minorEastAsia" w:hAnsiTheme="minorHAnsi" w:cstheme="minorBidi"/>
          <w:sz w:val="22"/>
          <w:szCs w:val="22"/>
        </w:rPr>
      </w:pPr>
      <w:hyperlink w:anchor="_Toc56583824" w:history="1">
        <w:r w:rsidR="00AA051B" w:rsidRPr="00AA051B">
          <w:rPr>
            <w:rStyle w:val="Hyperlink"/>
          </w:rPr>
          <w:t>Table 4:48:Parameters and assumptions used in calculating emissions reduction under forestry</w:t>
        </w:r>
        <w:r w:rsidR="00AA051B" w:rsidRPr="00AA051B">
          <w:rPr>
            <w:webHidden/>
          </w:rPr>
          <w:tab/>
        </w:r>
        <w:r w:rsidR="00AA051B" w:rsidRPr="00AA051B">
          <w:rPr>
            <w:webHidden/>
          </w:rPr>
          <w:fldChar w:fldCharType="begin"/>
        </w:r>
        <w:r w:rsidR="00AA051B" w:rsidRPr="00AA051B">
          <w:rPr>
            <w:webHidden/>
          </w:rPr>
          <w:instrText xml:space="preserve"> PAGEREF _Toc56583824 \h </w:instrText>
        </w:r>
        <w:r w:rsidR="00AA051B" w:rsidRPr="00AA051B">
          <w:rPr>
            <w:webHidden/>
          </w:rPr>
        </w:r>
        <w:r w:rsidR="00AA051B" w:rsidRPr="00AA051B">
          <w:rPr>
            <w:webHidden/>
          </w:rPr>
          <w:fldChar w:fldCharType="separate"/>
        </w:r>
        <w:r w:rsidR="00AA051B" w:rsidRPr="00AA051B">
          <w:rPr>
            <w:webHidden/>
          </w:rPr>
          <w:t>157</w:t>
        </w:r>
        <w:r w:rsidR="00AA051B" w:rsidRPr="00AA051B">
          <w:rPr>
            <w:webHidden/>
          </w:rPr>
          <w:fldChar w:fldCharType="end"/>
        </w:r>
      </w:hyperlink>
    </w:p>
    <w:p w14:paraId="3A71CF8A" w14:textId="203BB36E" w:rsidR="00AA051B" w:rsidRPr="00AA051B" w:rsidRDefault="00317BA0" w:rsidP="00AA051B">
      <w:pPr>
        <w:pStyle w:val="TableofFigures"/>
        <w:rPr>
          <w:rFonts w:asciiTheme="minorHAnsi" w:eastAsiaTheme="minorEastAsia" w:hAnsiTheme="minorHAnsi" w:cstheme="minorBidi"/>
          <w:sz w:val="22"/>
          <w:szCs w:val="22"/>
        </w:rPr>
      </w:pPr>
      <w:hyperlink w:anchor="_Toc56583825" w:history="1">
        <w:r w:rsidR="00AA051B" w:rsidRPr="00AA051B">
          <w:rPr>
            <w:rStyle w:val="Hyperlink"/>
          </w:rPr>
          <w:t>Table 4:49: Forest Mitigation Actions</w:t>
        </w:r>
        <w:r w:rsidR="00AA051B" w:rsidRPr="00AA051B">
          <w:rPr>
            <w:webHidden/>
          </w:rPr>
          <w:tab/>
        </w:r>
        <w:r w:rsidR="00AA051B" w:rsidRPr="00AA051B">
          <w:rPr>
            <w:webHidden/>
          </w:rPr>
          <w:fldChar w:fldCharType="begin"/>
        </w:r>
        <w:r w:rsidR="00AA051B" w:rsidRPr="00AA051B">
          <w:rPr>
            <w:webHidden/>
          </w:rPr>
          <w:instrText xml:space="preserve"> PAGEREF _Toc56583825 \h </w:instrText>
        </w:r>
        <w:r w:rsidR="00AA051B" w:rsidRPr="00AA051B">
          <w:rPr>
            <w:webHidden/>
          </w:rPr>
        </w:r>
        <w:r w:rsidR="00AA051B" w:rsidRPr="00AA051B">
          <w:rPr>
            <w:webHidden/>
          </w:rPr>
          <w:fldChar w:fldCharType="separate"/>
        </w:r>
        <w:r w:rsidR="00AA051B" w:rsidRPr="00AA051B">
          <w:rPr>
            <w:webHidden/>
          </w:rPr>
          <w:t>158</w:t>
        </w:r>
        <w:r w:rsidR="00AA051B" w:rsidRPr="00AA051B">
          <w:rPr>
            <w:webHidden/>
          </w:rPr>
          <w:fldChar w:fldCharType="end"/>
        </w:r>
      </w:hyperlink>
    </w:p>
    <w:p w14:paraId="3B33C59D" w14:textId="65269C5A" w:rsidR="00AA051B" w:rsidRPr="00AA051B" w:rsidRDefault="00317BA0" w:rsidP="00AA051B">
      <w:pPr>
        <w:pStyle w:val="TableofFigures"/>
        <w:rPr>
          <w:rFonts w:asciiTheme="minorHAnsi" w:eastAsiaTheme="minorEastAsia" w:hAnsiTheme="minorHAnsi" w:cstheme="minorBidi"/>
          <w:sz w:val="22"/>
          <w:szCs w:val="22"/>
        </w:rPr>
      </w:pPr>
      <w:hyperlink w:anchor="_Toc56583826" w:history="1">
        <w:r w:rsidR="00AA051B" w:rsidRPr="00AA051B">
          <w:rPr>
            <w:rStyle w:val="Hyperlink"/>
          </w:rPr>
          <w:t>Table 4:50:Proposed hectarage under coupes and shelterbelt strip system</w:t>
        </w:r>
        <w:r w:rsidR="00AA051B" w:rsidRPr="00AA051B">
          <w:rPr>
            <w:webHidden/>
          </w:rPr>
          <w:tab/>
        </w:r>
        <w:r w:rsidR="00AA051B" w:rsidRPr="00AA051B">
          <w:rPr>
            <w:webHidden/>
          </w:rPr>
          <w:fldChar w:fldCharType="begin"/>
        </w:r>
        <w:r w:rsidR="00AA051B" w:rsidRPr="00AA051B">
          <w:rPr>
            <w:webHidden/>
          </w:rPr>
          <w:instrText xml:space="preserve"> PAGEREF _Toc56583826 \h </w:instrText>
        </w:r>
        <w:r w:rsidR="00AA051B" w:rsidRPr="00AA051B">
          <w:rPr>
            <w:webHidden/>
          </w:rPr>
        </w:r>
        <w:r w:rsidR="00AA051B" w:rsidRPr="00AA051B">
          <w:rPr>
            <w:webHidden/>
          </w:rPr>
          <w:fldChar w:fldCharType="separate"/>
        </w:r>
        <w:r w:rsidR="00AA051B" w:rsidRPr="00AA051B">
          <w:rPr>
            <w:webHidden/>
          </w:rPr>
          <w:t>159</w:t>
        </w:r>
        <w:r w:rsidR="00AA051B" w:rsidRPr="00AA051B">
          <w:rPr>
            <w:webHidden/>
          </w:rPr>
          <w:fldChar w:fldCharType="end"/>
        </w:r>
      </w:hyperlink>
    </w:p>
    <w:p w14:paraId="4C30E1C4" w14:textId="5A36F5B2" w:rsidR="00AA051B" w:rsidRPr="00AA051B" w:rsidRDefault="00317BA0" w:rsidP="00AA051B">
      <w:pPr>
        <w:pStyle w:val="TableofFigures"/>
        <w:rPr>
          <w:rFonts w:asciiTheme="minorHAnsi" w:eastAsiaTheme="minorEastAsia" w:hAnsiTheme="minorHAnsi" w:cstheme="minorBidi"/>
          <w:sz w:val="22"/>
          <w:szCs w:val="22"/>
        </w:rPr>
      </w:pPr>
      <w:hyperlink w:anchor="_Toc56583827" w:history="1">
        <w:r w:rsidR="00AA051B" w:rsidRPr="00AA051B">
          <w:rPr>
            <w:rStyle w:val="Hyperlink"/>
          </w:rPr>
          <w:t>Table 4:51:Projected emissions reduction potential for charcoal and agriculture NAMA (Gg CO2 eq.)</w:t>
        </w:r>
        <w:r w:rsidR="00AA051B" w:rsidRPr="00AA051B">
          <w:rPr>
            <w:webHidden/>
          </w:rPr>
          <w:tab/>
        </w:r>
        <w:r w:rsidR="00AA051B" w:rsidRPr="00AA051B">
          <w:rPr>
            <w:webHidden/>
          </w:rPr>
          <w:fldChar w:fldCharType="begin"/>
        </w:r>
        <w:r w:rsidR="00AA051B" w:rsidRPr="00AA051B">
          <w:rPr>
            <w:webHidden/>
          </w:rPr>
          <w:instrText xml:space="preserve"> PAGEREF _Toc56583827 \h </w:instrText>
        </w:r>
        <w:r w:rsidR="00AA051B" w:rsidRPr="00AA051B">
          <w:rPr>
            <w:webHidden/>
          </w:rPr>
        </w:r>
        <w:r w:rsidR="00AA051B" w:rsidRPr="00AA051B">
          <w:rPr>
            <w:webHidden/>
          </w:rPr>
          <w:fldChar w:fldCharType="separate"/>
        </w:r>
        <w:r w:rsidR="00AA051B" w:rsidRPr="00AA051B">
          <w:rPr>
            <w:webHidden/>
          </w:rPr>
          <w:t>160</w:t>
        </w:r>
        <w:r w:rsidR="00AA051B" w:rsidRPr="00AA051B">
          <w:rPr>
            <w:webHidden/>
          </w:rPr>
          <w:fldChar w:fldCharType="end"/>
        </w:r>
      </w:hyperlink>
    </w:p>
    <w:p w14:paraId="0A51EBDB" w14:textId="00BD0322" w:rsidR="00AA051B" w:rsidRPr="00AA051B" w:rsidRDefault="00317BA0" w:rsidP="00AA051B">
      <w:pPr>
        <w:pStyle w:val="TableofFigures"/>
        <w:rPr>
          <w:rFonts w:asciiTheme="minorHAnsi" w:eastAsiaTheme="minorEastAsia" w:hAnsiTheme="minorHAnsi" w:cstheme="minorBidi"/>
          <w:sz w:val="22"/>
          <w:szCs w:val="22"/>
        </w:rPr>
      </w:pPr>
      <w:hyperlink w:anchor="_Toc56583828" w:history="1">
        <w:r w:rsidR="00AA051B" w:rsidRPr="00AA051B">
          <w:rPr>
            <w:rStyle w:val="Hyperlink"/>
          </w:rPr>
          <w:t>Table 4:52: Emissions reduction potential for constrained scenario under NDC Gg CO2 eq</w:t>
        </w:r>
        <w:r w:rsidR="00AA051B" w:rsidRPr="00AA051B">
          <w:rPr>
            <w:rStyle w:val="Hyperlink"/>
            <w:rFonts w:eastAsia="Calibri"/>
            <w:vertAlign w:val="subscript"/>
          </w:rPr>
          <w:t>.</w:t>
        </w:r>
        <w:r w:rsidR="00AA051B" w:rsidRPr="00AA051B">
          <w:rPr>
            <w:webHidden/>
          </w:rPr>
          <w:tab/>
        </w:r>
        <w:r w:rsidR="00AA051B" w:rsidRPr="00AA051B">
          <w:rPr>
            <w:webHidden/>
          </w:rPr>
          <w:fldChar w:fldCharType="begin"/>
        </w:r>
        <w:r w:rsidR="00AA051B" w:rsidRPr="00AA051B">
          <w:rPr>
            <w:webHidden/>
          </w:rPr>
          <w:instrText xml:space="preserve"> PAGEREF _Toc56583828 \h </w:instrText>
        </w:r>
        <w:r w:rsidR="00AA051B" w:rsidRPr="00AA051B">
          <w:rPr>
            <w:webHidden/>
          </w:rPr>
        </w:r>
        <w:r w:rsidR="00AA051B" w:rsidRPr="00AA051B">
          <w:rPr>
            <w:webHidden/>
          </w:rPr>
          <w:fldChar w:fldCharType="separate"/>
        </w:r>
        <w:r w:rsidR="00AA051B" w:rsidRPr="00AA051B">
          <w:rPr>
            <w:webHidden/>
          </w:rPr>
          <w:t>160</w:t>
        </w:r>
        <w:r w:rsidR="00AA051B" w:rsidRPr="00AA051B">
          <w:rPr>
            <w:webHidden/>
          </w:rPr>
          <w:fldChar w:fldCharType="end"/>
        </w:r>
      </w:hyperlink>
    </w:p>
    <w:p w14:paraId="03D1E743" w14:textId="40ACDB37" w:rsidR="00AA051B" w:rsidRPr="00AA051B" w:rsidRDefault="00317BA0" w:rsidP="00AA051B">
      <w:pPr>
        <w:pStyle w:val="TableofFigures"/>
        <w:rPr>
          <w:rFonts w:asciiTheme="minorHAnsi" w:eastAsiaTheme="minorEastAsia" w:hAnsiTheme="minorHAnsi" w:cstheme="minorBidi"/>
          <w:sz w:val="22"/>
          <w:szCs w:val="22"/>
        </w:rPr>
      </w:pPr>
      <w:hyperlink w:anchor="_Toc56583829" w:history="1">
        <w:r w:rsidR="00AA051B" w:rsidRPr="00AA051B">
          <w:rPr>
            <w:rStyle w:val="Hyperlink"/>
          </w:rPr>
          <w:t>Table 4:53: Emissions reduction potential for enhanced support scenario under NDC Gg CO2 eq</w:t>
        </w:r>
        <w:r w:rsidR="00AA051B" w:rsidRPr="00AA051B">
          <w:rPr>
            <w:webHidden/>
          </w:rPr>
          <w:tab/>
        </w:r>
        <w:r w:rsidR="00AA051B" w:rsidRPr="00AA051B">
          <w:rPr>
            <w:webHidden/>
          </w:rPr>
          <w:fldChar w:fldCharType="begin"/>
        </w:r>
        <w:r w:rsidR="00AA051B" w:rsidRPr="00AA051B">
          <w:rPr>
            <w:webHidden/>
          </w:rPr>
          <w:instrText xml:space="preserve"> PAGEREF _Toc56583829 \h </w:instrText>
        </w:r>
        <w:r w:rsidR="00AA051B" w:rsidRPr="00AA051B">
          <w:rPr>
            <w:webHidden/>
          </w:rPr>
        </w:r>
        <w:r w:rsidR="00AA051B" w:rsidRPr="00AA051B">
          <w:rPr>
            <w:webHidden/>
          </w:rPr>
          <w:fldChar w:fldCharType="separate"/>
        </w:r>
        <w:r w:rsidR="00AA051B" w:rsidRPr="00AA051B">
          <w:rPr>
            <w:webHidden/>
          </w:rPr>
          <w:t>160</w:t>
        </w:r>
        <w:r w:rsidR="00AA051B" w:rsidRPr="00AA051B">
          <w:rPr>
            <w:webHidden/>
          </w:rPr>
          <w:fldChar w:fldCharType="end"/>
        </w:r>
      </w:hyperlink>
    </w:p>
    <w:p w14:paraId="26A19962" w14:textId="58E66F12" w:rsidR="00AA051B" w:rsidRPr="00AA051B" w:rsidRDefault="00317BA0" w:rsidP="00AA051B">
      <w:pPr>
        <w:pStyle w:val="TableofFigures"/>
        <w:rPr>
          <w:rFonts w:asciiTheme="minorHAnsi" w:eastAsiaTheme="minorEastAsia" w:hAnsiTheme="minorHAnsi" w:cstheme="minorBidi"/>
          <w:sz w:val="22"/>
          <w:szCs w:val="22"/>
        </w:rPr>
      </w:pPr>
      <w:hyperlink w:anchor="_Toc56583830" w:history="1">
        <w:r w:rsidR="00AA051B" w:rsidRPr="00AA051B">
          <w:rPr>
            <w:rStyle w:val="Hyperlink"/>
          </w:rPr>
          <w:t>Table 4:54: Mitigation potential for constrained and enhanced support scenario under NDC Gg CO2 eq.</w:t>
        </w:r>
        <w:r w:rsidR="00AA051B" w:rsidRPr="00AA051B">
          <w:rPr>
            <w:webHidden/>
          </w:rPr>
          <w:tab/>
        </w:r>
        <w:r w:rsidR="00AA051B" w:rsidRPr="00AA051B">
          <w:rPr>
            <w:webHidden/>
          </w:rPr>
          <w:fldChar w:fldCharType="begin"/>
        </w:r>
        <w:r w:rsidR="00AA051B" w:rsidRPr="00AA051B">
          <w:rPr>
            <w:webHidden/>
          </w:rPr>
          <w:instrText xml:space="preserve"> PAGEREF _Toc56583830 \h </w:instrText>
        </w:r>
        <w:r w:rsidR="00AA051B" w:rsidRPr="00AA051B">
          <w:rPr>
            <w:webHidden/>
          </w:rPr>
        </w:r>
        <w:r w:rsidR="00AA051B" w:rsidRPr="00AA051B">
          <w:rPr>
            <w:webHidden/>
          </w:rPr>
          <w:fldChar w:fldCharType="separate"/>
        </w:r>
        <w:r w:rsidR="00AA051B" w:rsidRPr="00AA051B">
          <w:rPr>
            <w:webHidden/>
          </w:rPr>
          <w:t>161</w:t>
        </w:r>
        <w:r w:rsidR="00AA051B" w:rsidRPr="00AA051B">
          <w:rPr>
            <w:webHidden/>
          </w:rPr>
          <w:fldChar w:fldCharType="end"/>
        </w:r>
      </w:hyperlink>
    </w:p>
    <w:p w14:paraId="2086063E" w14:textId="508F05EC" w:rsidR="00AA051B" w:rsidRPr="00AA051B" w:rsidRDefault="00317BA0" w:rsidP="00AA051B">
      <w:pPr>
        <w:pStyle w:val="TableofFigures"/>
        <w:rPr>
          <w:rFonts w:asciiTheme="minorHAnsi" w:eastAsiaTheme="minorEastAsia" w:hAnsiTheme="minorHAnsi" w:cstheme="minorBidi"/>
          <w:sz w:val="22"/>
          <w:szCs w:val="22"/>
        </w:rPr>
      </w:pPr>
      <w:hyperlink w:anchor="_Toc56583831" w:history="1">
        <w:r w:rsidR="00AA051B" w:rsidRPr="00AA051B">
          <w:rPr>
            <w:rStyle w:val="Hyperlink"/>
          </w:rPr>
          <w:t>Table 4:55: Mitigation Action-Waste</w:t>
        </w:r>
        <w:r w:rsidR="00AA051B" w:rsidRPr="00AA051B">
          <w:rPr>
            <w:webHidden/>
          </w:rPr>
          <w:tab/>
        </w:r>
        <w:r w:rsidR="00AA051B" w:rsidRPr="00AA051B">
          <w:rPr>
            <w:webHidden/>
          </w:rPr>
          <w:fldChar w:fldCharType="begin"/>
        </w:r>
        <w:r w:rsidR="00AA051B" w:rsidRPr="00AA051B">
          <w:rPr>
            <w:webHidden/>
          </w:rPr>
          <w:instrText xml:space="preserve"> PAGEREF _Toc56583831 \h </w:instrText>
        </w:r>
        <w:r w:rsidR="00AA051B" w:rsidRPr="00AA051B">
          <w:rPr>
            <w:webHidden/>
          </w:rPr>
        </w:r>
        <w:r w:rsidR="00AA051B" w:rsidRPr="00AA051B">
          <w:rPr>
            <w:webHidden/>
          </w:rPr>
          <w:fldChar w:fldCharType="separate"/>
        </w:r>
        <w:r w:rsidR="00AA051B" w:rsidRPr="00AA051B">
          <w:rPr>
            <w:webHidden/>
          </w:rPr>
          <w:t>162</w:t>
        </w:r>
        <w:r w:rsidR="00AA051B" w:rsidRPr="00AA051B">
          <w:rPr>
            <w:webHidden/>
          </w:rPr>
          <w:fldChar w:fldCharType="end"/>
        </w:r>
      </w:hyperlink>
    </w:p>
    <w:p w14:paraId="50AA307F" w14:textId="591405C8" w:rsidR="00AA051B" w:rsidRPr="00AA051B" w:rsidRDefault="00317BA0" w:rsidP="00AA051B">
      <w:pPr>
        <w:pStyle w:val="TableofFigures"/>
        <w:rPr>
          <w:rFonts w:asciiTheme="minorHAnsi" w:eastAsiaTheme="minorEastAsia" w:hAnsiTheme="minorHAnsi" w:cstheme="minorBidi"/>
          <w:sz w:val="22"/>
          <w:szCs w:val="22"/>
        </w:rPr>
      </w:pPr>
      <w:hyperlink w:anchor="_Toc56583832" w:history="1">
        <w:r w:rsidR="00AA051B" w:rsidRPr="00AA051B">
          <w:rPr>
            <w:rStyle w:val="Hyperlink"/>
          </w:rPr>
          <w:t>Table 6:1:Constraints and gaps identified in various MRV aspects Pre-Paris Agreement</w:t>
        </w:r>
        <w:r w:rsidR="00AA051B" w:rsidRPr="00AA051B">
          <w:rPr>
            <w:webHidden/>
          </w:rPr>
          <w:tab/>
        </w:r>
        <w:r w:rsidR="00AA051B" w:rsidRPr="00AA051B">
          <w:rPr>
            <w:webHidden/>
          </w:rPr>
          <w:fldChar w:fldCharType="begin"/>
        </w:r>
        <w:r w:rsidR="00AA051B" w:rsidRPr="00AA051B">
          <w:rPr>
            <w:webHidden/>
          </w:rPr>
          <w:instrText xml:space="preserve"> PAGEREF _Toc56583832 \h </w:instrText>
        </w:r>
        <w:r w:rsidR="00AA051B" w:rsidRPr="00AA051B">
          <w:rPr>
            <w:webHidden/>
          </w:rPr>
        </w:r>
        <w:r w:rsidR="00AA051B" w:rsidRPr="00AA051B">
          <w:rPr>
            <w:webHidden/>
          </w:rPr>
          <w:fldChar w:fldCharType="separate"/>
        </w:r>
        <w:r w:rsidR="00AA051B" w:rsidRPr="00AA051B">
          <w:rPr>
            <w:webHidden/>
          </w:rPr>
          <w:t>170</w:t>
        </w:r>
        <w:r w:rsidR="00AA051B" w:rsidRPr="00AA051B">
          <w:rPr>
            <w:webHidden/>
          </w:rPr>
          <w:fldChar w:fldCharType="end"/>
        </w:r>
      </w:hyperlink>
    </w:p>
    <w:p w14:paraId="2C1345EA" w14:textId="1CE5824D" w:rsidR="00AA051B" w:rsidRPr="00AA051B" w:rsidRDefault="00317BA0" w:rsidP="00AA051B">
      <w:pPr>
        <w:pStyle w:val="TableofFigures"/>
        <w:rPr>
          <w:rFonts w:asciiTheme="minorHAnsi" w:eastAsiaTheme="minorEastAsia" w:hAnsiTheme="minorHAnsi" w:cstheme="minorBidi"/>
          <w:sz w:val="22"/>
          <w:szCs w:val="22"/>
        </w:rPr>
      </w:pPr>
      <w:hyperlink w:anchor="_Toc56583833" w:history="1">
        <w:r w:rsidR="00AA051B" w:rsidRPr="00AA051B">
          <w:rPr>
            <w:rStyle w:val="Hyperlink"/>
          </w:rPr>
          <w:t>Table 7:1:: Summary of support received per category of organisation</w:t>
        </w:r>
        <w:r w:rsidR="00AA051B" w:rsidRPr="00AA051B">
          <w:rPr>
            <w:webHidden/>
          </w:rPr>
          <w:tab/>
        </w:r>
        <w:r w:rsidR="00AA051B" w:rsidRPr="00AA051B">
          <w:rPr>
            <w:webHidden/>
          </w:rPr>
          <w:fldChar w:fldCharType="begin"/>
        </w:r>
        <w:r w:rsidR="00AA051B" w:rsidRPr="00AA051B">
          <w:rPr>
            <w:webHidden/>
          </w:rPr>
          <w:instrText xml:space="preserve"> PAGEREF _Toc56583833 \h </w:instrText>
        </w:r>
        <w:r w:rsidR="00AA051B" w:rsidRPr="00AA051B">
          <w:rPr>
            <w:webHidden/>
          </w:rPr>
        </w:r>
        <w:r w:rsidR="00AA051B" w:rsidRPr="00AA051B">
          <w:rPr>
            <w:webHidden/>
          </w:rPr>
          <w:fldChar w:fldCharType="separate"/>
        </w:r>
        <w:r w:rsidR="00AA051B" w:rsidRPr="00AA051B">
          <w:rPr>
            <w:webHidden/>
          </w:rPr>
          <w:t>171</w:t>
        </w:r>
        <w:r w:rsidR="00AA051B" w:rsidRPr="00AA051B">
          <w:rPr>
            <w:webHidden/>
          </w:rPr>
          <w:fldChar w:fldCharType="end"/>
        </w:r>
      </w:hyperlink>
    </w:p>
    <w:p w14:paraId="7A6DEA4F" w14:textId="636F83C1" w:rsidR="00AA051B" w:rsidRPr="00AA051B" w:rsidRDefault="00317BA0" w:rsidP="00AA051B">
      <w:pPr>
        <w:pStyle w:val="TableofFigures"/>
        <w:rPr>
          <w:rFonts w:asciiTheme="minorHAnsi" w:eastAsiaTheme="minorEastAsia" w:hAnsiTheme="minorHAnsi" w:cstheme="minorBidi"/>
          <w:sz w:val="22"/>
          <w:szCs w:val="22"/>
        </w:rPr>
      </w:pPr>
      <w:hyperlink w:anchor="_Toc56583834" w:history="1">
        <w:r w:rsidR="00AA051B" w:rsidRPr="00AA051B">
          <w:rPr>
            <w:rStyle w:val="Hyperlink"/>
          </w:rPr>
          <w:t>Table 7:2:Technology needs for Manufacturing</w:t>
        </w:r>
        <w:r w:rsidR="00AA051B" w:rsidRPr="00AA051B">
          <w:rPr>
            <w:webHidden/>
          </w:rPr>
          <w:tab/>
        </w:r>
        <w:r w:rsidR="00AA051B" w:rsidRPr="00AA051B">
          <w:rPr>
            <w:webHidden/>
          </w:rPr>
          <w:fldChar w:fldCharType="begin"/>
        </w:r>
        <w:r w:rsidR="00AA051B" w:rsidRPr="00AA051B">
          <w:rPr>
            <w:webHidden/>
          </w:rPr>
          <w:instrText xml:space="preserve"> PAGEREF _Toc56583834 \h </w:instrText>
        </w:r>
        <w:r w:rsidR="00AA051B" w:rsidRPr="00AA051B">
          <w:rPr>
            <w:webHidden/>
          </w:rPr>
        </w:r>
        <w:r w:rsidR="00AA051B" w:rsidRPr="00AA051B">
          <w:rPr>
            <w:webHidden/>
          </w:rPr>
          <w:fldChar w:fldCharType="separate"/>
        </w:r>
        <w:r w:rsidR="00AA051B" w:rsidRPr="00AA051B">
          <w:rPr>
            <w:webHidden/>
          </w:rPr>
          <w:t>172</w:t>
        </w:r>
        <w:r w:rsidR="00AA051B" w:rsidRPr="00AA051B">
          <w:rPr>
            <w:webHidden/>
          </w:rPr>
          <w:fldChar w:fldCharType="end"/>
        </w:r>
      </w:hyperlink>
    </w:p>
    <w:p w14:paraId="65C2E3C4" w14:textId="604BD85C" w:rsidR="00AA051B" w:rsidRPr="00AA051B" w:rsidRDefault="00317BA0" w:rsidP="00AA051B">
      <w:pPr>
        <w:pStyle w:val="TableofFigures"/>
        <w:rPr>
          <w:rFonts w:asciiTheme="minorHAnsi" w:eastAsiaTheme="minorEastAsia" w:hAnsiTheme="minorHAnsi" w:cstheme="minorBidi"/>
          <w:sz w:val="22"/>
          <w:szCs w:val="22"/>
        </w:rPr>
      </w:pPr>
      <w:hyperlink w:anchor="_Toc56583835" w:history="1">
        <w:r w:rsidR="00AA051B" w:rsidRPr="00AA051B">
          <w:rPr>
            <w:rStyle w:val="Hyperlink"/>
          </w:rPr>
          <w:t>Table 7:3:Technology needs for Energy</w:t>
        </w:r>
        <w:r w:rsidR="00AA051B" w:rsidRPr="00AA051B">
          <w:rPr>
            <w:webHidden/>
          </w:rPr>
          <w:tab/>
        </w:r>
        <w:r w:rsidR="00AA051B" w:rsidRPr="00AA051B">
          <w:rPr>
            <w:webHidden/>
          </w:rPr>
          <w:fldChar w:fldCharType="begin"/>
        </w:r>
        <w:r w:rsidR="00AA051B" w:rsidRPr="00AA051B">
          <w:rPr>
            <w:webHidden/>
          </w:rPr>
          <w:instrText xml:space="preserve"> PAGEREF _Toc56583835 \h </w:instrText>
        </w:r>
        <w:r w:rsidR="00AA051B" w:rsidRPr="00AA051B">
          <w:rPr>
            <w:webHidden/>
          </w:rPr>
        </w:r>
        <w:r w:rsidR="00AA051B" w:rsidRPr="00AA051B">
          <w:rPr>
            <w:webHidden/>
          </w:rPr>
          <w:fldChar w:fldCharType="separate"/>
        </w:r>
        <w:r w:rsidR="00AA051B" w:rsidRPr="00AA051B">
          <w:rPr>
            <w:webHidden/>
          </w:rPr>
          <w:t>172</w:t>
        </w:r>
        <w:r w:rsidR="00AA051B" w:rsidRPr="00AA051B">
          <w:rPr>
            <w:webHidden/>
          </w:rPr>
          <w:fldChar w:fldCharType="end"/>
        </w:r>
      </w:hyperlink>
    </w:p>
    <w:p w14:paraId="00A8B4D7" w14:textId="78A01932" w:rsidR="00AA051B" w:rsidRPr="00AA051B" w:rsidRDefault="00317BA0" w:rsidP="00AA051B">
      <w:pPr>
        <w:pStyle w:val="TableofFigures"/>
        <w:rPr>
          <w:rFonts w:asciiTheme="minorHAnsi" w:eastAsiaTheme="minorEastAsia" w:hAnsiTheme="minorHAnsi" w:cstheme="minorBidi"/>
          <w:sz w:val="22"/>
          <w:szCs w:val="22"/>
        </w:rPr>
      </w:pPr>
      <w:hyperlink w:anchor="_Toc56583836" w:history="1">
        <w:r w:rsidR="00AA051B" w:rsidRPr="00AA051B">
          <w:rPr>
            <w:rStyle w:val="Hyperlink"/>
          </w:rPr>
          <w:t>Table 7:4:Technology needs for Transport</w:t>
        </w:r>
        <w:r w:rsidR="00AA051B" w:rsidRPr="00AA051B">
          <w:rPr>
            <w:webHidden/>
          </w:rPr>
          <w:tab/>
        </w:r>
        <w:r w:rsidR="00AA051B" w:rsidRPr="00AA051B">
          <w:rPr>
            <w:webHidden/>
          </w:rPr>
          <w:fldChar w:fldCharType="begin"/>
        </w:r>
        <w:r w:rsidR="00AA051B" w:rsidRPr="00AA051B">
          <w:rPr>
            <w:webHidden/>
          </w:rPr>
          <w:instrText xml:space="preserve"> PAGEREF _Toc56583836 \h </w:instrText>
        </w:r>
        <w:r w:rsidR="00AA051B" w:rsidRPr="00AA051B">
          <w:rPr>
            <w:webHidden/>
          </w:rPr>
        </w:r>
        <w:r w:rsidR="00AA051B" w:rsidRPr="00AA051B">
          <w:rPr>
            <w:webHidden/>
          </w:rPr>
          <w:fldChar w:fldCharType="separate"/>
        </w:r>
        <w:r w:rsidR="00AA051B" w:rsidRPr="00AA051B">
          <w:rPr>
            <w:webHidden/>
          </w:rPr>
          <w:t>173</w:t>
        </w:r>
        <w:r w:rsidR="00AA051B" w:rsidRPr="00AA051B">
          <w:rPr>
            <w:webHidden/>
          </w:rPr>
          <w:fldChar w:fldCharType="end"/>
        </w:r>
      </w:hyperlink>
    </w:p>
    <w:p w14:paraId="632E5F64" w14:textId="1F288751" w:rsidR="00AA051B" w:rsidRPr="00AA051B" w:rsidRDefault="00317BA0" w:rsidP="00AA051B">
      <w:pPr>
        <w:pStyle w:val="TableofFigures"/>
        <w:rPr>
          <w:rFonts w:asciiTheme="minorHAnsi" w:eastAsiaTheme="minorEastAsia" w:hAnsiTheme="minorHAnsi" w:cstheme="minorBidi"/>
          <w:sz w:val="22"/>
          <w:szCs w:val="22"/>
        </w:rPr>
      </w:pPr>
      <w:hyperlink w:anchor="_Toc56583837" w:history="1">
        <w:r w:rsidR="00AA051B" w:rsidRPr="00AA051B">
          <w:rPr>
            <w:rStyle w:val="Hyperlink"/>
          </w:rPr>
          <w:t>Table 7:5:Technology needs for Agriculture</w:t>
        </w:r>
        <w:r w:rsidR="00AA051B" w:rsidRPr="00AA051B">
          <w:rPr>
            <w:webHidden/>
          </w:rPr>
          <w:tab/>
        </w:r>
        <w:r w:rsidR="00AA051B" w:rsidRPr="00AA051B">
          <w:rPr>
            <w:webHidden/>
          </w:rPr>
          <w:fldChar w:fldCharType="begin"/>
        </w:r>
        <w:r w:rsidR="00AA051B" w:rsidRPr="00AA051B">
          <w:rPr>
            <w:webHidden/>
          </w:rPr>
          <w:instrText xml:space="preserve"> PAGEREF _Toc56583837 \h </w:instrText>
        </w:r>
        <w:r w:rsidR="00AA051B" w:rsidRPr="00AA051B">
          <w:rPr>
            <w:webHidden/>
          </w:rPr>
        </w:r>
        <w:r w:rsidR="00AA051B" w:rsidRPr="00AA051B">
          <w:rPr>
            <w:webHidden/>
          </w:rPr>
          <w:fldChar w:fldCharType="separate"/>
        </w:r>
        <w:r w:rsidR="00AA051B" w:rsidRPr="00AA051B">
          <w:rPr>
            <w:webHidden/>
          </w:rPr>
          <w:t>173</w:t>
        </w:r>
        <w:r w:rsidR="00AA051B" w:rsidRPr="00AA051B">
          <w:rPr>
            <w:webHidden/>
          </w:rPr>
          <w:fldChar w:fldCharType="end"/>
        </w:r>
      </w:hyperlink>
    </w:p>
    <w:p w14:paraId="050E5D85" w14:textId="42D75DE8" w:rsidR="00AA051B" w:rsidRPr="00AA051B" w:rsidRDefault="00317BA0" w:rsidP="00AA051B">
      <w:pPr>
        <w:pStyle w:val="TableofFigures"/>
        <w:rPr>
          <w:rFonts w:asciiTheme="minorHAnsi" w:eastAsiaTheme="minorEastAsia" w:hAnsiTheme="minorHAnsi" w:cstheme="minorBidi"/>
          <w:sz w:val="22"/>
          <w:szCs w:val="22"/>
        </w:rPr>
      </w:pPr>
      <w:hyperlink w:anchor="_Toc56583838" w:history="1">
        <w:r w:rsidR="00AA051B" w:rsidRPr="00AA051B">
          <w:rPr>
            <w:rStyle w:val="Hyperlink"/>
          </w:rPr>
          <w:t>Table 7:6:Technology needs for Forestry</w:t>
        </w:r>
        <w:r w:rsidR="00AA051B" w:rsidRPr="00AA051B">
          <w:rPr>
            <w:webHidden/>
          </w:rPr>
          <w:tab/>
        </w:r>
        <w:r w:rsidR="00AA051B" w:rsidRPr="00AA051B">
          <w:rPr>
            <w:webHidden/>
          </w:rPr>
          <w:fldChar w:fldCharType="begin"/>
        </w:r>
        <w:r w:rsidR="00AA051B" w:rsidRPr="00AA051B">
          <w:rPr>
            <w:webHidden/>
          </w:rPr>
          <w:instrText xml:space="preserve"> PAGEREF _Toc56583838 \h </w:instrText>
        </w:r>
        <w:r w:rsidR="00AA051B" w:rsidRPr="00AA051B">
          <w:rPr>
            <w:webHidden/>
          </w:rPr>
        </w:r>
        <w:r w:rsidR="00AA051B" w:rsidRPr="00AA051B">
          <w:rPr>
            <w:webHidden/>
          </w:rPr>
          <w:fldChar w:fldCharType="separate"/>
        </w:r>
        <w:r w:rsidR="00AA051B" w:rsidRPr="00AA051B">
          <w:rPr>
            <w:webHidden/>
          </w:rPr>
          <w:t>174</w:t>
        </w:r>
        <w:r w:rsidR="00AA051B" w:rsidRPr="00AA051B">
          <w:rPr>
            <w:webHidden/>
          </w:rPr>
          <w:fldChar w:fldCharType="end"/>
        </w:r>
      </w:hyperlink>
    </w:p>
    <w:p w14:paraId="13265C42" w14:textId="72A466C6" w:rsidR="00AA051B" w:rsidRPr="00AA051B" w:rsidRDefault="00317BA0" w:rsidP="00AA051B">
      <w:pPr>
        <w:pStyle w:val="TableofFigures"/>
        <w:rPr>
          <w:rFonts w:asciiTheme="minorHAnsi" w:eastAsiaTheme="minorEastAsia" w:hAnsiTheme="minorHAnsi" w:cstheme="minorBidi"/>
          <w:sz w:val="22"/>
          <w:szCs w:val="22"/>
        </w:rPr>
      </w:pPr>
      <w:hyperlink w:anchor="_Toc56583839" w:history="1">
        <w:r w:rsidR="00AA051B" w:rsidRPr="00AA051B">
          <w:rPr>
            <w:rStyle w:val="Hyperlink"/>
          </w:rPr>
          <w:t>Table 7:7:Technology needs for Waste</w:t>
        </w:r>
        <w:r w:rsidR="00AA051B" w:rsidRPr="00AA051B">
          <w:rPr>
            <w:webHidden/>
          </w:rPr>
          <w:tab/>
        </w:r>
        <w:r w:rsidR="00AA051B" w:rsidRPr="00AA051B">
          <w:rPr>
            <w:webHidden/>
          </w:rPr>
          <w:fldChar w:fldCharType="begin"/>
        </w:r>
        <w:r w:rsidR="00AA051B" w:rsidRPr="00AA051B">
          <w:rPr>
            <w:webHidden/>
          </w:rPr>
          <w:instrText xml:space="preserve"> PAGEREF _Toc56583839 \h </w:instrText>
        </w:r>
        <w:r w:rsidR="00AA051B" w:rsidRPr="00AA051B">
          <w:rPr>
            <w:webHidden/>
          </w:rPr>
        </w:r>
        <w:r w:rsidR="00AA051B" w:rsidRPr="00AA051B">
          <w:rPr>
            <w:webHidden/>
          </w:rPr>
          <w:fldChar w:fldCharType="separate"/>
        </w:r>
        <w:r w:rsidR="00AA051B" w:rsidRPr="00AA051B">
          <w:rPr>
            <w:webHidden/>
          </w:rPr>
          <w:t>174</w:t>
        </w:r>
        <w:r w:rsidR="00AA051B" w:rsidRPr="00AA051B">
          <w:rPr>
            <w:webHidden/>
          </w:rPr>
          <w:fldChar w:fldCharType="end"/>
        </w:r>
      </w:hyperlink>
    </w:p>
    <w:p w14:paraId="41AE1882" w14:textId="6FBEBB7D" w:rsidR="00AA051B" w:rsidRPr="00AA051B" w:rsidRDefault="00317BA0" w:rsidP="00AA051B">
      <w:pPr>
        <w:pStyle w:val="TableofFigures"/>
        <w:rPr>
          <w:rFonts w:asciiTheme="minorHAnsi" w:eastAsiaTheme="minorEastAsia" w:hAnsiTheme="minorHAnsi" w:cstheme="minorBidi"/>
          <w:sz w:val="22"/>
          <w:szCs w:val="22"/>
        </w:rPr>
      </w:pPr>
      <w:hyperlink w:anchor="_Toc56583840" w:history="1">
        <w:r w:rsidR="00AA051B" w:rsidRPr="00AA051B">
          <w:rPr>
            <w:rStyle w:val="Hyperlink"/>
          </w:rPr>
          <w:t>Table 7:8:Technology needs for Buildings</w:t>
        </w:r>
        <w:r w:rsidR="00AA051B" w:rsidRPr="00AA051B">
          <w:rPr>
            <w:webHidden/>
          </w:rPr>
          <w:tab/>
        </w:r>
        <w:r w:rsidR="00AA051B" w:rsidRPr="00AA051B">
          <w:rPr>
            <w:webHidden/>
          </w:rPr>
          <w:fldChar w:fldCharType="begin"/>
        </w:r>
        <w:r w:rsidR="00AA051B" w:rsidRPr="00AA051B">
          <w:rPr>
            <w:webHidden/>
          </w:rPr>
          <w:instrText xml:space="preserve"> PAGEREF _Toc56583840 \h </w:instrText>
        </w:r>
        <w:r w:rsidR="00AA051B" w:rsidRPr="00AA051B">
          <w:rPr>
            <w:webHidden/>
          </w:rPr>
        </w:r>
        <w:r w:rsidR="00AA051B" w:rsidRPr="00AA051B">
          <w:rPr>
            <w:webHidden/>
          </w:rPr>
          <w:fldChar w:fldCharType="separate"/>
        </w:r>
        <w:r w:rsidR="00AA051B" w:rsidRPr="00AA051B">
          <w:rPr>
            <w:webHidden/>
          </w:rPr>
          <w:t>174</w:t>
        </w:r>
        <w:r w:rsidR="00AA051B" w:rsidRPr="00AA051B">
          <w:rPr>
            <w:webHidden/>
          </w:rPr>
          <w:fldChar w:fldCharType="end"/>
        </w:r>
      </w:hyperlink>
    </w:p>
    <w:p w14:paraId="4EEF0679" w14:textId="00330CF3" w:rsidR="00AA051B" w:rsidRPr="00AA051B" w:rsidRDefault="00317BA0" w:rsidP="00AA051B">
      <w:pPr>
        <w:pStyle w:val="TableofFigures"/>
        <w:rPr>
          <w:rFonts w:asciiTheme="minorHAnsi" w:eastAsiaTheme="minorEastAsia" w:hAnsiTheme="minorHAnsi" w:cstheme="minorBidi"/>
          <w:sz w:val="22"/>
          <w:szCs w:val="22"/>
        </w:rPr>
      </w:pPr>
      <w:hyperlink w:anchor="_Toc56583841" w:history="1">
        <w:r w:rsidR="00AA051B" w:rsidRPr="00AA051B">
          <w:rPr>
            <w:rStyle w:val="Hyperlink"/>
          </w:rPr>
          <w:t>Table 7:9:Technology needs for Buildings</w:t>
        </w:r>
        <w:r w:rsidR="00AA051B" w:rsidRPr="00AA051B">
          <w:rPr>
            <w:webHidden/>
          </w:rPr>
          <w:tab/>
        </w:r>
        <w:r w:rsidR="00AA051B" w:rsidRPr="00AA051B">
          <w:rPr>
            <w:webHidden/>
          </w:rPr>
          <w:fldChar w:fldCharType="begin"/>
        </w:r>
        <w:r w:rsidR="00AA051B" w:rsidRPr="00AA051B">
          <w:rPr>
            <w:webHidden/>
          </w:rPr>
          <w:instrText xml:space="preserve"> PAGEREF _Toc56583841 \h </w:instrText>
        </w:r>
        <w:r w:rsidR="00AA051B" w:rsidRPr="00AA051B">
          <w:rPr>
            <w:webHidden/>
          </w:rPr>
        </w:r>
        <w:r w:rsidR="00AA051B" w:rsidRPr="00AA051B">
          <w:rPr>
            <w:webHidden/>
          </w:rPr>
          <w:fldChar w:fldCharType="separate"/>
        </w:r>
        <w:r w:rsidR="00AA051B" w:rsidRPr="00AA051B">
          <w:rPr>
            <w:webHidden/>
          </w:rPr>
          <w:t>175</w:t>
        </w:r>
        <w:r w:rsidR="00AA051B" w:rsidRPr="00AA051B">
          <w:rPr>
            <w:webHidden/>
          </w:rPr>
          <w:fldChar w:fldCharType="end"/>
        </w:r>
      </w:hyperlink>
    </w:p>
    <w:p w14:paraId="11783B26" w14:textId="42D8223A" w:rsidR="00CF181B" w:rsidRPr="00191ACB" w:rsidRDefault="00F943B5" w:rsidP="00E55469">
      <w:pPr>
        <w:keepNext/>
        <w:spacing w:after="0" w:line="240" w:lineRule="auto"/>
        <w:jc w:val="both"/>
        <w:outlineLvl w:val="0"/>
        <w:rPr>
          <w:rFonts w:ascii="Times New Roman" w:eastAsia="Times New Roman" w:hAnsi="Times New Roman" w:cs="Times New Roman"/>
          <w:color w:val="000000" w:themeColor="text1"/>
          <w:sz w:val="24"/>
          <w:szCs w:val="24"/>
          <w:lang w:eastAsia="x-none"/>
        </w:rPr>
      </w:pPr>
      <w:r w:rsidRPr="00AA051B">
        <w:rPr>
          <w:rFonts w:ascii="Times New Roman" w:eastAsia="Times New Roman" w:hAnsi="Times New Roman" w:cs="Times New Roman"/>
          <w:bCs/>
          <w:color w:val="000000" w:themeColor="text1"/>
          <w:sz w:val="24"/>
          <w:szCs w:val="24"/>
          <w:lang w:eastAsia="x-none"/>
        </w:rPr>
        <w:fldChar w:fldCharType="end"/>
      </w:r>
    </w:p>
    <w:p w14:paraId="0C593CC8" w14:textId="40B8ED66" w:rsidR="00A9606F" w:rsidRPr="00191ACB" w:rsidRDefault="00A9606F" w:rsidP="00E55469">
      <w:pPr>
        <w:keepNext/>
        <w:spacing w:after="0" w:line="240" w:lineRule="auto"/>
        <w:jc w:val="both"/>
        <w:outlineLvl w:val="0"/>
        <w:rPr>
          <w:rFonts w:ascii="Times New Roman" w:eastAsia="Times New Roman" w:hAnsi="Times New Roman" w:cs="Times New Roman"/>
          <w:color w:val="000000" w:themeColor="text1"/>
          <w:sz w:val="24"/>
          <w:szCs w:val="24"/>
          <w:lang w:eastAsia="x-none"/>
        </w:rPr>
      </w:pPr>
      <w:bookmarkStart w:id="4" w:name="_Toc57902787"/>
      <w:r w:rsidRPr="00191ACB">
        <w:rPr>
          <w:rFonts w:ascii="Times New Roman" w:eastAsia="Times New Roman" w:hAnsi="Times New Roman" w:cs="Times New Roman"/>
          <w:color w:val="000000" w:themeColor="text1"/>
          <w:sz w:val="24"/>
          <w:szCs w:val="24"/>
          <w:lang w:eastAsia="x-none"/>
        </w:rPr>
        <w:t>TABLE OF FIGURES</w:t>
      </w:r>
      <w:bookmarkEnd w:id="4"/>
    </w:p>
    <w:p w14:paraId="1A333C81" w14:textId="0DD7FC80" w:rsidR="00AA051B" w:rsidRPr="00AA051B" w:rsidRDefault="00F943B5" w:rsidP="00AA051B">
      <w:pPr>
        <w:pStyle w:val="TableofFigures"/>
        <w:rPr>
          <w:rFonts w:asciiTheme="minorHAnsi" w:eastAsiaTheme="minorEastAsia" w:hAnsiTheme="minorHAnsi" w:cstheme="minorBidi"/>
          <w:sz w:val="22"/>
          <w:szCs w:val="22"/>
        </w:rPr>
      </w:pPr>
      <w:r w:rsidRPr="00AA051B">
        <w:rPr>
          <w:rFonts w:ascii="Times New Roman" w:hAnsi="Times New Roman" w:cs="Times New Roman"/>
          <w:szCs w:val="24"/>
        </w:rPr>
        <w:fldChar w:fldCharType="begin"/>
      </w:r>
      <w:r w:rsidRPr="00AA051B">
        <w:rPr>
          <w:rFonts w:ascii="Times New Roman" w:hAnsi="Times New Roman" w:cs="Times New Roman"/>
          <w:szCs w:val="24"/>
        </w:rPr>
        <w:instrText xml:space="preserve"> TOC \c "Figure" </w:instrText>
      </w:r>
      <w:r w:rsidRPr="00AA051B">
        <w:rPr>
          <w:rFonts w:ascii="Times New Roman" w:hAnsi="Times New Roman" w:cs="Times New Roman"/>
          <w:szCs w:val="24"/>
        </w:rPr>
        <w:fldChar w:fldCharType="separate"/>
      </w:r>
      <w:r w:rsidR="00AA051B" w:rsidRPr="00AA051B">
        <w:t>Figure 2:1:Physical Map of Zambia</w:t>
      </w:r>
      <w:r w:rsidR="00AA051B" w:rsidRPr="00AA051B">
        <w:tab/>
      </w:r>
      <w:r w:rsidR="00AA051B" w:rsidRPr="00AA051B">
        <w:fldChar w:fldCharType="begin"/>
      </w:r>
      <w:r w:rsidR="00AA051B" w:rsidRPr="00AA051B">
        <w:instrText xml:space="preserve"> PAGEREF _Toc56583842 \h </w:instrText>
      </w:r>
      <w:r w:rsidR="00AA051B" w:rsidRPr="00AA051B">
        <w:fldChar w:fldCharType="separate"/>
      </w:r>
      <w:r w:rsidR="00AA051B" w:rsidRPr="00AA051B">
        <w:t>3</w:t>
      </w:r>
      <w:r w:rsidR="00AA051B" w:rsidRPr="00AA051B">
        <w:fldChar w:fldCharType="end"/>
      </w:r>
    </w:p>
    <w:p w14:paraId="3AA4E99F" w14:textId="45A3FBA6" w:rsidR="00AA051B" w:rsidRPr="00AA051B" w:rsidRDefault="00AA051B" w:rsidP="00AA051B">
      <w:pPr>
        <w:pStyle w:val="TableofFigures"/>
        <w:rPr>
          <w:rFonts w:asciiTheme="minorHAnsi" w:eastAsiaTheme="minorEastAsia" w:hAnsiTheme="minorHAnsi" w:cstheme="minorBidi"/>
          <w:sz w:val="22"/>
          <w:szCs w:val="22"/>
        </w:rPr>
      </w:pPr>
      <w:r w:rsidRPr="00AA051B">
        <w:t>Figure 2:2:Quantity of petroleum feedstock imported in the country for the period 2012 to 2016</w:t>
      </w:r>
      <w:r w:rsidRPr="00AA051B">
        <w:tab/>
      </w:r>
      <w:r w:rsidRPr="00AA051B">
        <w:fldChar w:fldCharType="begin"/>
      </w:r>
      <w:r w:rsidRPr="00AA051B">
        <w:instrText xml:space="preserve"> PAGEREF _Toc56583843 \h </w:instrText>
      </w:r>
      <w:r w:rsidRPr="00AA051B">
        <w:fldChar w:fldCharType="separate"/>
      </w:r>
      <w:r w:rsidRPr="00AA051B">
        <w:t>14</w:t>
      </w:r>
      <w:r w:rsidRPr="00AA051B">
        <w:fldChar w:fldCharType="end"/>
      </w:r>
    </w:p>
    <w:p w14:paraId="63A33A8C" w14:textId="39C7604C" w:rsidR="00AA051B" w:rsidRPr="00AA051B" w:rsidRDefault="00AA051B" w:rsidP="00AA051B">
      <w:pPr>
        <w:pStyle w:val="TableofFigures"/>
        <w:rPr>
          <w:rFonts w:asciiTheme="minorHAnsi" w:eastAsiaTheme="minorEastAsia" w:hAnsiTheme="minorHAnsi" w:cstheme="minorBidi"/>
          <w:sz w:val="22"/>
          <w:szCs w:val="22"/>
        </w:rPr>
      </w:pPr>
      <w:r w:rsidRPr="00AA051B">
        <w:t>Figure 2:3:Structure for Climate Change Implementation</w:t>
      </w:r>
      <w:r w:rsidRPr="00AA051B">
        <w:tab/>
      </w:r>
      <w:r w:rsidRPr="00AA051B">
        <w:fldChar w:fldCharType="begin"/>
      </w:r>
      <w:r w:rsidRPr="00AA051B">
        <w:instrText xml:space="preserve"> PAGEREF _Toc56583844 \h </w:instrText>
      </w:r>
      <w:r w:rsidRPr="00AA051B">
        <w:fldChar w:fldCharType="separate"/>
      </w:r>
      <w:r w:rsidRPr="00AA051B">
        <w:t>15</w:t>
      </w:r>
      <w:r w:rsidRPr="00AA051B">
        <w:fldChar w:fldCharType="end"/>
      </w:r>
    </w:p>
    <w:p w14:paraId="0809F922" w14:textId="3E1B8400" w:rsidR="00AA051B" w:rsidRPr="00AA051B" w:rsidRDefault="00AA051B" w:rsidP="00AA051B">
      <w:pPr>
        <w:pStyle w:val="TableofFigures"/>
        <w:rPr>
          <w:rFonts w:asciiTheme="minorHAnsi" w:eastAsiaTheme="minorEastAsia" w:hAnsiTheme="minorHAnsi" w:cstheme="minorBidi"/>
          <w:sz w:val="22"/>
          <w:szCs w:val="22"/>
        </w:rPr>
      </w:pPr>
      <w:r w:rsidRPr="00AA051B">
        <w:t>Figure 2:4:. Structure for the preparation of the Biennial Update Report, Source: ZEMA, 2018</w:t>
      </w:r>
      <w:r w:rsidRPr="00AA051B">
        <w:tab/>
      </w:r>
      <w:r w:rsidRPr="00AA051B">
        <w:fldChar w:fldCharType="begin"/>
      </w:r>
      <w:r w:rsidRPr="00AA051B">
        <w:instrText xml:space="preserve"> PAGEREF _Toc56583845 \h </w:instrText>
      </w:r>
      <w:r w:rsidRPr="00AA051B">
        <w:fldChar w:fldCharType="separate"/>
      </w:r>
      <w:r w:rsidRPr="00AA051B">
        <w:t>16</w:t>
      </w:r>
      <w:r w:rsidRPr="00AA051B">
        <w:fldChar w:fldCharType="end"/>
      </w:r>
    </w:p>
    <w:p w14:paraId="01A752E4" w14:textId="2046B4C8" w:rsidR="00AA051B" w:rsidRPr="00AA051B" w:rsidRDefault="00AA051B" w:rsidP="00AA051B">
      <w:pPr>
        <w:pStyle w:val="TableofFigures"/>
        <w:rPr>
          <w:rFonts w:asciiTheme="minorHAnsi" w:eastAsiaTheme="minorEastAsia" w:hAnsiTheme="minorHAnsi" w:cstheme="minorBidi"/>
          <w:sz w:val="22"/>
          <w:szCs w:val="22"/>
        </w:rPr>
      </w:pPr>
      <w:r w:rsidRPr="00AA051B">
        <w:t>Figure 3:1:Trends of GHG emissions and removals</w:t>
      </w:r>
      <w:r w:rsidRPr="00AA051B">
        <w:tab/>
      </w:r>
      <w:r w:rsidRPr="00AA051B">
        <w:fldChar w:fldCharType="begin"/>
      </w:r>
      <w:r w:rsidRPr="00AA051B">
        <w:instrText xml:space="preserve"> PAGEREF _Toc56583846 \h </w:instrText>
      </w:r>
      <w:r w:rsidRPr="00AA051B">
        <w:fldChar w:fldCharType="separate"/>
      </w:r>
      <w:r w:rsidRPr="00AA051B">
        <w:t>18</w:t>
      </w:r>
      <w:r w:rsidRPr="00AA051B">
        <w:fldChar w:fldCharType="end"/>
      </w:r>
    </w:p>
    <w:p w14:paraId="0B239786" w14:textId="5E704002" w:rsidR="00AA051B" w:rsidRPr="00AA051B" w:rsidRDefault="00AA051B" w:rsidP="00AA051B">
      <w:pPr>
        <w:pStyle w:val="TableofFigures"/>
        <w:rPr>
          <w:rFonts w:asciiTheme="minorHAnsi" w:eastAsiaTheme="minorEastAsia" w:hAnsiTheme="minorHAnsi" w:cstheme="minorBidi"/>
          <w:sz w:val="22"/>
          <w:szCs w:val="22"/>
        </w:rPr>
      </w:pPr>
      <w:r w:rsidRPr="00AA051B">
        <w:t>Figure 3:2:Emissions contribution by sector for 2010 and 2016</w:t>
      </w:r>
      <w:r w:rsidRPr="00AA051B">
        <w:tab/>
      </w:r>
      <w:r w:rsidRPr="00AA051B">
        <w:fldChar w:fldCharType="begin"/>
      </w:r>
      <w:r w:rsidRPr="00AA051B">
        <w:instrText xml:space="preserve"> PAGEREF _Toc56583847 \h </w:instrText>
      </w:r>
      <w:r w:rsidRPr="00AA051B">
        <w:fldChar w:fldCharType="separate"/>
      </w:r>
      <w:r w:rsidRPr="00AA051B">
        <w:t>19</w:t>
      </w:r>
      <w:r w:rsidRPr="00AA051B">
        <w:fldChar w:fldCharType="end"/>
      </w:r>
    </w:p>
    <w:p w14:paraId="6F78A6FA" w14:textId="1E4D8CC9" w:rsidR="00AA051B" w:rsidRPr="00AA051B" w:rsidRDefault="00AA051B" w:rsidP="00AA051B">
      <w:pPr>
        <w:pStyle w:val="TableofFigures"/>
        <w:rPr>
          <w:rFonts w:asciiTheme="minorHAnsi" w:eastAsiaTheme="minorEastAsia" w:hAnsiTheme="minorHAnsi" w:cstheme="minorBidi"/>
          <w:sz w:val="22"/>
          <w:szCs w:val="22"/>
        </w:rPr>
      </w:pPr>
      <w:r w:rsidRPr="00AA051B">
        <w:t>Figure 3:3:Trends of emissions and removals by sector</w:t>
      </w:r>
      <w:r w:rsidRPr="00AA051B">
        <w:tab/>
      </w:r>
      <w:r w:rsidRPr="00AA051B">
        <w:fldChar w:fldCharType="begin"/>
      </w:r>
      <w:r w:rsidRPr="00AA051B">
        <w:instrText xml:space="preserve"> PAGEREF _Toc56583848 \h </w:instrText>
      </w:r>
      <w:r w:rsidRPr="00AA051B">
        <w:fldChar w:fldCharType="separate"/>
      </w:r>
      <w:r w:rsidRPr="00AA051B">
        <w:t>20</w:t>
      </w:r>
      <w:r w:rsidRPr="00AA051B">
        <w:fldChar w:fldCharType="end"/>
      </w:r>
    </w:p>
    <w:p w14:paraId="02AAAC1D" w14:textId="5A3013DC" w:rsidR="00AA051B" w:rsidRPr="00AA051B" w:rsidRDefault="00AA051B" w:rsidP="00AA051B">
      <w:pPr>
        <w:pStyle w:val="TableofFigures"/>
        <w:rPr>
          <w:rFonts w:asciiTheme="minorHAnsi" w:eastAsiaTheme="minorEastAsia" w:hAnsiTheme="minorHAnsi" w:cstheme="minorBidi"/>
          <w:sz w:val="22"/>
          <w:szCs w:val="22"/>
        </w:rPr>
      </w:pPr>
      <w:r w:rsidRPr="00AA051B">
        <w:t>Figure 3:4:emissions trends for all categories in the Land Category</w:t>
      </w:r>
      <w:r w:rsidRPr="00AA051B">
        <w:tab/>
      </w:r>
      <w:r w:rsidRPr="00AA051B">
        <w:fldChar w:fldCharType="begin"/>
      </w:r>
      <w:r w:rsidRPr="00AA051B">
        <w:instrText xml:space="preserve"> PAGEREF _Toc56583849 \h </w:instrText>
      </w:r>
      <w:r w:rsidRPr="00AA051B">
        <w:fldChar w:fldCharType="separate"/>
      </w:r>
      <w:r w:rsidRPr="00AA051B">
        <w:t>23</w:t>
      </w:r>
      <w:r w:rsidRPr="00AA051B">
        <w:fldChar w:fldCharType="end"/>
      </w:r>
    </w:p>
    <w:p w14:paraId="689983F6" w14:textId="59E97B47" w:rsidR="00AA051B" w:rsidRPr="00AA051B" w:rsidRDefault="00AA051B" w:rsidP="00AA051B">
      <w:pPr>
        <w:pStyle w:val="TableofFigures"/>
        <w:rPr>
          <w:rFonts w:asciiTheme="minorHAnsi" w:eastAsiaTheme="minorEastAsia" w:hAnsiTheme="minorHAnsi" w:cstheme="minorBidi"/>
          <w:sz w:val="22"/>
          <w:szCs w:val="22"/>
        </w:rPr>
      </w:pPr>
      <w:r w:rsidRPr="00AA051B">
        <w:t>Figure 3:5:Percentage contribution and trends of emissions removals by forest classification</w:t>
      </w:r>
      <w:r w:rsidRPr="00AA051B">
        <w:tab/>
      </w:r>
      <w:r w:rsidRPr="00AA051B">
        <w:fldChar w:fldCharType="begin"/>
      </w:r>
      <w:r w:rsidRPr="00AA051B">
        <w:instrText xml:space="preserve"> PAGEREF _Toc56583850 \h </w:instrText>
      </w:r>
      <w:r w:rsidRPr="00AA051B">
        <w:fldChar w:fldCharType="separate"/>
      </w:r>
      <w:r w:rsidRPr="00AA051B">
        <w:t>23</w:t>
      </w:r>
      <w:r w:rsidRPr="00AA051B">
        <w:fldChar w:fldCharType="end"/>
      </w:r>
    </w:p>
    <w:p w14:paraId="646873BF" w14:textId="1E8CBDD9" w:rsidR="00AA051B" w:rsidRPr="00AA051B" w:rsidRDefault="00AA051B" w:rsidP="00AA051B">
      <w:pPr>
        <w:pStyle w:val="TableofFigures"/>
        <w:rPr>
          <w:rFonts w:asciiTheme="minorHAnsi" w:eastAsiaTheme="minorEastAsia" w:hAnsiTheme="minorHAnsi" w:cstheme="minorBidi"/>
          <w:sz w:val="22"/>
          <w:szCs w:val="22"/>
        </w:rPr>
      </w:pPr>
      <w:r w:rsidRPr="00AA051B">
        <w:t>Figure 3:6: Percentage contribution to Sink in 2016</w:t>
      </w:r>
      <w:r w:rsidRPr="00AA051B">
        <w:tab/>
      </w:r>
      <w:r w:rsidRPr="00AA051B">
        <w:fldChar w:fldCharType="begin"/>
      </w:r>
      <w:r w:rsidRPr="00AA051B">
        <w:instrText xml:space="preserve"> PAGEREF _Toc56583851 \h </w:instrText>
      </w:r>
      <w:r w:rsidRPr="00AA051B">
        <w:fldChar w:fldCharType="separate"/>
      </w:r>
      <w:r w:rsidRPr="00AA051B">
        <w:t>24</w:t>
      </w:r>
      <w:r w:rsidRPr="00AA051B">
        <w:fldChar w:fldCharType="end"/>
      </w:r>
    </w:p>
    <w:p w14:paraId="162D4F24" w14:textId="71CA53A4" w:rsidR="00AA051B" w:rsidRPr="00AA051B" w:rsidRDefault="00AA051B" w:rsidP="00AA051B">
      <w:pPr>
        <w:pStyle w:val="TableofFigures"/>
        <w:rPr>
          <w:rFonts w:asciiTheme="minorHAnsi" w:eastAsiaTheme="minorEastAsia" w:hAnsiTheme="minorHAnsi" w:cstheme="minorBidi"/>
          <w:sz w:val="22"/>
          <w:szCs w:val="22"/>
        </w:rPr>
      </w:pPr>
      <w:r w:rsidRPr="00AA051B">
        <w:t>Figure 3:7:Emissions by gas for 2016</w:t>
      </w:r>
      <w:r w:rsidRPr="00AA051B">
        <w:tab/>
      </w:r>
      <w:r w:rsidRPr="00AA051B">
        <w:fldChar w:fldCharType="begin"/>
      </w:r>
      <w:r w:rsidRPr="00AA051B">
        <w:instrText xml:space="preserve"> PAGEREF _Toc56583852 \h </w:instrText>
      </w:r>
      <w:r w:rsidRPr="00AA051B">
        <w:fldChar w:fldCharType="separate"/>
      </w:r>
      <w:r w:rsidRPr="00AA051B">
        <w:t>24</w:t>
      </w:r>
      <w:r w:rsidRPr="00AA051B">
        <w:fldChar w:fldCharType="end"/>
      </w:r>
    </w:p>
    <w:p w14:paraId="6341C901" w14:textId="6ADCCE79" w:rsidR="00AA051B" w:rsidRPr="00AA051B" w:rsidRDefault="00AA051B" w:rsidP="00AA051B">
      <w:pPr>
        <w:pStyle w:val="TableofFigures"/>
        <w:rPr>
          <w:rFonts w:asciiTheme="minorHAnsi" w:eastAsiaTheme="minorEastAsia" w:hAnsiTheme="minorHAnsi" w:cstheme="minorBidi"/>
          <w:sz w:val="22"/>
          <w:szCs w:val="22"/>
        </w:rPr>
      </w:pPr>
      <w:r w:rsidRPr="00AA051B">
        <w:t>Figure 3:8:Emissions trends by gas</w:t>
      </w:r>
      <w:r w:rsidRPr="00AA051B">
        <w:tab/>
      </w:r>
      <w:r w:rsidRPr="00AA051B">
        <w:fldChar w:fldCharType="begin"/>
      </w:r>
      <w:r w:rsidRPr="00AA051B">
        <w:instrText xml:space="preserve"> PAGEREF _Toc56583853 \h </w:instrText>
      </w:r>
      <w:r w:rsidRPr="00AA051B">
        <w:fldChar w:fldCharType="separate"/>
      </w:r>
      <w:r w:rsidRPr="00AA051B">
        <w:t>25</w:t>
      </w:r>
      <w:r w:rsidRPr="00AA051B">
        <w:fldChar w:fldCharType="end"/>
      </w:r>
    </w:p>
    <w:p w14:paraId="6DC91CA7" w14:textId="312B61B8" w:rsidR="00AA051B" w:rsidRPr="00AA051B" w:rsidRDefault="00AA051B" w:rsidP="00AA051B">
      <w:pPr>
        <w:pStyle w:val="TableofFigures"/>
        <w:rPr>
          <w:rFonts w:asciiTheme="minorHAnsi" w:eastAsiaTheme="minorEastAsia" w:hAnsiTheme="minorHAnsi" w:cstheme="minorBidi"/>
          <w:sz w:val="22"/>
          <w:szCs w:val="22"/>
        </w:rPr>
      </w:pPr>
      <w:r w:rsidRPr="00AA051B">
        <w:t>Figure 3:9:CO2 emissions sources in AFOLU sector</w:t>
      </w:r>
      <w:r w:rsidRPr="00AA051B">
        <w:tab/>
      </w:r>
      <w:r w:rsidRPr="00AA051B">
        <w:fldChar w:fldCharType="begin"/>
      </w:r>
      <w:r w:rsidRPr="00AA051B">
        <w:instrText xml:space="preserve"> PAGEREF _Toc56583854 \h </w:instrText>
      </w:r>
      <w:r w:rsidRPr="00AA051B">
        <w:fldChar w:fldCharType="separate"/>
      </w:r>
      <w:r w:rsidRPr="00AA051B">
        <w:t>26</w:t>
      </w:r>
      <w:r w:rsidRPr="00AA051B">
        <w:fldChar w:fldCharType="end"/>
      </w:r>
    </w:p>
    <w:p w14:paraId="575D2515" w14:textId="5AA88CDF" w:rsidR="00AA051B" w:rsidRPr="00AA051B" w:rsidRDefault="00AA051B" w:rsidP="00AA051B">
      <w:pPr>
        <w:pStyle w:val="TableofFigures"/>
        <w:rPr>
          <w:rFonts w:asciiTheme="minorHAnsi" w:eastAsiaTheme="minorEastAsia" w:hAnsiTheme="minorHAnsi" w:cstheme="minorBidi"/>
          <w:sz w:val="22"/>
          <w:szCs w:val="22"/>
        </w:rPr>
      </w:pPr>
      <w:r w:rsidRPr="00AA051B">
        <w:t>Figure 3:10:Emissions Trends in the Energy Sector</w:t>
      </w:r>
      <w:r w:rsidRPr="00AA051B">
        <w:tab/>
      </w:r>
      <w:r w:rsidRPr="00AA051B">
        <w:fldChar w:fldCharType="begin"/>
      </w:r>
      <w:r w:rsidRPr="00AA051B">
        <w:instrText xml:space="preserve"> PAGEREF _Toc56583855 \h </w:instrText>
      </w:r>
      <w:r w:rsidRPr="00AA051B">
        <w:fldChar w:fldCharType="separate"/>
      </w:r>
      <w:r w:rsidRPr="00AA051B">
        <w:t>51</w:t>
      </w:r>
      <w:r w:rsidRPr="00AA051B">
        <w:fldChar w:fldCharType="end"/>
      </w:r>
    </w:p>
    <w:p w14:paraId="2B647E8E" w14:textId="313873DD" w:rsidR="00AA051B" w:rsidRPr="00AA051B" w:rsidRDefault="00AA051B" w:rsidP="00AA051B">
      <w:pPr>
        <w:pStyle w:val="TableofFigures"/>
        <w:rPr>
          <w:rFonts w:asciiTheme="minorHAnsi" w:eastAsiaTheme="minorEastAsia" w:hAnsiTheme="minorHAnsi" w:cstheme="minorBidi"/>
          <w:sz w:val="22"/>
          <w:szCs w:val="22"/>
        </w:rPr>
      </w:pPr>
      <w:r w:rsidRPr="00AA051B">
        <w:t>Figure 3:11:Emissions by gas Gg CO2 eq</w:t>
      </w:r>
      <w:r w:rsidRPr="00AA051B">
        <w:tab/>
      </w:r>
      <w:r w:rsidRPr="00AA051B">
        <w:fldChar w:fldCharType="begin"/>
      </w:r>
      <w:r w:rsidRPr="00AA051B">
        <w:instrText xml:space="preserve"> PAGEREF _Toc56583856 \h </w:instrText>
      </w:r>
      <w:r w:rsidRPr="00AA051B">
        <w:fldChar w:fldCharType="separate"/>
      </w:r>
      <w:r w:rsidRPr="00AA051B">
        <w:t>51</w:t>
      </w:r>
      <w:r w:rsidRPr="00AA051B">
        <w:fldChar w:fldCharType="end"/>
      </w:r>
    </w:p>
    <w:p w14:paraId="4957E4F4" w14:textId="2CAA02E5" w:rsidR="00AA051B" w:rsidRPr="00AA051B" w:rsidRDefault="00AA051B" w:rsidP="00AA051B">
      <w:pPr>
        <w:pStyle w:val="TableofFigures"/>
        <w:rPr>
          <w:rFonts w:asciiTheme="minorHAnsi" w:eastAsiaTheme="minorEastAsia" w:hAnsiTheme="minorHAnsi" w:cstheme="minorBidi"/>
          <w:sz w:val="22"/>
          <w:szCs w:val="22"/>
        </w:rPr>
      </w:pPr>
      <w:r w:rsidRPr="00AA051B">
        <w:t>Figure 3:12:Percentage contribution of emissions sources for fuel combustion in 2016</w:t>
      </w:r>
      <w:r w:rsidRPr="00AA051B">
        <w:tab/>
      </w:r>
      <w:r w:rsidRPr="00AA051B">
        <w:fldChar w:fldCharType="begin"/>
      </w:r>
      <w:r w:rsidRPr="00AA051B">
        <w:instrText xml:space="preserve"> PAGEREF _Toc56583857 \h </w:instrText>
      </w:r>
      <w:r w:rsidRPr="00AA051B">
        <w:fldChar w:fldCharType="separate"/>
      </w:r>
      <w:r w:rsidRPr="00AA051B">
        <w:t>52</w:t>
      </w:r>
      <w:r w:rsidRPr="00AA051B">
        <w:fldChar w:fldCharType="end"/>
      </w:r>
    </w:p>
    <w:p w14:paraId="4BF73689" w14:textId="4E0060A2" w:rsidR="00AA051B" w:rsidRPr="00AA051B" w:rsidRDefault="00AA051B" w:rsidP="00AA051B">
      <w:pPr>
        <w:pStyle w:val="TableofFigures"/>
        <w:rPr>
          <w:rFonts w:asciiTheme="minorHAnsi" w:eastAsiaTheme="minorEastAsia" w:hAnsiTheme="minorHAnsi" w:cstheme="minorBidi"/>
          <w:sz w:val="22"/>
          <w:szCs w:val="22"/>
        </w:rPr>
      </w:pPr>
      <w:r w:rsidRPr="00AA051B">
        <w:t>Figure 3:13:Trend of fugitive emissions from solid fuels</w:t>
      </w:r>
      <w:r w:rsidRPr="00AA051B">
        <w:tab/>
      </w:r>
      <w:r w:rsidRPr="00AA051B">
        <w:fldChar w:fldCharType="begin"/>
      </w:r>
      <w:r w:rsidRPr="00AA051B">
        <w:instrText xml:space="preserve"> PAGEREF _Toc56583858 \h </w:instrText>
      </w:r>
      <w:r w:rsidRPr="00AA051B">
        <w:fldChar w:fldCharType="separate"/>
      </w:r>
      <w:r w:rsidRPr="00AA051B">
        <w:t>53</w:t>
      </w:r>
      <w:r w:rsidRPr="00AA051B">
        <w:fldChar w:fldCharType="end"/>
      </w:r>
    </w:p>
    <w:p w14:paraId="65F41410" w14:textId="2FC8B260" w:rsidR="00AA051B" w:rsidRPr="00AA051B" w:rsidRDefault="00AA051B" w:rsidP="00AA051B">
      <w:pPr>
        <w:pStyle w:val="TableofFigures"/>
        <w:rPr>
          <w:rFonts w:asciiTheme="minorHAnsi" w:eastAsiaTheme="minorEastAsia" w:hAnsiTheme="minorHAnsi" w:cstheme="minorBidi"/>
          <w:sz w:val="22"/>
          <w:szCs w:val="22"/>
        </w:rPr>
      </w:pPr>
      <w:r w:rsidRPr="00AA051B">
        <w:t>Figure 3:14:Emissions trends for IPPU</w:t>
      </w:r>
      <w:r w:rsidRPr="00AA051B">
        <w:tab/>
      </w:r>
      <w:r w:rsidRPr="00AA051B">
        <w:fldChar w:fldCharType="begin"/>
      </w:r>
      <w:r w:rsidRPr="00AA051B">
        <w:instrText xml:space="preserve"> PAGEREF _Toc56583859 \h </w:instrText>
      </w:r>
      <w:r w:rsidRPr="00AA051B">
        <w:fldChar w:fldCharType="separate"/>
      </w:r>
      <w:r w:rsidRPr="00AA051B">
        <w:t>55</w:t>
      </w:r>
      <w:r w:rsidRPr="00AA051B">
        <w:fldChar w:fldCharType="end"/>
      </w:r>
    </w:p>
    <w:p w14:paraId="5FB29209" w14:textId="08437B08" w:rsidR="00AA051B" w:rsidRPr="00AA051B" w:rsidRDefault="00AA051B" w:rsidP="00AA051B">
      <w:pPr>
        <w:pStyle w:val="TableofFigures"/>
        <w:rPr>
          <w:rFonts w:asciiTheme="minorHAnsi" w:eastAsiaTheme="minorEastAsia" w:hAnsiTheme="minorHAnsi" w:cstheme="minorBidi"/>
          <w:sz w:val="22"/>
          <w:szCs w:val="22"/>
        </w:rPr>
      </w:pPr>
      <w:r w:rsidRPr="00AA051B">
        <w:t>Figure 3:15:Trends of emissions by category</w:t>
      </w:r>
      <w:r w:rsidRPr="00AA051B">
        <w:tab/>
      </w:r>
      <w:r w:rsidRPr="00AA051B">
        <w:fldChar w:fldCharType="begin"/>
      </w:r>
      <w:r w:rsidRPr="00AA051B">
        <w:instrText xml:space="preserve"> PAGEREF _Toc56583860 \h </w:instrText>
      </w:r>
      <w:r w:rsidRPr="00AA051B">
        <w:fldChar w:fldCharType="separate"/>
      </w:r>
      <w:r w:rsidRPr="00AA051B">
        <w:t>55</w:t>
      </w:r>
      <w:r w:rsidRPr="00AA051B">
        <w:fldChar w:fldCharType="end"/>
      </w:r>
    </w:p>
    <w:p w14:paraId="60995682" w14:textId="4E909732" w:rsidR="00AA051B" w:rsidRPr="00AA051B" w:rsidRDefault="00AA051B" w:rsidP="00AA051B">
      <w:pPr>
        <w:pStyle w:val="TableofFigures"/>
        <w:rPr>
          <w:rFonts w:asciiTheme="minorHAnsi" w:eastAsiaTheme="minorEastAsia" w:hAnsiTheme="minorHAnsi" w:cstheme="minorBidi"/>
          <w:sz w:val="22"/>
          <w:szCs w:val="22"/>
        </w:rPr>
      </w:pPr>
      <w:r w:rsidRPr="00AA051B">
        <w:t>Figure 3:16:Emissions by gas in 2016 for the IPPU Sector</w:t>
      </w:r>
      <w:r w:rsidRPr="00AA051B">
        <w:tab/>
      </w:r>
      <w:r w:rsidRPr="00AA051B">
        <w:fldChar w:fldCharType="begin"/>
      </w:r>
      <w:r w:rsidRPr="00AA051B">
        <w:instrText xml:space="preserve"> PAGEREF _Toc56583861 \h </w:instrText>
      </w:r>
      <w:r w:rsidRPr="00AA051B">
        <w:fldChar w:fldCharType="separate"/>
      </w:r>
      <w:r w:rsidRPr="00AA051B">
        <w:t>56</w:t>
      </w:r>
      <w:r w:rsidRPr="00AA051B">
        <w:fldChar w:fldCharType="end"/>
      </w:r>
    </w:p>
    <w:p w14:paraId="7598A100" w14:textId="03B43881" w:rsidR="00AA051B" w:rsidRPr="00AA051B" w:rsidRDefault="00AA051B" w:rsidP="00AA051B">
      <w:pPr>
        <w:pStyle w:val="TableofFigures"/>
        <w:rPr>
          <w:rFonts w:asciiTheme="minorHAnsi" w:eastAsiaTheme="minorEastAsia" w:hAnsiTheme="minorHAnsi" w:cstheme="minorBidi"/>
          <w:sz w:val="22"/>
          <w:szCs w:val="22"/>
        </w:rPr>
      </w:pPr>
      <w:r w:rsidRPr="00AA051B">
        <w:t>Figure 3:17:Trends of emissions and removals for AFOLU</w:t>
      </w:r>
      <w:r w:rsidRPr="00AA051B">
        <w:tab/>
      </w:r>
      <w:r w:rsidRPr="00AA051B">
        <w:fldChar w:fldCharType="begin"/>
      </w:r>
      <w:r w:rsidRPr="00AA051B">
        <w:instrText xml:space="preserve"> PAGEREF _Toc56583862 \h </w:instrText>
      </w:r>
      <w:r w:rsidRPr="00AA051B">
        <w:fldChar w:fldCharType="separate"/>
      </w:r>
      <w:r w:rsidRPr="00AA051B">
        <w:t>65</w:t>
      </w:r>
      <w:r w:rsidRPr="00AA051B">
        <w:fldChar w:fldCharType="end"/>
      </w:r>
    </w:p>
    <w:p w14:paraId="7B656CCA" w14:textId="25276545" w:rsidR="00AA051B" w:rsidRPr="00AA051B" w:rsidRDefault="00AA051B" w:rsidP="00AA051B">
      <w:pPr>
        <w:pStyle w:val="TableofFigures"/>
        <w:rPr>
          <w:rFonts w:asciiTheme="minorHAnsi" w:eastAsiaTheme="minorEastAsia" w:hAnsiTheme="minorHAnsi" w:cstheme="minorBidi"/>
          <w:sz w:val="22"/>
          <w:szCs w:val="22"/>
        </w:rPr>
      </w:pPr>
      <w:r w:rsidRPr="00AA051B">
        <w:t>Figure 3:18:Emissions trends and contribution by category from AFOLU sector</w:t>
      </w:r>
      <w:r w:rsidRPr="00AA051B">
        <w:tab/>
      </w:r>
      <w:r w:rsidRPr="00AA051B">
        <w:fldChar w:fldCharType="begin"/>
      </w:r>
      <w:r w:rsidRPr="00AA051B">
        <w:instrText xml:space="preserve"> PAGEREF _Toc56583863 \h </w:instrText>
      </w:r>
      <w:r w:rsidRPr="00AA051B">
        <w:fldChar w:fldCharType="separate"/>
      </w:r>
      <w:r w:rsidRPr="00AA051B">
        <w:t>66</w:t>
      </w:r>
      <w:r w:rsidRPr="00AA051B">
        <w:fldChar w:fldCharType="end"/>
      </w:r>
    </w:p>
    <w:p w14:paraId="7D0B81E2" w14:textId="5863EE79" w:rsidR="00AA051B" w:rsidRPr="00AA051B" w:rsidRDefault="00AA051B" w:rsidP="00AA051B">
      <w:pPr>
        <w:pStyle w:val="TableofFigures"/>
        <w:rPr>
          <w:rFonts w:asciiTheme="minorHAnsi" w:eastAsiaTheme="minorEastAsia" w:hAnsiTheme="minorHAnsi" w:cstheme="minorBidi"/>
          <w:sz w:val="22"/>
          <w:szCs w:val="22"/>
        </w:rPr>
      </w:pPr>
      <w:r w:rsidRPr="00AA051B">
        <w:t>Figure 3:19:Emissions Removals from Land Category</w:t>
      </w:r>
      <w:r w:rsidRPr="00AA051B">
        <w:tab/>
      </w:r>
      <w:r w:rsidRPr="00AA051B">
        <w:fldChar w:fldCharType="begin"/>
      </w:r>
      <w:r w:rsidRPr="00AA051B">
        <w:instrText xml:space="preserve"> PAGEREF _Toc56583864 \h </w:instrText>
      </w:r>
      <w:r w:rsidRPr="00AA051B">
        <w:fldChar w:fldCharType="separate"/>
      </w:r>
      <w:r w:rsidRPr="00AA051B">
        <w:t>69</w:t>
      </w:r>
      <w:r w:rsidRPr="00AA051B">
        <w:fldChar w:fldCharType="end"/>
      </w:r>
    </w:p>
    <w:p w14:paraId="3D82A8B9" w14:textId="18764A1F" w:rsidR="00AA051B" w:rsidRPr="00AA051B" w:rsidRDefault="00AA051B" w:rsidP="00AA051B">
      <w:pPr>
        <w:pStyle w:val="TableofFigures"/>
        <w:rPr>
          <w:rFonts w:asciiTheme="minorHAnsi" w:eastAsiaTheme="minorEastAsia" w:hAnsiTheme="minorHAnsi" w:cstheme="minorBidi"/>
          <w:sz w:val="22"/>
          <w:szCs w:val="22"/>
        </w:rPr>
      </w:pPr>
      <w:r w:rsidRPr="00AA051B">
        <w:t>Figure 3:20: (a) Trend in carbon uptake in Pine plantation (b)Trend in carbon uptake in Eucalyptus plantation</w:t>
      </w:r>
      <w:r w:rsidRPr="00AA051B">
        <w:tab/>
      </w:r>
      <w:r w:rsidRPr="00AA051B">
        <w:fldChar w:fldCharType="begin"/>
      </w:r>
      <w:r w:rsidRPr="00AA051B">
        <w:instrText xml:space="preserve"> PAGEREF _Toc56583865 \h </w:instrText>
      </w:r>
      <w:r w:rsidRPr="00AA051B">
        <w:fldChar w:fldCharType="separate"/>
      </w:r>
      <w:r w:rsidRPr="00AA051B">
        <w:t>69</w:t>
      </w:r>
      <w:r w:rsidRPr="00AA051B">
        <w:fldChar w:fldCharType="end"/>
      </w:r>
    </w:p>
    <w:p w14:paraId="588F9128" w14:textId="38636F8C" w:rsidR="00AA051B" w:rsidRPr="00AA051B" w:rsidRDefault="00AA051B" w:rsidP="00AA051B">
      <w:pPr>
        <w:pStyle w:val="TableofFigures"/>
        <w:rPr>
          <w:rFonts w:asciiTheme="minorHAnsi" w:eastAsiaTheme="minorEastAsia" w:hAnsiTheme="minorHAnsi" w:cstheme="minorBidi"/>
          <w:sz w:val="22"/>
          <w:szCs w:val="22"/>
        </w:rPr>
      </w:pPr>
      <w:r w:rsidRPr="00AA051B">
        <w:t>Figure 3:21:Trends of Emissions from sub category under Land</w:t>
      </w:r>
      <w:r w:rsidRPr="00AA051B">
        <w:tab/>
      </w:r>
      <w:r w:rsidRPr="00AA051B">
        <w:fldChar w:fldCharType="begin"/>
      </w:r>
      <w:r w:rsidRPr="00AA051B">
        <w:instrText xml:space="preserve"> PAGEREF _Toc56583866 \h </w:instrText>
      </w:r>
      <w:r w:rsidRPr="00AA051B">
        <w:fldChar w:fldCharType="separate"/>
      </w:r>
      <w:r w:rsidRPr="00AA051B">
        <w:t>70</w:t>
      </w:r>
      <w:r w:rsidRPr="00AA051B">
        <w:fldChar w:fldCharType="end"/>
      </w:r>
    </w:p>
    <w:p w14:paraId="16C07E1B" w14:textId="60F892AF" w:rsidR="00AA051B" w:rsidRPr="00AA051B" w:rsidRDefault="00AA051B" w:rsidP="00AA051B">
      <w:pPr>
        <w:pStyle w:val="TableofFigures"/>
        <w:rPr>
          <w:rFonts w:asciiTheme="minorHAnsi" w:eastAsiaTheme="minorEastAsia" w:hAnsiTheme="minorHAnsi" w:cstheme="minorBidi"/>
          <w:sz w:val="22"/>
          <w:szCs w:val="22"/>
        </w:rPr>
      </w:pPr>
      <w:r w:rsidRPr="00AA051B">
        <w:t>Figure 3:22:Percentage contribution to Land emissions in 2016</w:t>
      </w:r>
      <w:r w:rsidRPr="00AA051B">
        <w:tab/>
      </w:r>
      <w:r w:rsidRPr="00AA051B">
        <w:fldChar w:fldCharType="begin"/>
      </w:r>
      <w:r w:rsidRPr="00AA051B">
        <w:instrText xml:space="preserve"> PAGEREF _Toc56583867 \h </w:instrText>
      </w:r>
      <w:r w:rsidRPr="00AA051B">
        <w:fldChar w:fldCharType="separate"/>
      </w:r>
      <w:r w:rsidRPr="00AA051B">
        <w:t>70</w:t>
      </w:r>
      <w:r w:rsidRPr="00AA051B">
        <w:fldChar w:fldCharType="end"/>
      </w:r>
    </w:p>
    <w:p w14:paraId="71B28BBA" w14:textId="5B78D45E" w:rsidR="00AA051B" w:rsidRPr="00AA051B" w:rsidRDefault="00AA051B" w:rsidP="00AA051B">
      <w:pPr>
        <w:pStyle w:val="TableofFigures"/>
        <w:rPr>
          <w:rFonts w:asciiTheme="minorHAnsi" w:eastAsiaTheme="minorEastAsia" w:hAnsiTheme="minorHAnsi" w:cstheme="minorBidi"/>
          <w:sz w:val="22"/>
          <w:szCs w:val="22"/>
        </w:rPr>
      </w:pPr>
      <w:r w:rsidRPr="00AA051B">
        <w:t>Figure 3:23:Emissions removal by Forest Classification</w:t>
      </w:r>
      <w:r w:rsidRPr="00AA051B">
        <w:tab/>
      </w:r>
      <w:r w:rsidRPr="00AA051B">
        <w:fldChar w:fldCharType="begin"/>
      </w:r>
      <w:r w:rsidRPr="00AA051B">
        <w:instrText xml:space="preserve"> PAGEREF _Toc56583868 \h </w:instrText>
      </w:r>
      <w:r w:rsidRPr="00AA051B">
        <w:fldChar w:fldCharType="separate"/>
      </w:r>
      <w:r w:rsidRPr="00AA051B">
        <w:t>71</w:t>
      </w:r>
      <w:r w:rsidRPr="00AA051B">
        <w:fldChar w:fldCharType="end"/>
      </w:r>
    </w:p>
    <w:p w14:paraId="69A74811" w14:textId="51164CBA" w:rsidR="00AA051B" w:rsidRPr="00AA051B" w:rsidRDefault="00AA051B" w:rsidP="00AA051B">
      <w:pPr>
        <w:pStyle w:val="TableofFigures"/>
        <w:rPr>
          <w:rFonts w:asciiTheme="minorHAnsi" w:eastAsiaTheme="minorEastAsia" w:hAnsiTheme="minorHAnsi" w:cstheme="minorBidi"/>
          <w:sz w:val="22"/>
          <w:szCs w:val="22"/>
        </w:rPr>
      </w:pPr>
      <w:r w:rsidRPr="00AA051B">
        <w:t>Figure 3:24Percentage contributions of emissions of Wood removals by forest classification:</w:t>
      </w:r>
      <w:r w:rsidRPr="00AA051B">
        <w:tab/>
      </w:r>
      <w:r w:rsidRPr="00AA051B">
        <w:fldChar w:fldCharType="begin"/>
      </w:r>
      <w:r w:rsidRPr="00AA051B">
        <w:instrText xml:space="preserve"> PAGEREF _Toc56583869 \h </w:instrText>
      </w:r>
      <w:r w:rsidRPr="00AA051B">
        <w:fldChar w:fldCharType="separate"/>
      </w:r>
      <w:r w:rsidRPr="00AA051B">
        <w:t>72</w:t>
      </w:r>
      <w:r w:rsidRPr="00AA051B">
        <w:fldChar w:fldCharType="end"/>
      </w:r>
    </w:p>
    <w:p w14:paraId="5184AAC9" w14:textId="6E493647" w:rsidR="00AA051B" w:rsidRPr="00AA051B" w:rsidRDefault="00AA051B" w:rsidP="00AA051B">
      <w:pPr>
        <w:pStyle w:val="TableofFigures"/>
        <w:rPr>
          <w:rFonts w:asciiTheme="minorHAnsi" w:eastAsiaTheme="minorEastAsia" w:hAnsiTheme="minorHAnsi" w:cstheme="minorBidi"/>
          <w:sz w:val="22"/>
          <w:szCs w:val="22"/>
        </w:rPr>
      </w:pPr>
      <w:r w:rsidRPr="00AA051B">
        <w:t>Figure 3:25:The trend in wood removals</w:t>
      </w:r>
      <w:r w:rsidRPr="00AA051B">
        <w:tab/>
      </w:r>
      <w:r w:rsidRPr="00AA051B">
        <w:fldChar w:fldCharType="begin"/>
      </w:r>
      <w:r w:rsidRPr="00AA051B">
        <w:instrText xml:space="preserve"> PAGEREF _Toc56583870 \h </w:instrText>
      </w:r>
      <w:r w:rsidRPr="00AA051B">
        <w:fldChar w:fldCharType="separate"/>
      </w:r>
      <w:r w:rsidRPr="00AA051B">
        <w:t>73</w:t>
      </w:r>
      <w:r w:rsidRPr="00AA051B">
        <w:fldChar w:fldCharType="end"/>
      </w:r>
    </w:p>
    <w:p w14:paraId="6998CF76" w14:textId="6CC8749F" w:rsidR="00AA051B" w:rsidRPr="00AA051B" w:rsidRDefault="00AA051B" w:rsidP="00AA051B">
      <w:pPr>
        <w:pStyle w:val="TableofFigures"/>
        <w:rPr>
          <w:rFonts w:asciiTheme="minorHAnsi" w:eastAsiaTheme="minorEastAsia" w:hAnsiTheme="minorHAnsi" w:cstheme="minorBidi"/>
          <w:sz w:val="22"/>
          <w:szCs w:val="22"/>
        </w:rPr>
      </w:pPr>
      <w:r w:rsidRPr="00AA051B">
        <w:t>Figure 3:26:Percentage contributions of emissions of fuelwood removals by forest classification</w:t>
      </w:r>
      <w:r w:rsidRPr="00AA051B">
        <w:tab/>
      </w:r>
      <w:r w:rsidRPr="00AA051B">
        <w:fldChar w:fldCharType="begin"/>
      </w:r>
      <w:r w:rsidRPr="00AA051B">
        <w:instrText xml:space="preserve"> PAGEREF _Toc56583871 \h </w:instrText>
      </w:r>
      <w:r w:rsidRPr="00AA051B">
        <w:fldChar w:fldCharType="separate"/>
      </w:r>
      <w:r w:rsidRPr="00AA051B">
        <w:t>73</w:t>
      </w:r>
      <w:r w:rsidRPr="00AA051B">
        <w:fldChar w:fldCharType="end"/>
      </w:r>
    </w:p>
    <w:p w14:paraId="265BD808" w14:textId="641F06A5" w:rsidR="00AA051B" w:rsidRPr="00AA051B" w:rsidRDefault="00AA051B" w:rsidP="00AA051B">
      <w:pPr>
        <w:pStyle w:val="TableofFigures"/>
        <w:rPr>
          <w:rFonts w:asciiTheme="minorHAnsi" w:eastAsiaTheme="minorEastAsia" w:hAnsiTheme="minorHAnsi" w:cstheme="minorBidi"/>
          <w:sz w:val="22"/>
          <w:szCs w:val="22"/>
        </w:rPr>
      </w:pPr>
      <w:r w:rsidRPr="00AA051B">
        <w:t>Figure 3:27:Trend in disturbance in Forests</w:t>
      </w:r>
      <w:r w:rsidRPr="00AA051B">
        <w:tab/>
      </w:r>
      <w:r w:rsidRPr="00AA051B">
        <w:fldChar w:fldCharType="begin"/>
      </w:r>
      <w:r w:rsidRPr="00AA051B">
        <w:instrText xml:space="preserve"> PAGEREF _Toc56583872 \h </w:instrText>
      </w:r>
      <w:r w:rsidRPr="00AA051B">
        <w:fldChar w:fldCharType="separate"/>
      </w:r>
      <w:r w:rsidRPr="00AA051B">
        <w:t>75</w:t>
      </w:r>
      <w:r w:rsidRPr="00AA051B">
        <w:fldChar w:fldCharType="end"/>
      </w:r>
    </w:p>
    <w:p w14:paraId="2C7B6F8B" w14:textId="04430BBB" w:rsidR="00AA051B" w:rsidRPr="00AA051B" w:rsidRDefault="00AA051B" w:rsidP="00AA051B">
      <w:pPr>
        <w:pStyle w:val="TableofFigures"/>
        <w:rPr>
          <w:rFonts w:asciiTheme="minorHAnsi" w:eastAsiaTheme="minorEastAsia" w:hAnsiTheme="minorHAnsi" w:cstheme="minorBidi"/>
          <w:sz w:val="22"/>
          <w:szCs w:val="22"/>
        </w:rPr>
      </w:pPr>
      <w:r w:rsidRPr="00AA051B">
        <w:t>Figure 3:28:Total cropland cultivation trend 2011- 2016</w:t>
      </w:r>
      <w:r w:rsidRPr="00AA051B">
        <w:tab/>
      </w:r>
      <w:r w:rsidRPr="00AA051B">
        <w:fldChar w:fldCharType="begin"/>
      </w:r>
      <w:r w:rsidRPr="00AA051B">
        <w:instrText xml:space="preserve"> PAGEREF _Toc56583873 \h </w:instrText>
      </w:r>
      <w:r w:rsidRPr="00AA051B">
        <w:fldChar w:fldCharType="separate"/>
      </w:r>
      <w:r w:rsidRPr="00AA051B">
        <w:t>75</w:t>
      </w:r>
      <w:r w:rsidRPr="00AA051B">
        <w:fldChar w:fldCharType="end"/>
      </w:r>
    </w:p>
    <w:p w14:paraId="1672E9A9" w14:textId="6033A353" w:rsidR="00AA051B" w:rsidRPr="00AA051B" w:rsidRDefault="00AA051B" w:rsidP="00AA051B">
      <w:pPr>
        <w:pStyle w:val="TableofFigures"/>
        <w:rPr>
          <w:rFonts w:asciiTheme="minorHAnsi" w:eastAsiaTheme="minorEastAsia" w:hAnsiTheme="minorHAnsi" w:cstheme="minorBidi"/>
          <w:sz w:val="22"/>
          <w:szCs w:val="22"/>
        </w:rPr>
      </w:pPr>
      <w:r w:rsidRPr="00AA051B">
        <w:t>Figure 3:29:Trends of emissions from settlements</w:t>
      </w:r>
      <w:r w:rsidRPr="00AA051B">
        <w:tab/>
      </w:r>
      <w:r w:rsidRPr="00AA051B">
        <w:fldChar w:fldCharType="begin"/>
      </w:r>
      <w:r w:rsidRPr="00AA051B">
        <w:instrText xml:space="preserve"> PAGEREF _Toc56583874 \h </w:instrText>
      </w:r>
      <w:r w:rsidRPr="00AA051B">
        <w:fldChar w:fldCharType="separate"/>
      </w:r>
      <w:r w:rsidRPr="00AA051B">
        <w:t>77</w:t>
      </w:r>
      <w:r w:rsidRPr="00AA051B">
        <w:fldChar w:fldCharType="end"/>
      </w:r>
    </w:p>
    <w:p w14:paraId="517ABAC8" w14:textId="0B89B059" w:rsidR="00AA051B" w:rsidRPr="00AA051B" w:rsidRDefault="00AA051B" w:rsidP="00AA051B">
      <w:pPr>
        <w:pStyle w:val="TableofFigures"/>
        <w:rPr>
          <w:rFonts w:asciiTheme="minorHAnsi" w:eastAsiaTheme="minorEastAsia" w:hAnsiTheme="minorHAnsi" w:cstheme="minorBidi"/>
          <w:sz w:val="22"/>
          <w:szCs w:val="22"/>
        </w:rPr>
      </w:pPr>
      <w:r w:rsidRPr="00AA051B">
        <w:t>Figure 3:30:Emissions trend for the Aggregate sources and non-CO2 emissions sources</w:t>
      </w:r>
      <w:r w:rsidRPr="00AA051B">
        <w:tab/>
      </w:r>
      <w:r w:rsidRPr="00AA051B">
        <w:fldChar w:fldCharType="begin"/>
      </w:r>
      <w:r w:rsidRPr="00AA051B">
        <w:instrText xml:space="preserve"> PAGEREF _Toc56583875 \h </w:instrText>
      </w:r>
      <w:r w:rsidRPr="00AA051B">
        <w:fldChar w:fldCharType="separate"/>
      </w:r>
      <w:r w:rsidRPr="00AA051B">
        <w:t>77</w:t>
      </w:r>
      <w:r w:rsidRPr="00AA051B">
        <w:fldChar w:fldCharType="end"/>
      </w:r>
    </w:p>
    <w:p w14:paraId="6C5C61F2" w14:textId="42F4EE69" w:rsidR="00AA051B" w:rsidRPr="00AA051B" w:rsidRDefault="00AA051B" w:rsidP="00AA051B">
      <w:pPr>
        <w:pStyle w:val="TableofFigures"/>
        <w:rPr>
          <w:rFonts w:asciiTheme="minorHAnsi" w:eastAsiaTheme="minorEastAsia" w:hAnsiTheme="minorHAnsi" w:cstheme="minorBidi"/>
          <w:sz w:val="22"/>
          <w:szCs w:val="22"/>
        </w:rPr>
      </w:pPr>
      <w:r w:rsidRPr="00AA051B">
        <w:t>Figure 3:31:Percentage contribution to Aggregate sources and non CO2 emissions on Land</w:t>
      </w:r>
      <w:r w:rsidRPr="00AA051B">
        <w:tab/>
      </w:r>
      <w:r w:rsidRPr="00AA051B">
        <w:fldChar w:fldCharType="begin"/>
      </w:r>
      <w:r w:rsidRPr="00AA051B">
        <w:instrText xml:space="preserve"> PAGEREF _Toc56583876 \h </w:instrText>
      </w:r>
      <w:r w:rsidRPr="00AA051B">
        <w:fldChar w:fldCharType="separate"/>
      </w:r>
      <w:r w:rsidRPr="00AA051B">
        <w:t>78</w:t>
      </w:r>
      <w:r w:rsidRPr="00AA051B">
        <w:fldChar w:fldCharType="end"/>
      </w:r>
    </w:p>
    <w:p w14:paraId="2F267235" w14:textId="09816BAE" w:rsidR="00AA051B" w:rsidRPr="00AA051B" w:rsidRDefault="00AA051B" w:rsidP="00AA051B">
      <w:pPr>
        <w:pStyle w:val="TableofFigures"/>
        <w:rPr>
          <w:rFonts w:asciiTheme="minorHAnsi" w:eastAsiaTheme="minorEastAsia" w:hAnsiTheme="minorHAnsi" w:cstheme="minorBidi"/>
          <w:sz w:val="22"/>
          <w:szCs w:val="22"/>
        </w:rPr>
      </w:pPr>
      <w:r w:rsidRPr="00AA051B">
        <w:t>Figure 3:32:By gas percentage contribution to Aggregate sources and non CO2 emissions on land</w:t>
      </w:r>
      <w:r w:rsidRPr="00AA051B">
        <w:tab/>
      </w:r>
      <w:r w:rsidRPr="00AA051B">
        <w:fldChar w:fldCharType="begin"/>
      </w:r>
      <w:r w:rsidRPr="00AA051B">
        <w:instrText xml:space="preserve"> PAGEREF _Toc56583877 \h </w:instrText>
      </w:r>
      <w:r w:rsidRPr="00AA051B">
        <w:fldChar w:fldCharType="separate"/>
      </w:r>
      <w:r w:rsidRPr="00AA051B">
        <w:t>78</w:t>
      </w:r>
      <w:r w:rsidRPr="00AA051B">
        <w:fldChar w:fldCharType="end"/>
      </w:r>
    </w:p>
    <w:p w14:paraId="70F8274E" w14:textId="240FE0CB" w:rsidR="00AA051B" w:rsidRPr="00AA051B" w:rsidRDefault="00AA051B" w:rsidP="00AA051B">
      <w:pPr>
        <w:pStyle w:val="TableofFigures"/>
        <w:rPr>
          <w:rFonts w:asciiTheme="minorHAnsi" w:eastAsiaTheme="minorEastAsia" w:hAnsiTheme="minorHAnsi" w:cstheme="minorBidi"/>
          <w:sz w:val="22"/>
          <w:szCs w:val="22"/>
        </w:rPr>
      </w:pPr>
      <w:r w:rsidRPr="00AA051B">
        <w:t>Figure 3:33:Emissions from biomass burning</w:t>
      </w:r>
      <w:r w:rsidRPr="00AA051B">
        <w:tab/>
      </w:r>
      <w:r w:rsidRPr="00AA051B">
        <w:fldChar w:fldCharType="begin"/>
      </w:r>
      <w:r w:rsidRPr="00AA051B">
        <w:instrText xml:space="preserve"> PAGEREF _Toc56583878 \h </w:instrText>
      </w:r>
      <w:r w:rsidRPr="00AA051B">
        <w:fldChar w:fldCharType="separate"/>
      </w:r>
      <w:r w:rsidRPr="00AA051B">
        <w:t>79</w:t>
      </w:r>
      <w:r w:rsidRPr="00AA051B">
        <w:fldChar w:fldCharType="end"/>
      </w:r>
    </w:p>
    <w:p w14:paraId="7B08C32F" w14:textId="439D582F" w:rsidR="00AA051B" w:rsidRPr="00AA051B" w:rsidRDefault="00AA051B" w:rsidP="00AA051B">
      <w:pPr>
        <w:pStyle w:val="TableofFigures"/>
        <w:rPr>
          <w:rFonts w:asciiTheme="minorHAnsi" w:eastAsiaTheme="minorEastAsia" w:hAnsiTheme="minorHAnsi" w:cstheme="minorBidi"/>
          <w:sz w:val="22"/>
          <w:szCs w:val="22"/>
        </w:rPr>
      </w:pPr>
      <w:r w:rsidRPr="00AA051B">
        <w:t>Figure 3:34:Trends of Urea consumption</w:t>
      </w:r>
      <w:r w:rsidRPr="00AA051B">
        <w:tab/>
      </w:r>
      <w:r w:rsidRPr="00AA051B">
        <w:fldChar w:fldCharType="begin"/>
      </w:r>
      <w:r w:rsidRPr="00AA051B">
        <w:instrText xml:space="preserve"> PAGEREF _Toc56583879 \h </w:instrText>
      </w:r>
      <w:r w:rsidRPr="00AA051B">
        <w:fldChar w:fldCharType="separate"/>
      </w:r>
      <w:r w:rsidRPr="00AA051B">
        <w:t>80</w:t>
      </w:r>
      <w:r w:rsidRPr="00AA051B">
        <w:fldChar w:fldCharType="end"/>
      </w:r>
    </w:p>
    <w:p w14:paraId="1A34D8FD" w14:textId="28C4324B" w:rsidR="00AA051B" w:rsidRPr="00AA051B" w:rsidRDefault="00AA051B" w:rsidP="00AA051B">
      <w:pPr>
        <w:pStyle w:val="TableofFigures"/>
        <w:rPr>
          <w:rFonts w:asciiTheme="minorHAnsi" w:eastAsiaTheme="minorEastAsia" w:hAnsiTheme="minorHAnsi" w:cstheme="minorBidi"/>
          <w:sz w:val="22"/>
          <w:szCs w:val="22"/>
        </w:rPr>
      </w:pPr>
      <w:r w:rsidRPr="00AA051B">
        <w:t>Figure 3:35:Trend of emissions for Direct N2O emissions from managed soils</w:t>
      </w:r>
      <w:r w:rsidRPr="00AA051B">
        <w:tab/>
      </w:r>
      <w:r w:rsidRPr="00AA051B">
        <w:fldChar w:fldCharType="begin"/>
      </w:r>
      <w:r w:rsidRPr="00AA051B">
        <w:instrText xml:space="preserve"> PAGEREF _Toc56583880 \h </w:instrText>
      </w:r>
      <w:r w:rsidRPr="00AA051B">
        <w:fldChar w:fldCharType="separate"/>
      </w:r>
      <w:r w:rsidRPr="00AA051B">
        <w:t>81</w:t>
      </w:r>
      <w:r w:rsidRPr="00AA051B">
        <w:fldChar w:fldCharType="end"/>
      </w:r>
    </w:p>
    <w:p w14:paraId="78751F93" w14:textId="34282E87" w:rsidR="00AA051B" w:rsidRPr="00AA051B" w:rsidRDefault="00AA051B" w:rsidP="00AA051B">
      <w:pPr>
        <w:pStyle w:val="TableofFigures"/>
        <w:rPr>
          <w:rFonts w:asciiTheme="minorHAnsi" w:eastAsiaTheme="minorEastAsia" w:hAnsiTheme="minorHAnsi" w:cstheme="minorBidi"/>
          <w:sz w:val="22"/>
          <w:szCs w:val="22"/>
        </w:rPr>
      </w:pPr>
      <w:r w:rsidRPr="00AA051B">
        <w:t>Figure 3:36: Indirect N2O emissions from managed soils</w:t>
      </w:r>
      <w:r w:rsidRPr="00AA051B">
        <w:tab/>
      </w:r>
      <w:r w:rsidRPr="00AA051B">
        <w:fldChar w:fldCharType="begin"/>
      </w:r>
      <w:r w:rsidRPr="00AA051B">
        <w:instrText xml:space="preserve"> PAGEREF _Toc56583881 \h </w:instrText>
      </w:r>
      <w:r w:rsidRPr="00AA051B">
        <w:fldChar w:fldCharType="separate"/>
      </w:r>
      <w:r w:rsidRPr="00AA051B">
        <w:t>81</w:t>
      </w:r>
      <w:r w:rsidRPr="00AA051B">
        <w:fldChar w:fldCharType="end"/>
      </w:r>
    </w:p>
    <w:p w14:paraId="4049370C" w14:textId="1DB55C3A" w:rsidR="00AA051B" w:rsidRPr="00AA051B" w:rsidRDefault="00AA051B" w:rsidP="00AA051B">
      <w:pPr>
        <w:pStyle w:val="TableofFigures"/>
        <w:rPr>
          <w:rFonts w:asciiTheme="minorHAnsi" w:eastAsiaTheme="minorEastAsia" w:hAnsiTheme="minorHAnsi" w:cstheme="minorBidi"/>
          <w:sz w:val="22"/>
          <w:szCs w:val="22"/>
        </w:rPr>
      </w:pPr>
      <w:r w:rsidRPr="00AA051B">
        <w:t>Figure 3:37:Emissions from Rice cultivation</w:t>
      </w:r>
      <w:r w:rsidRPr="00AA051B">
        <w:tab/>
      </w:r>
      <w:r w:rsidRPr="00AA051B">
        <w:fldChar w:fldCharType="begin"/>
      </w:r>
      <w:r w:rsidRPr="00AA051B">
        <w:instrText xml:space="preserve"> PAGEREF _Toc56583882 \h </w:instrText>
      </w:r>
      <w:r w:rsidRPr="00AA051B">
        <w:fldChar w:fldCharType="separate"/>
      </w:r>
      <w:r w:rsidRPr="00AA051B">
        <w:t>82</w:t>
      </w:r>
      <w:r w:rsidRPr="00AA051B">
        <w:fldChar w:fldCharType="end"/>
      </w:r>
    </w:p>
    <w:p w14:paraId="53D1AFE2" w14:textId="37A8A349" w:rsidR="00AA051B" w:rsidRPr="00AA051B" w:rsidRDefault="00AA051B" w:rsidP="00AA051B">
      <w:pPr>
        <w:pStyle w:val="TableofFigures"/>
        <w:rPr>
          <w:rFonts w:asciiTheme="minorHAnsi" w:eastAsiaTheme="minorEastAsia" w:hAnsiTheme="minorHAnsi" w:cstheme="minorBidi"/>
          <w:sz w:val="22"/>
          <w:szCs w:val="22"/>
        </w:rPr>
      </w:pPr>
      <w:r w:rsidRPr="00AA051B">
        <w:t>Figure 3:38:Rice cultivation trend according to area 2011 - 2016</w:t>
      </w:r>
      <w:r w:rsidRPr="00AA051B">
        <w:tab/>
      </w:r>
      <w:r w:rsidRPr="00AA051B">
        <w:fldChar w:fldCharType="begin"/>
      </w:r>
      <w:r w:rsidRPr="00AA051B">
        <w:instrText xml:space="preserve"> PAGEREF _Toc56583883 \h </w:instrText>
      </w:r>
      <w:r w:rsidRPr="00AA051B">
        <w:fldChar w:fldCharType="separate"/>
      </w:r>
      <w:r w:rsidRPr="00AA051B">
        <w:t>82</w:t>
      </w:r>
      <w:r w:rsidRPr="00AA051B">
        <w:fldChar w:fldCharType="end"/>
      </w:r>
    </w:p>
    <w:p w14:paraId="2E5559DA" w14:textId="315F937A" w:rsidR="00AA051B" w:rsidRPr="00AA051B" w:rsidRDefault="00AA051B" w:rsidP="00AA051B">
      <w:pPr>
        <w:pStyle w:val="TableofFigures"/>
        <w:rPr>
          <w:rFonts w:asciiTheme="minorHAnsi" w:eastAsiaTheme="minorEastAsia" w:hAnsiTheme="minorHAnsi" w:cstheme="minorBidi"/>
          <w:sz w:val="22"/>
          <w:szCs w:val="22"/>
        </w:rPr>
      </w:pPr>
      <w:r w:rsidRPr="00AA051B">
        <w:lastRenderedPageBreak/>
        <w:t>Figure 3:39:GHG Emissions Trends in the Waste Sector</w:t>
      </w:r>
      <w:r w:rsidRPr="00AA051B">
        <w:tab/>
      </w:r>
      <w:r w:rsidRPr="00AA051B">
        <w:fldChar w:fldCharType="begin"/>
      </w:r>
      <w:r w:rsidRPr="00AA051B">
        <w:instrText xml:space="preserve"> PAGEREF _Toc56583884 \h </w:instrText>
      </w:r>
      <w:r w:rsidRPr="00AA051B">
        <w:fldChar w:fldCharType="separate"/>
      </w:r>
      <w:r w:rsidRPr="00AA051B">
        <w:t>85</w:t>
      </w:r>
      <w:r w:rsidRPr="00AA051B">
        <w:fldChar w:fldCharType="end"/>
      </w:r>
    </w:p>
    <w:p w14:paraId="1B64D77D" w14:textId="57C124E2" w:rsidR="00AA051B" w:rsidRPr="00AA051B" w:rsidRDefault="00AA051B" w:rsidP="00AA051B">
      <w:pPr>
        <w:pStyle w:val="TableofFigures"/>
        <w:rPr>
          <w:rFonts w:asciiTheme="minorHAnsi" w:eastAsiaTheme="minorEastAsia" w:hAnsiTheme="minorHAnsi" w:cstheme="minorBidi"/>
          <w:sz w:val="22"/>
          <w:szCs w:val="22"/>
        </w:rPr>
      </w:pPr>
      <w:r w:rsidRPr="00AA051B">
        <w:t>Figure 3:40:GHG Emissions by Percentage in the Waste Sector for 2016</w:t>
      </w:r>
      <w:r w:rsidRPr="00AA051B">
        <w:tab/>
      </w:r>
      <w:r w:rsidRPr="00AA051B">
        <w:fldChar w:fldCharType="begin"/>
      </w:r>
      <w:r w:rsidRPr="00AA051B">
        <w:instrText xml:space="preserve"> PAGEREF _Toc56583885 \h </w:instrText>
      </w:r>
      <w:r w:rsidRPr="00AA051B">
        <w:fldChar w:fldCharType="separate"/>
      </w:r>
      <w:r w:rsidRPr="00AA051B">
        <w:t>86</w:t>
      </w:r>
      <w:r w:rsidRPr="00AA051B">
        <w:fldChar w:fldCharType="end"/>
      </w:r>
    </w:p>
    <w:p w14:paraId="06ABA158" w14:textId="03A9FE31" w:rsidR="00AA051B" w:rsidRPr="00AA051B" w:rsidRDefault="00AA051B" w:rsidP="00AA051B">
      <w:pPr>
        <w:pStyle w:val="TableofFigures"/>
        <w:rPr>
          <w:rFonts w:asciiTheme="minorHAnsi" w:eastAsiaTheme="minorEastAsia" w:hAnsiTheme="minorHAnsi" w:cstheme="minorBidi"/>
          <w:sz w:val="22"/>
          <w:szCs w:val="22"/>
        </w:rPr>
      </w:pPr>
      <w:r w:rsidRPr="00AA051B">
        <w:t>Figure 3:41: Emissions from solid waste disposal</w:t>
      </w:r>
      <w:r w:rsidRPr="00AA051B">
        <w:tab/>
      </w:r>
      <w:r w:rsidRPr="00AA051B">
        <w:fldChar w:fldCharType="begin"/>
      </w:r>
      <w:r w:rsidRPr="00AA051B">
        <w:instrText xml:space="preserve"> PAGEREF _Toc56583886 \h </w:instrText>
      </w:r>
      <w:r w:rsidRPr="00AA051B">
        <w:fldChar w:fldCharType="separate"/>
      </w:r>
      <w:r w:rsidRPr="00AA051B">
        <w:t>86</w:t>
      </w:r>
      <w:r w:rsidRPr="00AA051B">
        <w:fldChar w:fldCharType="end"/>
      </w:r>
    </w:p>
    <w:p w14:paraId="015952A9" w14:textId="530C680A" w:rsidR="00AA051B" w:rsidRPr="00AA051B" w:rsidRDefault="00AA051B" w:rsidP="00AA051B">
      <w:pPr>
        <w:pStyle w:val="TableofFigures"/>
        <w:rPr>
          <w:rFonts w:asciiTheme="minorHAnsi" w:eastAsiaTheme="minorEastAsia" w:hAnsiTheme="minorHAnsi" w:cstheme="minorBidi"/>
          <w:sz w:val="22"/>
          <w:szCs w:val="22"/>
        </w:rPr>
      </w:pPr>
      <w:r w:rsidRPr="00AA051B">
        <w:t>Figure 4:1Projected emissions trends</w:t>
      </w:r>
      <w:r w:rsidRPr="00AA051B">
        <w:tab/>
      </w:r>
      <w:r w:rsidRPr="00AA051B">
        <w:fldChar w:fldCharType="begin"/>
      </w:r>
      <w:r w:rsidRPr="00AA051B">
        <w:instrText xml:space="preserve"> PAGEREF _Toc56583887 \h </w:instrText>
      </w:r>
      <w:r w:rsidRPr="00AA051B">
        <w:fldChar w:fldCharType="separate"/>
      </w:r>
      <w:r w:rsidRPr="00AA051B">
        <w:t>102</w:t>
      </w:r>
      <w:r w:rsidRPr="00AA051B">
        <w:fldChar w:fldCharType="end"/>
      </w:r>
    </w:p>
    <w:p w14:paraId="5AC4DEE1" w14:textId="1B3CF1F4" w:rsidR="00AA051B" w:rsidRPr="00AA051B" w:rsidRDefault="00AA051B" w:rsidP="00AA051B">
      <w:pPr>
        <w:pStyle w:val="TableofFigures"/>
        <w:rPr>
          <w:rFonts w:asciiTheme="minorHAnsi" w:eastAsiaTheme="minorEastAsia" w:hAnsiTheme="minorHAnsi" w:cstheme="minorBidi"/>
          <w:sz w:val="22"/>
          <w:szCs w:val="22"/>
        </w:rPr>
      </w:pPr>
      <w:r w:rsidRPr="00AA051B">
        <w:t>Figure 4:2:(a) Emission contribution by sector 2030 (b) Emissions contribution by sector 2050</w:t>
      </w:r>
      <w:r w:rsidRPr="00AA051B">
        <w:tab/>
      </w:r>
      <w:r w:rsidRPr="00AA051B">
        <w:fldChar w:fldCharType="begin"/>
      </w:r>
      <w:r w:rsidRPr="00AA051B">
        <w:instrText xml:space="preserve"> PAGEREF _Toc56583888 \h </w:instrText>
      </w:r>
      <w:r w:rsidRPr="00AA051B">
        <w:fldChar w:fldCharType="separate"/>
      </w:r>
      <w:r w:rsidRPr="00AA051B">
        <w:t>102</w:t>
      </w:r>
      <w:r w:rsidRPr="00AA051B">
        <w:fldChar w:fldCharType="end"/>
      </w:r>
    </w:p>
    <w:p w14:paraId="4DA75480" w14:textId="49F21EB4" w:rsidR="00AA051B" w:rsidRPr="00AA051B" w:rsidRDefault="00AA051B" w:rsidP="00AA051B">
      <w:pPr>
        <w:pStyle w:val="TableofFigures"/>
        <w:rPr>
          <w:rFonts w:asciiTheme="minorHAnsi" w:eastAsiaTheme="minorEastAsia" w:hAnsiTheme="minorHAnsi" w:cstheme="minorBidi"/>
          <w:sz w:val="22"/>
          <w:szCs w:val="22"/>
        </w:rPr>
      </w:pPr>
      <w:r w:rsidRPr="00AA051B">
        <w:t>Figure 4:3Trends of emissions for mitigation across the scenarios with and without sequestration:</w:t>
      </w:r>
      <w:r w:rsidRPr="00AA051B">
        <w:tab/>
      </w:r>
      <w:r w:rsidRPr="00AA051B">
        <w:fldChar w:fldCharType="begin"/>
      </w:r>
      <w:r w:rsidRPr="00AA051B">
        <w:instrText xml:space="preserve"> PAGEREF _Toc56583889 \h </w:instrText>
      </w:r>
      <w:r w:rsidRPr="00AA051B">
        <w:fldChar w:fldCharType="separate"/>
      </w:r>
      <w:r w:rsidRPr="00AA051B">
        <w:t>104</w:t>
      </w:r>
      <w:r w:rsidRPr="00AA051B">
        <w:fldChar w:fldCharType="end"/>
      </w:r>
    </w:p>
    <w:p w14:paraId="276193FC" w14:textId="58F1DA45" w:rsidR="00AA051B" w:rsidRPr="00AA051B" w:rsidRDefault="00AA051B" w:rsidP="00AA051B">
      <w:pPr>
        <w:pStyle w:val="TableofFigures"/>
        <w:rPr>
          <w:rFonts w:asciiTheme="minorHAnsi" w:eastAsiaTheme="minorEastAsia" w:hAnsiTheme="minorHAnsi" w:cstheme="minorBidi"/>
          <w:sz w:val="22"/>
          <w:szCs w:val="22"/>
        </w:rPr>
      </w:pPr>
      <w:r w:rsidRPr="00AA051B">
        <w:t>Figure 4:4:Trends of mitigation pathways against the NDC target</w:t>
      </w:r>
      <w:r w:rsidRPr="00AA051B">
        <w:tab/>
      </w:r>
      <w:r w:rsidRPr="00AA051B">
        <w:fldChar w:fldCharType="begin"/>
      </w:r>
      <w:r w:rsidRPr="00AA051B">
        <w:instrText xml:space="preserve"> PAGEREF _Toc56583890 \h </w:instrText>
      </w:r>
      <w:r w:rsidRPr="00AA051B">
        <w:fldChar w:fldCharType="separate"/>
      </w:r>
      <w:r w:rsidRPr="00AA051B">
        <w:t>105</w:t>
      </w:r>
      <w:r w:rsidRPr="00AA051B">
        <w:fldChar w:fldCharType="end"/>
      </w:r>
    </w:p>
    <w:p w14:paraId="6576EA16" w14:textId="4F8C5B4B" w:rsidR="00AA051B" w:rsidRPr="00AA051B" w:rsidRDefault="00AA051B" w:rsidP="00AA051B">
      <w:pPr>
        <w:pStyle w:val="TableofFigures"/>
        <w:rPr>
          <w:rFonts w:asciiTheme="minorHAnsi" w:eastAsiaTheme="minorEastAsia" w:hAnsiTheme="minorHAnsi" w:cstheme="minorBidi"/>
          <w:sz w:val="22"/>
          <w:szCs w:val="22"/>
        </w:rPr>
      </w:pPr>
      <w:r w:rsidRPr="00AA051B">
        <w:t>Figure 4:5: Contribution to emissions reduction by each mitigation action</w:t>
      </w:r>
      <w:r w:rsidRPr="00AA051B">
        <w:tab/>
      </w:r>
      <w:r w:rsidRPr="00AA051B">
        <w:fldChar w:fldCharType="begin"/>
      </w:r>
      <w:r w:rsidRPr="00AA051B">
        <w:instrText xml:space="preserve"> PAGEREF _Toc56583891 \h </w:instrText>
      </w:r>
      <w:r w:rsidRPr="00AA051B">
        <w:fldChar w:fldCharType="separate"/>
      </w:r>
      <w:r w:rsidRPr="00AA051B">
        <w:t>107</w:t>
      </w:r>
      <w:r w:rsidRPr="00AA051B">
        <w:fldChar w:fldCharType="end"/>
      </w:r>
    </w:p>
    <w:p w14:paraId="1DFF2908" w14:textId="67258837" w:rsidR="00AA051B" w:rsidRPr="00AA051B" w:rsidRDefault="00AA051B" w:rsidP="00AA051B">
      <w:pPr>
        <w:pStyle w:val="TableofFigures"/>
        <w:rPr>
          <w:rFonts w:asciiTheme="minorHAnsi" w:eastAsiaTheme="minorEastAsia" w:hAnsiTheme="minorHAnsi" w:cstheme="minorBidi"/>
          <w:sz w:val="22"/>
          <w:szCs w:val="22"/>
        </w:rPr>
      </w:pPr>
      <w:r w:rsidRPr="00AA051B">
        <w:t>Figure 6:1:Proposed reinforcement of institutional arrangement to accommodate MRV system</w:t>
      </w:r>
      <w:r w:rsidRPr="00AA051B">
        <w:tab/>
      </w:r>
      <w:r w:rsidRPr="00AA051B">
        <w:fldChar w:fldCharType="begin"/>
      </w:r>
      <w:r w:rsidRPr="00AA051B">
        <w:instrText xml:space="preserve"> PAGEREF _Toc56583892 \h </w:instrText>
      </w:r>
      <w:r w:rsidRPr="00AA051B">
        <w:fldChar w:fldCharType="separate"/>
      </w:r>
      <w:r w:rsidRPr="00AA051B">
        <w:t>168</w:t>
      </w:r>
      <w:r w:rsidRPr="00AA051B">
        <w:fldChar w:fldCharType="end"/>
      </w:r>
    </w:p>
    <w:p w14:paraId="620F47C9" w14:textId="77777777" w:rsidR="00AA051B" w:rsidRDefault="00F943B5" w:rsidP="005E626A">
      <w:pPr>
        <w:spacing w:after="120" w:line="240" w:lineRule="auto"/>
        <w:rPr>
          <w:rFonts w:ascii="Times New Roman" w:hAnsi="Times New Roman" w:cs="Times New Roman"/>
          <w:sz w:val="24"/>
          <w:szCs w:val="24"/>
        </w:rPr>
        <w:sectPr w:rsidR="00AA051B" w:rsidSect="00BD52A9">
          <w:footerReference w:type="first" r:id="rId20"/>
          <w:pgSz w:w="12240" w:h="15840"/>
          <w:pgMar w:top="1008" w:right="1008" w:bottom="1008" w:left="1440" w:header="720" w:footer="720" w:gutter="0"/>
          <w:pgNumType w:fmt="lowerRoman" w:start="1"/>
          <w:cols w:space="720"/>
          <w:titlePg/>
          <w:docGrid w:linePitch="299"/>
        </w:sectPr>
      </w:pPr>
      <w:r w:rsidRPr="00AA051B">
        <w:rPr>
          <w:rFonts w:ascii="Times New Roman" w:hAnsi="Times New Roman" w:cs="Times New Roman"/>
          <w:b/>
          <w:sz w:val="24"/>
          <w:szCs w:val="24"/>
        </w:rPr>
        <w:fldChar w:fldCharType="end"/>
      </w:r>
    </w:p>
    <w:p w14:paraId="4C654FC4" w14:textId="46F72A4C" w:rsidR="00A9606F" w:rsidRPr="00191ACB" w:rsidRDefault="00A9606F" w:rsidP="000D604E">
      <w:pPr>
        <w:pStyle w:val="Heading1"/>
        <w:rPr>
          <w:rFonts w:ascii="Times New Roman" w:eastAsia="Times New Roman" w:hAnsi="Times New Roman" w:cs="Times New Roman"/>
          <w:b/>
          <w:bCs/>
          <w:sz w:val="24"/>
          <w:szCs w:val="24"/>
        </w:rPr>
      </w:pPr>
      <w:bookmarkStart w:id="5" w:name="_Toc57902788"/>
      <w:r w:rsidRPr="00191ACB">
        <w:rPr>
          <w:rFonts w:ascii="Times New Roman" w:eastAsia="Times New Roman" w:hAnsi="Times New Roman" w:cs="Times New Roman"/>
          <w:b/>
          <w:bCs/>
          <w:color w:val="auto"/>
          <w:sz w:val="24"/>
          <w:szCs w:val="24"/>
        </w:rPr>
        <w:lastRenderedPageBreak/>
        <w:t>ACRONYMS</w:t>
      </w:r>
      <w:bookmarkEnd w:id="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8"/>
        <w:gridCol w:w="7398"/>
      </w:tblGrid>
      <w:tr w:rsidR="005078DA" w:rsidRPr="00191ACB" w14:paraId="4326D12C" w14:textId="77777777" w:rsidTr="005078DA">
        <w:tc>
          <w:tcPr>
            <w:tcW w:w="2178" w:type="dxa"/>
          </w:tcPr>
          <w:p w14:paraId="1282369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7NDP</w:t>
            </w:r>
          </w:p>
        </w:tc>
        <w:tc>
          <w:tcPr>
            <w:tcW w:w="7398" w:type="dxa"/>
          </w:tcPr>
          <w:p w14:paraId="28759D7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Seventh National Development Plan</w:t>
            </w:r>
          </w:p>
        </w:tc>
      </w:tr>
      <w:tr w:rsidR="005078DA" w:rsidRPr="00191ACB" w14:paraId="456FD7E1" w14:textId="77777777" w:rsidTr="005078DA">
        <w:tc>
          <w:tcPr>
            <w:tcW w:w="2178" w:type="dxa"/>
          </w:tcPr>
          <w:p w14:paraId="433350E3"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AD</w:t>
            </w:r>
          </w:p>
        </w:tc>
        <w:tc>
          <w:tcPr>
            <w:tcW w:w="7398" w:type="dxa"/>
          </w:tcPr>
          <w:p w14:paraId="22B2EE6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Activity Data </w:t>
            </w:r>
          </w:p>
        </w:tc>
      </w:tr>
      <w:tr w:rsidR="005078DA" w:rsidRPr="00191ACB" w14:paraId="39AB15D2" w14:textId="77777777" w:rsidTr="005078DA">
        <w:tc>
          <w:tcPr>
            <w:tcW w:w="2178" w:type="dxa"/>
          </w:tcPr>
          <w:p w14:paraId="6EB9A80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AFOLU</w:t>
            </w:r>
          </w:p>
        </w:tc>
        <w:tc>
          <w:tcPr>
            <w:tcW w:w="7398" w:type="dxa"/>
          </w:tcPr>
          <w:p w14:paraId="636F2353"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Agriculture Forestry and Other Land use </w:t>
            </w:r>
          </w:p>
        </w:tc>
      </w:tr>
      <w:tr w:rsidR="005078DA" w:rsidRPr="00191ACB" w14:paraId="5D83C901" w14:textId="77777777" w:rsidTr="005078DA">
        <w:tc>
          <w:tcPr>
            <w:tcW w:w="2178" w:type="dxa"/>
          </w:tcPr>
          <w:p w14:paraId="7370FDF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AIDS</w:t>
            </w:r>
          </w:p>
        </w:tc>
        <w:tc>
          <w:tcPr>
            <w:tcW w:w="7398" w:type="dxa"/>
          </w:tcPr>
          <w:p w14:paraId="50CCD7E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Acquired Immune Deficiency Syndrome </w:t>
            </w:r>
          </w:p>
        </w:tc>
      </w:tr>
      <w:tr w:rsidR="005078DA" w:rsidRPr="00191ACB" w14:paraId="561F7C31" w14:textId="77777777" w:rsidTr="005078DA">
        <w:tc>
          <w:tcPr>
            <w:tcW w:w="2178" w:type="dxa"/>
          </w:tcPr>
          <w:p w14:paraId="23C3108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ANRCP</w:t>
            </w:r>
          </w:p>
        </w:tc>
        <w:tc>
          <w:tcPr>
            <w:tcW w:w="7398" w:type="dxa"/>
          </w:tcPr>
          <w:p w14:paraId="0D5D7A0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Accelerated National Roads Construction Programme </w:t>
            </w:r>
          </w:p>
        </w:tc>
      </w:tr>
      <w:tr w:rsidR="005078DA" w:rsidRPr="00191ACB" w14:paraId="22636D05" w14:textId="77777777" w:rsidTr="005078DA">
        <w:tc>
          <w:tcPr>
            <w:tcW w:w="2178" w:type="dxa"/>
          </w:tcPr>
          <w:p w14:paraId="10EC443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BOD</w:t>
            </w:r>
          </w:p>
        </w:tc>
        <w:tc>
          <w:tcPr>
            <w:tcW w:w="7398" w:type="dxa"/>
          </w:tcPr>
          <w:p w14:paraId="530282DE"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Biochemical Oxygen Demand </w:t>
            </w:r>
          </w:p>
        </w:tc>
      </w:tr>
      <w:tr w:rsidR="005078DA" w:rsidRPr="00191ACB" w14:paraId="71F47599" w14:textId="77777777" w:rsidTr="005078DA">
        <w:tc>
          <w:tcPr>
            <w:tcW w:w="2178" w:type="dxa"/>
          </w:tcPr>
          <w:p w14:paraId="5B5A21A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BoZ</w:t>
            </w:r>
          </w:p>
        </w:tc>
        <w:tc>
          <w:tcPr>
            <w:tcW w:w="7398" w:type="dxa"/>
          </w:tcPr>
          <w:p w14:paraId="2BC9A610"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Bank of Zambia </w:t>
            </w:r>
          </w:p>
        </w:tc>
      </w:tr>
      <w:tr w:rsidR="005078DA" w:rsidRPr="00191ACB" w14:paraId="1095C6A6" w14:textId="77777777" w:rsidTr="005078DA">
        <w:tc>
          <w:tcPr>
            <w:tcW w:w="2178" w:type="dxa"/>
          </w:tcPr>
          <w:p w14:paraId="4A505AD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BUR</w:t>
            </w:r>
          </w:p>
        </w:tc>
        <w:tc>
          <w:tcPr>
            <w:tcW w:w="7398" w:type="dxa"/>
          </w:tcPr>
          <w:p w14:paraId="07BA492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Biennial Update Report </w:t>
            </w:r>
          </w:p>
        </w:tc>
      </w:tr>
      <w:tr w:rsidR="005078DA" w:rsidRPr="00191ACB" w14:paraId="5D2B7357" w14:textId="77777777" w:rsidTr="005078DA">
        <w:tc>
          <w:tcPr>
            <w:tcW w:w="2178" w:type="dxa"/>
          </w:tcPr>
          <w:p w14:paraId="5CF2817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CA</w:t>
            </w:r>
          </w:p>
        </w:tc>
        <w:tc>
          <w:tcPr>
            <w:tcW w:w="7398" w:type="dxa"/>
          </w:tcPr>
          <w:p w14:paraId="5E5E27D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Conservation Agriculture </w:t>
            </w:r>
          </w:p>
        </w:tc>
      </w:tr>
      <w:tr w:rsidR="005078DA" w:rsidRPr="00191ACB" w14:paraId="5D83EF89" w14:textId="77777777" w:rsidTr="005078DA">
        <w:tc>
          <w:tcPr>
            <w:tcW w:w="2178" w:type="dxa"/>
          </w:tcPr>
          <w:p w14:paraId="66F4C3B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CBP</w:t>
            </w:r>
          </w:p>
        </w:tc>
        <w:tc>
          <w:tcPr>
            <w:tcW w:w="7398" w:type="dxa"/>
          </w:tcPr>
          <w:p w14:paraId="57045D8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Contagious Bouvine  Pleuropnueumonia </w:t>
            </w:r>
          </w:p>
        </w:tc>
      </w:tr>
      <w:tr w:rsidR="005078DA" w:rsidRPr="00191ACB" w14:paraId="75238C03" w14:textId="77777777" w:rsidTr="005078DA">
        <w:tc>
          <w:tcPr>
            <w:tcW w:w="2178" w:type="dxa"/>
          </w:tcPr>
          <w:p w14:paraId="2989342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ccGAP</w:t>
            </w:r>
          </w:p>
        </w:tc>
        <w:tc>
          <w:tcPr>
            <w:tcW w:w="7398" w:type="dxa"/>
          </w:tcPr>
          <w:p w14:paraId="0FA2D71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climate change Gender Action </w:t>
            </w:r>
          </w:p>
        </w:tc>
      </w:tr>
      <w:tr w:rsidR="005078DA" w:rsidRPr="00191ACB" w14:paraId="3FAC67CE" w14:textId="77777777" w:rsidTr="005078DA">
        <w:tc>
          <w:tcPr>
            <w:tcW w:w="2178" w:type="dxa"/>
          </w:tcPr>
          <w:p w14:paraId="6FBF416E"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CCS</w:t>
            </w:r>
          </w:p>
        </w:tc>
        <w:tc>
          <w:tcPr>
            <w:tcW w:w="7398" w:type="dxa"/>
          </w:tcPr>
          <w:p w14:paraId="173DF9F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Carbon Capture and Storage </w:t>
            </w:r>
          </w:p>
        </w:tc>
      </w:tr>
      <w:tr w:rsidR="005078DA" w:rsidRPr="00191ACB" w14:paraId="7E5516AF" w14:textId="77777777" w:rsidTr="005078DA">
        <w:tc>
          <w:tcPr>
            <w:tcW w:w="2178" w:type="dxa"/>
          </w:tcPr>
          <w:p w14:paraId="54171E34"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CEC</w:t>
            </w:r>
          </w:p>
        </w:tc>
        <w:tc>
          <w:tcPr>
            <w:tcW w:w="7398" w:type="dxa"/>
          </w:tcPr>
          <w:p w14:paraId="15EE9EF7"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Copperbelt Energy Corporation </w:t>
            </w:r>
          </w:p>
        </w:tc>
      </w:tr>
      <w:tr w:rsidR="005078DA" w:rsidRPr="00191ACB" w14:paraId="3C6AD3DE" w14:textId="77777777" w:rsidTr="005078DA">
        <w:tc>
          <w:tcPr>
            <w:tcW w:w="2178" w:type="dxa"/>
          </w:tcPr>
          <w:p w14:paraId="2154372E"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CH4</w:t>
            </w:r>
          </w:p>
        </w:tc>
        <w:tc>
          <w:tcPr>
            <w:tcW w:w="7398" w:type="dxa"/>
          </w:tcPr>
          <w:p w14:paraId="36D5A013"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Methane </w:t>
            </w:r>
          </w:p>
        </w:tc>
      </w:tr>
      <w:tr w:rsidR="005078DA" w:rsidRPr="00191ACB" w14:paraId="44FA7C5A" w14:textId="77777777" w:rsidTr="005078DA">
        <w:tc>
          <w:tcPr>
            <w:tcW w:w="2178" w:type="dxa"/>
          </w:tcPr>
          <w:p w14:paraId="694EB2C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CIEWS</w:t>
            </w:r>
          </w:p>
        </w:tc>
        <w:tc>
          <w:tcPr>
            <w:tcW w:w="7398" w:type="dxa"/>
          </w:tcPr>
          <w:p w14:paraId="0B2C7E6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Climate Information and Early Warning Systems </w:t>
            </w:r>
          </w:p>
        </w:tc>
      </w:tr>
      <w:tr w:rsidR="005078DA" w:rsidRPr="00191ACB" w14:paraId="78693F1D" w14:textId="77777777" w:rsidTr="005078DA">
        <w:tc>
          <w:tcPr>
            <w:tcW w:w="2178" w:type="dxa"/>
          </w:tcPr>
          <w:p w14:paraId="58816C5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CIP</w:t>
            </w:r>
          </w:p>
        </w:tc>
        <w:tc>
          <w:tcPr>
            <w:tcW w:w="7398" w:type="dxa"/>
          </w:tcPr>
          <w:p w14:paraId="7826827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Core Investment Priority </w:t>
            </w:r>
          </w:p>
        </w:tc>
      </w:tr>
      <w:tr w:rsidR="005078DA" w:rsidRPr="00191ACB" w14:paraId="1FF5E687" w14:textId="77777777" w:rsidTr="005078DA">
        <w:tc>
          <w:tcPr>
            <w:tcW w:w="2178" w:type="dxa"/>
          </w:tcPr>
          <w:p w14:paraId="78A73AD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CO(NH2)2</w:t>
            </w:r>
          </w:p>
        </w:tc>
        <w:tc>
          <w:tcPr>
            <w:tcW w:w="7398" w:type="dxa"/>
          </w:tcPr>
          <w:p w14:paraId="428914F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Urea  </w:t>
            </w:r>
          </w:p>
        </w:tc>
      </w:tr>
      <w:tr w:rsidR="005078DA" w:rsidRPr="00191ACB" w14:paraId="1CA513AD" w14:textId="77777777" w:rsidTr="005078DA">
        <w:tc>
          <w:tcPr>
            <w:tcW w:w="2178" w:type="dxa"/>
          </w:tcPr>
          <w:p w14:paraId="3799959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CO2</w:t>
            </w:r>
          </w:p>
        </w:tc>
        <w:tc>
          <w:tcPr>
            <w:tcW w:w="7398" w:type="dxa"/>
          </w:tcPr>
          <w:p w14:paraId="1A0DC0A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Carbon Dioxide </w:t>
            </w:r>
          </w:p>
        </w:tc>
      </w:tr>
      <w:tr w:rsidR="005078DA" w:rsidRPr="00191ACB" w14:paraId="331D75CB" w14:textId="77777777" w:rsidTr="005078DA">
        <w:tc>
          <w:tcPr>
            <w:tcW w:w="2178" w:type="dxa"/>
          </w:tcPr>
          <w:p w14:paraId="03F0862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CO2</w:t>
            </w:r>
          </w:p>
        </w:tc>
        <w:tc>
          <w:tcPr>
            <w:tcW w:w="7398" w:type="dxa"/>
          </w:tcPr>
          <w:p w14:paraId="3D564EE5" w14:textId="77777777" w:rsidR="005078DA" w:rsidRPr="00191ACB" w:rsidRDefault="005078DA" w:rsidP="005078DA">
            <w:pPr>
              <w:spacing w:line="30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Carbon dioxide </w:t>
            </w:r>
          </w:p>
        </w:tc>
      </w:tr>
      <w:tr w:rsidR="005078DA" w:rsidRPr="00191ACB" w14:paraId="2D700258" w14:textId="77777777" w:rsidTr="005078DA">
        <w:tc>
          <w:tcPr>
            <w:tcW w:w="2178" w:type="dxa"/>
          </w:tcPr>
          <w:p w14:paraId="0C3CB4F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COP</w:t>
            </w:r>
          </w:p>
        </w:tc>
        <w:tc>
          <w:tcPr>
            <w:tcW w:w="7398" w:type="dxa"/>
          </w:tcPr>
          <w:p w14:paraId="0FF7B88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Conference of Parties </w:t>
            </w:r>
          </w:p>
        </w:tc>
      </w:tr>
      <w:tr w:rsidR="005078DA" w:rsidRPr="00191ACB" w14:paraId="6D8A8ADB" w14:textId="77777777" w:rsidTr="005078DA">
        <w:tc>
          <w:tcPr>
            <w:tcW w:w="2178" w:type="dxa"/>
          </w:tcPr>
          <w:p w14:paraId="3D16ACE1" w14:textId="05F01053" w:rsidR="005078DA" w:rsidRPr="00191ACB" w:rsidRDefault="000F44A6"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ZAMSTATS</w:t>
            </w:r>
          </w:p>
        </w:tc>
        <w:tc>
          <w:tcPr>
            <w:tcW w:w="7398" w:type="dxa"/>
          </w:tcPr>
          <w:p w14:paraId="29F3157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Central Statistical Office </w:t>
            </w:r>
          </w:p>
        </w:tc>
      </w:tr>
      <w:tr w:rsidR="005078DA" w:rsidRPr="00191ACB" w14:paraId="3EB70616" w14:textId="77777777" w:rsidTr="005078DA">
        <w:tc>
          <w:tcPr>
            <w:tcW w:w="2178" w:type="dxa"/>
          </w:tcPr>
          <w:p w14:paraId="76FDE89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CU</w:t>
            </w:r>
          </w:p>
        </w:tc>
        <w:tc>
          <w:tcPr>
            <w:tcW w:w="7398" w:type="dxa"/>
          </w:tcPr>
          <w:p w14:paraId="05D104E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Commercial Utilities </w:t>
            </w:r>
          </w:p>
        </w:tc>
      </w:tr>
      <w:tr w:rsidR="005078DA" w:rsidRPr="00191ACB" w14:paraId="240CE26A" w14:textId="77777777" w:rsidTr="005078DA">
        <w:tc>
          <w:tcPr>
            <w:tcW w:w="2178" w:type="dxa"/>
          </w:tcPr>
          <w:p w14:paraId="0E715BD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DOM</w:t>
            </w:r>
          </w:p>
        </w:tc>
        <w:tc>
          <w:tcPr>
            <w:tcW w:w="7398" w:type="dxa"/>
          </w:tcPr>
          <w:p w14:paraId="2DDD7637"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dead organic matter </w:t>
            </w:r>
          </w:p>
        </w:tc>
      </w:tr>
      <w:tr w:rsidR="005078DA" w:rsidRPr="00191ACB" w14:paraId="485AF42F" w14:textId="77777777" w:rsidTr="005078DA">
        <w:tc>
          <w:tcPr>
            <w:tcW w:w="2178" w:type="dxa"/>
          </w:tcPr>
          <w:p w14:paraId="1D56CC7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ECF</w:t>
            </w:r>
          </w:p>
        </w:tc>
        <w:tc>
          <w:tcPr>
            <w:tcW w:w="7398" w:type="dxa"/>
          </w:tcPr>
          <w:p w14:paraId="25EE7714"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East Coast Fever</w:t>
            </w:r>
          </w:p>
        </w:tc>
      </w:tr>
      <w:tr w:rsidR="005078DA" w:rsidRPr="00191ACB" w14:paraId="40ED41C0" w14:textId="77777777" w:rsidTr="005078DA">
        <w:tc>
          <w:tcPr>
            <w:tcW w:w="2178" w:type="dxa"/>
          </w:tcPr>
          <w:p w14:paraId="6456989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EEA</w:t>
            </w:r>
          </w:p>
        </w:tc>
        <w:tc>
          <w:tcPr>
            <w:tcW w:w="7398" w:type="dxa"/>
          </w:tcPr>
          <w:p w14:paraId="69280FA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European Environment Agency </w:t>
            </w:r>
          </w:p>
        </w:tc>
      </w:tr>
      <w:tr w:rsidR="005078DA" w:rsidRPr="00191ACB" w14:paraId="628D2D15" w14:textId="77777777" w:rsidTr="005078DA">
        <w:tc>
          <w:tcPr>
            <w:tcW w:w="2178" w:type="dxa"/>
          </w:tcPr>
          <w:p w14:paraId="6900328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EF</w:t>
            </w:r>
          </w:p>
        </w:tc>
        <w:tc>
          <w:tcPr>
            <w:tcW w:w="7398" w:type="dxa"/>
          </w:tcPr>
          <w:p w14:paraId="47A00FD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Emissions Factor </w:t>
            </w:r>
          </w:p>
        </w:tc>
      </w:tr>
      <w:tr w:rsidR="005078DA" w:rsidRPr="00191ACB" w14:paraId="5F2DEB55" w14:textId="77777777" w:rsidTr="005078DA">
        <w:tc>
          <w:tcPr>
            <w:tcW w:w="2178" w:type="dxa"/>
          </w:tcPr>
          <w:p w14:paraId="5D07676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EFDB</w:t>
            </w:r>
          </w:p>
        </w:tc>
        <w:tc>
          <w:tcPr>
            <w:tcW w:w="7398" w:type="dxa"/>
          </w:tcPr>
          <w:p w14:paraId="0015CB8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Emission Factor Database </w:t>
            </w:r>
          </w:p>
        </w:tc>
      </w:tr>
      <w:tr w:rsidR="005078DA" w:rsidRPr="00191ACB" w14:paraId="453A26F1" w14:textId="77777777" w:rsidTr="005078DA">
        <w:tc>
          <w:tcPr>
            <w:tcW w:w="2178" w:type="dxa"/>
          </w:tcPr>
          <w:p w14:paraId="7FAA0E4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EITI</w:t>
            </w:r>
          </w:p>
        </w:tc>
        <w:tc>
          <w:tcPr>
            <w:tcW w:w="7398" w:type="dxa"/>
          </w:tcPr>
          <w:p w14:paraId="39F348B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Extractive Industries Transparency Initiative</w:t>
            </w:r>
          </w:p>
        </w:tc>
      </w:tr>
      <w:tr w:rsidR="005078DA" w:rsidRPr="00191ACB" w14:paraId="129666D2" w14:textId="77777777" w:rsidTr="005078DA">
        <w:tc>
          <w:tcPr>
            <w:tcW w:w="2178" w:type="dxa"/>
          </w:tcPr>
          <w:p w14:paraId="62F4D2C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ERB</w:t>
            </w:r>
          </w:p>
        </w:tc>
        <w:tc>
          <w:tcPr>
            <w:tcW w:w="7398" w:type="dxa"/>
          </w:tcPr>
          <w:p w14:paraId="6547E7D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Energy Regulation Board</w:t>
            </w:r>
          </w:p>
        </w:tc>
      </w:tr>
      <w:tr w:rsidR="005078DA" w:rsidRPr="00191ACB" w14:paraId="6864EAD5" w14:textId="77777777" w:rsidTr="005078DA">
        <w:tc>
          <w:tcPr>
            <w:tcW w:w="2178" w:type="dxa"/>
          </w:tcPr>
          <w:p w14:paraId="2EF34AD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FAO</w:t>
            </w:r>
          </w:p>
        </w:tc>
        <w:tc>
          <w:tcPr>
            <w:tcW w:w="7398" w:type="dxa"/>
          </w:tcPr>
          <w:p w14:paraId="468B4863"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Food Agriculture Organisation </w:t>
            </w:r>
          </w:p>
        </w:tc>
      </w:tr>
      <w:tr w:rsidR="005078DA" w:rsidRPr="00191ACB" w14:paraId="753FF620" w14:textId="77777777" w:rsidTr="005078DA">
        <w:tc>
          <w:tcPr>
            <w:tcW w:w="2178" w:type="dxa"/>
          </w:tcPr>
          <w:p w14:paraId="0291EAA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FISP</w:t>
            </w:r>
          </w:p>
        </w:tc>
        <w:tc>
          <w:tcPr>
            <w:tcW w:w="7398" w:type="dxa"/>
          </w:tcPr>
          <w:p w14:paraId="32E423D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Farmer Input Support Programme </w:t>
            </w:r>
          </w:p>
        </w:tc>
      </w:tr>
      <w:tr w:rsidR="005078DA" w:rsidRPr="00191ACB" w14:paraId="70111F07" w14:textId="77777777" w:rsidTr="005078DA">
        <w:tc>
          <w:tcPr>
            <w:tcW w:w="2178" w:type="dxa"/>
          </w:tcPr>
          <w:p w14:paraId="31D2269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FNDP</w:t>
            </w:r>
          </w:p>
        </w:tc>
        <w:tc>
          <w:tcPr>
            <w:tcW w:w="7398" w:type="dxa"/>
          </w:tcPr>
          <w:p w14:paraId="661FE13F" w14:textId="3B6731FE"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Fi</w:t>
            </w:r>
            <w:r w:rsidR="005F315B">
              <w:rPr>
                <w:rFonts w:ascii="Times New Roman" w:hAnsi="Times New Roman" w:cs="Times New Roman"/>
                <w:color w:val="000000" w:themeColor="text1"/>
                <w:sz w:val="24"/>
                <w:szCs w:val="24"/>
              </w:rPr>
              <w:t>f</w:t>
            </w:r>
            <w:r w:rsidRPr="00191ACB">
              <w:rPr>
                <w:rFonts w:ascii="Times New Roman" w:hAnsi="Times New Roman" w:cs="Times New Roman"/>
                <w:color w:val="000000" w:themeColor="text1"/>
                <w:sz w:val="24"/>
                <w:szCs w:val="24"/>
              </w:rPr>
              <w:t>th National Development Plan</w:t>
            </w:r>
          </w:p>
        </w:tc>
      </w:tr>
      <w:tr w:rsidR="005078DA" w:rsidRPr="00191ACB" w14:paraId="6C920129" w14:textId="77777777" w:rsidTr="005078DA">
        <w:tc>
          <w:tcPr>
            <w:tcW w:w="2178" w:type="dxa"/>
          </w:tcPr>
          <w:p w14:paraId="5BE0340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FR</w:t>
            </w:r>
          </w:p>
        </w:tc>
        <w:tc>
          <w:tcPr>
            <w:tcW w:w="7398" w:type="dxa"/>
          </w:tcPr>
          <w:p w14:paraId="433893F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Forest Reserves </w:t>
            </w:r>
          </w:p>
        </w:tc>
      </w:tr>
      <w:tr w:rsidR="005078DA" w:rsidRPr="00191ACB" w14:paraId="3C3F10B0" w14:textId="77777777" w:rsidTr="005078DA">
        <w:tc>
          <w:tcPr>
            <w:tcW w:w="2178" w:type="dxa"/>
          </w:tcPr>
          <w:p w14:paraId="38438133"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FREL</w:t>
            </w:r>
          </w:p>
        </w:tc>
        <w:tc>
          <w:tcPr>
            <w:tcW w:w="7398" w:type="dxa"/>
          </w:tcPr>
          <w:p w14:paraId="10C04C6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forest Reference Emissions Level </w:t>
            </w:r>
          </w:p>
        </w:tc>
      </w:tr>
      <w:tr w:rsidR="005078DA" w:rsidRPr="00191ACB" w14:paraId="6F3976A3" w14:textId="77777777" w:rsidTr="005078DA">
        <w:tc>
          <w:tcPr>
            <w:tcW w:w="2178" w:type="dxa"/>
          </w:tcPr>
          <w:p w14:paraId="5A6FF58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GCF</w:t>
            </w:r>
          </w:p>
        </w:tc>
        <w:tc>
          <w:tcPr>
            <w:tcW w:w="7398" w:type="dxa"/>
          </w:tcPr>
          <w:p w14:paraId="142BCBE3"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Green Climate Fund </w:t>
            </w:r>
          </w:p>
        </w:tc>
      </w:tr>
      <w:tr w:rsidR="005078DA" w:rsidRPr="00191ACB" w14:paraId="2EB0553D" w14:textId="77777777" w:rsidTr="005078DA">
        <w:tc>
          <w:tcPr>
            <w:tcW w:w="2178" w:type="dxa"/>
          </w:tcPr>
          <w:p w14:paraId="0A894DBE"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GDP</w:t>
            </w:r>
          </w:p>
        </w:tc>
        <w:tc>
          <w:tcPr>
            <w:tcW w:w="7398" w:type="dxa"/>
          </w:tcPr>
          <w:p w14:paraId="507835AF" w14:textId="00F5BBE9"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Growth Domestic</w:t>
            </w:r>
            <w:r w:rsidR="005F315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Product</w:t>
            </w:r>
          </w:p>
        </w:tc>
      </w:tr>
      <w:tr w:rsidR="005078DA" w:rsidRPr="00191ACB" w14:paraId="313723E7" w14:textId="77777777" w:rsidTr="005078DA">
        <w:tc>
          <w:tcPr>
            <w:tcW w:w="2178" w:type="dxa"/>
          </w:tcPr>
          <w:p w14:paraId="3DC2D6C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GEF</w:t>
            </w:r>
          </w:p>
        </w:tc>
        <w:tc>
          <w:tcPr>
            <w:tcW w:w="7398" w:type="dxa"/>
          </w:tcPr>
          <w:p w14:paraId="76B5A2E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Green Environment Fund </w:t>
            </w:r>
          </w:p>
        </w:tc>
      </w:tr>
      <w:tr w:rsidR="005078DA" w:rsidRPr="00191ACB" w14:paraId="0ADE1231" w14:textId="77777777" w:rsidTr="005078DA">
        <w:tc>
          <w:tcPr>
            <w:tcW w:w="2178" w:type="dxa"/>
          </w:tcPr>
          <w:p w14:paraId="2B69205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Gg CO2 e</w:t>
            </w:r>
          </w:p>
        </w:tc>
        <w:tc>
          <w:tcPr>
            <w:tcW w:w="7398" w:type="dxa"/>
          </w:tcPr>
          <w:p w14:paraId="7B0BB2F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Giga Gram Carbon Dioxide Equivalent </w:t>
            </w:r>
          </w:p>
        </w:tc>
      </w:tr>
      <w:tr w:rsidR="005078DA" w:rsidRPr="00191ACB" w14:paraId="7782F275" w14:textId="77777777" w:rsidTr="005078DA">
        <w:tc>
          <w:tcPr>
            <w:tcW w:w="2178" w:type="dxa"/>
          </w:tcPr>
          <w:p w14:paraId="046C8E8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GHG</w:t>
            </w:r>
          </w:p>
        </w:tc>
        <w:tc>
          <w:tcPr>
            <w:tcW w:w="7398" w:type="dxa"/>
          </w:tcPr>
          <w:p w14:paraId="53A4E21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Green House Gases</w:t>
            </w:r>
          </w:p>
        </w:tc>
      </w:tr>
      <w:tr w:rsidR="005078DA" w:rsidRPr="00191ACB" w14:paraId="3CD685F9" w14:textId="77777777" w:rsidTr="005078DA">
        <w:tc>
          <w:tcPr>
            <w:tcW w:w="2178" w:type="dxa"/>
          </w:tcPr>
          <w:p w14:paraId="759C6BB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GMA</w:t>
            </w:r>
          </w:p>
        </w:tc>
        <w:tc>
          <w:tcPr>
            <w:tcW w:w="7398" w:type="dxa"/>
          </w:tcPr>
          <w:p w14:paraId="0CDE079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Game Management Areas</w:t>
            </w:r>
          </w:p>
        </w:tc>
      </w:tr>
      <w:tr w:rsidR="005078DA" w:rsidRPr="00191ACB" w14:paraId="52DCC336" w14:textId="77777777" w:rsidTr="005078DA">
        <w:tc>
          <w:tcPr>
            <w:tcW w:w="2178" w:type="dxa"/>
          </w:tcPr>
          <w:p w14:paraId="0CDE71E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GNI</w:t>
            </w:r>
          </w:p>
        </w:tc>
        <w:tc>
          <w:tcPr>
            <w:tcW w:w="7398" w:type="dxa"/>
          </w:tcPr>
          <w:p w14:paraId="4CC5947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Gross National Income </w:t>
            </w:r>
          </w:p>
        </w:tc>
      </w:tr>
      <w:tr w:rsidR="005078DA" w:rsidRPr="00191ACB" w14:paraId="69993F35" w14:textId="77777777" w:rsidTr="005078DA">
        <w:tc>
          <w:tcPr>
            <w:tcW w:w="2178" w:type="dxa"/>
          </w:tcPr>
          <w:p w14:paraId="7A39DAB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GRZ</w:t>
            </w:r>
          </w:p>
        </w:tc>
        <w:tc>
          <w:tcPr>
            <w:tcW w:w="7398" w:type="dxa"/>
          </w:tcPr>
          <w:p w14:paraId="1889629F" w14:textId="6E369CED"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Government of the</w:t>
            </w:r>
            <w:r w:rsidR="005F315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 xml:space="preserve">Republic of Zambia </w:t>
            </w:r>
          </w:p>
        </w:tc>
      </w:tr>
      <w:tr w:rsidR="005078DA" w:rsidRPr="00191ACB" w14:paraId="70A6DAE5" w14:textId="77777777" w:rsidTr="005078DA">
        <w:tc>
          <w:tcPr>
            <w:tcW w:w="2178" w:type="dxa"/>
          </w:tcPr>
          <w:p w14:paraId="371ABF1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GWh</w:t>
            </w:r>
          </w:p>
        </w:tc>
        <w:tc>
          <w:tcPr>
            <w:tcW w:w="7398" w:type="dxa"/>
          </w:tcPr>
          <w:p w14:paraId="18222309" w14:textId="19AEDBF2"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Giga Watt per</w:t>
            </w:r>
            <w:r w:rsidR="005F315B">
              <w:rPr>
                <w:rFonts w:ascii="Times New Roman" w:hAnsi="Times New Roman" w:cs="Times New Roman"/>
                <w:color w:val="000000" w:themeColor="text1"/>
                <w:sz w:val="24"/>
                <w:szCs w:val="24"/>
              </w:rPr>
              <w:t xml:space="preserve"> h</w:t>
            </w:r>
            <w:r w:rsidRPr="00191ACB">
              <w:rPr>
                <w:rFonts w:ascii="Times New Roman" w:hAnsi="Times New Roman" w:cs="Times New Roman"/>
                <w:color w:val="000000" w:themeColor="text1"/>
                <w:sz w:val="24"/>
                <w:szCs w:val="24"/>
              </w:rPr>
              <w:t>our</w:t>
            </w:r>
          </w:p>
        </w:tc>
      </w:tr>
      <w:tr w:rsidR="005078DA" w:rsidRPr="00191ACB" w14:paraId="17E8F4DC" w14:textId="77777777" w:rsidTr="005078DA">
        <w:tc>
          <w:tcPr>
            <w:tcW w:w="2178" w:type="dxa"/>
          </w:tcPr>
          <w:p w14:paraId="4C28801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HCO3-</w:t>
            </w:r>
          </w:p>
        </w:tc>
        <w:tc>
          <w:tcPr>
            <w:tcW w:w="7398" w:type="dxa"/>
          </w:tcPr>
          <w:p w14:paraId="48C7112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bicarbonate </w:t>
            </w:r>
          </w:p>
        </w:tc>
      </w:tr>
      <w:tr w:rsidR="005078DA" w:rsidRPr="00191ACB" w14:paraId="280F1CFF" w14:textId="77777777" w:rsidTr="005078DA">
        <w:tc>
          <w:tcPr>
            <w:tcW w:w="2178" w:type="dxa"/>
          </w:tcPr>
          <w:p w14:paraId="5F06558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HDI</w:t>
            </w:r>
          </w:p>
        </w:tc>
        <w:tc>
          <w:tcPr>
            <w:tcW w:w="7398" w:type="dxa"/>
          </w:tcPr>
          <w:p w14:paraId="110C8320"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Human Development Index </w:t>
            </w:r>
          </w:p>
        </w:tc>
      </w:tr>
      <w:tr w:rsidR="005078DA" w:rsidRPr="00191ACB" w14:paraId="0697CCC4" w14:textId="77777777" w:rsidTr="005078DA">
        <w:tc>
          <w:tcPr>
            <w:tcW w:w="2178" w:type="dxa"/>
          </w:tcPr>
          <w:p w14:paraId="66D8293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HFC</w:t>
            </w:r>
          </w:p>
        </w:tc>
        <w:tc>
          <w:tcPr>
            <w:tcW w:w="7398" w:type="dxa"/>
          </w:tcPr>
          <w:p w14:paraId="0DB2273B" w14:textId="77777777" w:rsidR="005078DA" w:rsidRPr="00191ACB" w:rsidRDefault="005078DA" w:rsidP="005078DA">
            <w:pPr>
              <w:spacing w:line="30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Hydro fluorocarbons</w:t>
            </w:r>
          </w:p>
        </w:tc>
      </w:tr>
      <w:tr w:rsidR="005078DA" w:rsidRPr="00191ACB" w14:paraId="46385EFF" w14:textId="77777777" w:rsidTr="005078DA">
        <w:tc>
          <w:tcPr>
            <w:tcW w:w="2178" w:type="dxa"/>
          </w:tcPr>
          <w:p w14:paraId="089735E0"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HIV</w:t>
            </w:r>
          </w:p>
        </w:tc>
        <w:tc>
          <w:tcPr>
            <w:tcW w:w="7398" w:type="dxa"/>
          </w:tcPr>
          <w:p w14:paraId="2BFA8E78" w14:textId="30DACFE9"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Human Immuno</w:t>
            </w:r>
            <w:r w:rsidR="005F315B">
              <w:rPr>
                <w:rFonts w:ascii="Times New Roman" w:hAnsi="Times New Roman" w:cs="Times New Roman"/>
                <w:color w:val="000000" w:themeColor="text1"/>
                <w:sz w:val="24"/>
                <w:szCs w:val="24"/>
              </w:rPr>
              <w:t>-</w:t>
            </w:r>
            <w:r w:rsidR="005F315B" w:rsidRPr="00191ACB">
              <w:rPr>
                <w:rFonts w:ascii="Times New Roman" w:hAnsi="Times New Roman" w:cs="Times New Roman"/>
                <w:color w:val="000000" w:themeColor="text1"/>
                <w:sz w:val="24"/>
                <w:szCs w:val="24"/>
              </w:rPr>
              <w:t>def</w:t>
            </w:r>
            <w:r w:rsidR="005F315B">
              <w:rPr>
                <w:rFonts w:ascii="Times New Roman" w:hAnsi="Times New Roman" w:cs="Times New Roman"/>
                <w:color w:val="000000" w:themeColor="text1"/>
                <w:sz w:val="24"/>
                <w:szCs w:val="24"/>
              </w:rPr>
              <w:t>i</w:t>
            </w:r>
            <w:r w:rsidR="005F315B" w:rsidRPr="00191ACB">
              <w:rPr>
                <w:rFonts w:ascii="Times New Roman" w:hAnsi="Times New Roman" w:cs="Times New Roman"/>
                <w:color w:val="000000" w:themeColor="text1"/>
                <w:sz w:val="24"/>
                <w:szCs w:val="24"/>
              </w:rPr>
              <w:t>ciency</w:t>
            </w:r>
            <w:r w:rsidRPr="00191ACB">
              <w:rPr>
                <w:rFonts w:ascii="Times New Roman" w:hAnsi="Times New Roman" w:cs="Times New Roman"/>
                <w:color w:val="000000" w:themeColor="text1"/>
                <w:sz w:val="24"/>
                <w:szCs w:val="24"/>
              </w:rPr>
              <w:t xml:space="preserve"> Virus </w:t>
            </w:r>
          </w:p>
        </w:tc>
      </w:tr>
      <w:tr w:rsidR="005078DA" w:rsidRPr="00191ACB" w14:paraId="66370B2F" w14:textId="77777777" w:rsidTr="005078DA">
        <w:tc>
          <w:tcPr>
            <w:tcW w:w="2178" w:type="dxa"/>
          </w:tcPr>
          <w:p w14:paraId="7BA1287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lastRenderedPageBreak/>
              <w:t>IAPRI</w:t>
            </w:r>
          </w:p>
        </w:tc>
        <w:tc>
          <w:tcPr>
            <w:tcW w:w="7398" w:type="dxa"/>
          </w:tcPr>
          <w:p w14:paraId="709A302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Indaba Agricultural Policy Research Institute</w:t>
            </w:r>
          </w:p>
        </w:tc>
      </w:tr>
      <w:tr w:rsidR="005078DA" w:rsidRPr="00191ACB" w14:paraId="4568D68A" w14:textId="77777777" w:rsidTr="005078DA">
        <w:tc>
          <w:tcPr>
            <w:tcW w:w="2178" w:type="dxa"/>
          </w:tcPr>
          <w:p w14:paraId="68B4E60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IDC</w:t>
            </w:r>
          </w:p>
        </w:tc>
        <w:tc>
          <w:tcPr>
            <w:tcW w:w="7398" w:type="dxa"/>
          </w:tcPr>
          <w:p w14:paraId="7EE8D60E"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Industrial Development Company Zambia Limited </w:t>
            </w:r>
          </w:p>
        </w:tc>
      </w:tr>
      <w:tr w:rsidR="00CE4840" w:rsidRPr="00191ACB" w14:paraId="3DDC6758" w14:textId="77777777" w:rsidTr="005078DA">
        <w:tc>
          <w:tcPr>
            <w:tcW w:w="2178" w:type="dxa"/>
          </w:tcPr>
          <w:p w14:paraId="48698529" w14:textId="277E8059" w:rsidR="00CE4840" w:rsidRPr="00191ACB" w:rsidRDefault="00CE4840"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IEF</w:t>
            </w:r>
          </w:p>
        </w:tc>
        <w:tc>
          <w:tcPr>
            <w:tcW w:w="7398" w:type="dxa"/>
          </w:tcPr>
          <w:p w14:paraId="132642C6" w14:textId="70865925" w:rsidR="00CE4840" w:rsidRPr="00191ACB" w:rsidRDefault="00CE4840"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International Energy Forum</w:t>
            </w:r>
          </w:p>
        </w:tc>
      </w:tr>
      <w:tr w:rsidR="005078DA" w:rsidRPr="00191ACB" w14:paraId="50B487E8" w14:textId="77777777" w:rsidTr="005078DA">
        <w:tc>
          <w:tcPr>
            <w:tcW w:w="2178" w:type="dxa"/>
          </w:tcPr>
          <w:p w14:paraId="61FB44E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ILUA II</w:t>
            </w:r>
          </w:p>
        </w:tc>
        <w:tc>
          <w:tcPr>
            <w:tcW w:w="7398" w:type="dxa"/>
          </w:tcPr>
          <w:p w14:paraId="7F8FF4F0" w14:textId="0467C86C"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Second Integrated Land</w:t>
            </w:r>
            <w:r w:rsidR="00CE4840" w:rsidRPr="00191ACB">
              <w:rPr>
                <w:rFonts w:ascii="Times New Roman" w:hAnsi="Times New Roman" w:cs="Times New Roman"/>
                <w:color w:val="000000" w:themeColor="text1"/>
                <w:sz w:val="24"/>
                <w:szCs w:val="24"/>
              </w:rPr>
              <w:t xml:space="preserve"> Use</w:t>
            </w:r>
            <w:r w:rsidRPr="00191ACB">
              <w:rPr>
                <w:rFonts w:ascii="Times New Roman" w:hAnsi="Times New Roman" w:cs="Times New Roman"/>
                <w:color w:val="000000" w:themeColor="text1"/>
                <w:sz w:val="24"/>
                <w:szCs w:val="24"/>
              </w:rPr>
              <w:t xml:space="preserve"> </w:t>
            </w:r>
            <w:r w:rsidR="00CE4840" w:rsidRPr="00191ACB">
              <w:rPr>
                <w:rFonts w:ascii="Times New Roman" w:hAnsi="Times New Roman" w:cs="Times New Roman"/>
                <w:color w:val="000000" w:themeColor="text1"/>
                <w:sz w:val="24"/>
                <w:szCs w:val="24"/>
              </w:rPr>
              <w:t>Assessment</w:t>
            </w:r>
            <w:r w:rsidRPr="00191ACB">
              <w:rPr>
                <w:rFonts w:ascii="Times New Roman" w:hAnsi="Times New Roman" w:cs="Times New Roman"/>
                <w:color w:val="000000" w:themeColor="text1"/>
                <w:sz w:val="24"/>
                <w:szCs w:val="24"/>
              </w:rPr>
              <w:t xml:space="preserve"> </w:t>
            </w:r>
          </w:p>
        </w:tc>
      </w:tr>
      <w:tr w:rsidR="005078DA" w:rsidRPr="00191ACB" w14:paraId="5B4B59B9" w14:textId="77777777" w:rsidTr="005078DA">
        <w:tc>
          <w:tcPr>
            <w:tcW w:w="2178" w:type="dxa"/>
          </w:tcPr>
          <w:p w14:paraId="38CEBEB3"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IPCC</w:t>
            </w:r>
          </w:p>
        </w:tc>
        <w:tc>
          <w:tcPr>
            <w:tcW w:w="7398" w:type="dxa"/>
          </w:tcPr>
          <w:p w14:paraId="6E76B6A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Intergovernmental Panel on Climate Change </w:t>
            </w:r>
          </w:p>
        </w:tc>
      </w:tr>
      <w:tr w:rsidR="005078DA" w:rsidRPr="00191ACB" w14:paraId="6C44F9A6" w14:textId="77777777" w:rsidTr="005078DA">
        <w:tc>
          <w:tcPr>
            <w:tcW w:w="2178" w:type="dxa"/>
          </w:tcPr>
          <w:p w14:paraId="74BDFBA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IPPs</w:t>
            </w:r>
          </w:p>
        </w:tc>
        <w:tc>
          <w:tcPr>
            <w:tcW w:w="7398" w:type="dxa"/>
          </w:tcPr>
          <w:p w14:paraId="376D042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Independent Power Producers (IPPs)</w:t>
            </w:r>
          </w:p>
        </w:tc>
      </w:tr>
      <w:tr w:rsidR="005078DA" w:rsidRPr="00191ACB" w14:paraId="446AD158" w14:textId="77777777" w:rsidTr="005078DA">
        <w:tc>
          <w:tcPr>
            <w:tcW w:w="2178" w:type="dxa"/>
          </w:tcPr>
          <w:p w14:paraId="2D2A38F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IPPU</w:t>
            </w:r>
          </w:p>
        </w:tc>
        <w:tc>
          <w:tcPr>
            <w:tcW w:w="7398" w:type="dxa"/>
          </w:tcPr>
          <w:p w14:paraId="47D7FF5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industrial processes and product use</w:t>
            </w:r>
          </w:p>
        </w:tc>
      </w:tr>
      <w:tr w:rsidR="005078DA" w:rsidRPr="00191ACB" w14:paraId="31C4B1BE" w14:textId="77777777" w:rsidTr="005078DA">
        <w:tc>
          <w:tcPr>
            <w:tcW w:w="2178" w:type="dxa"/>
          </w:tcPr>
          <w:p w14:paraId="50EDEDA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JMP</w:t>
            </w:r>
          </w:p>
        </w:tc>
        <w:tc>
          <w:tcPr>
            <w:tcW w:w="7398" w:type="dxa"/>
          </w:tcPr>
          <w:p w14:paraId="52C384A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Joint Monitoring Programme </w:t>
            </w:r>
          </w:p>
        </w:tc>
      </w:tr>
      <w:tr w:rsidR="005078DA" w:rsidRPr="00191ACB" w14:paraId="59DF940E" w14:textId="77777777" w:rsidTr="005078DA">
        <w:tc>
          <w:tcPr>
            <w:tcW w:w="2178" w:type="dxa"/>
          </w:tcPr>
          <w:p w14:paraId="61E38CE7"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LEAP</w:t>
            </w:r>
          </w:p>
        </w:tc>
        <w:tc>
          <w:tcPr>
            <w:tcW w:w="7398" w:type="dxa"/>
          </w:tcPr>
          <w:p w14:paraId="71A173A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Long-range Energy Alternatives Planning System </w:t>
            </w:r>
          </w:p>
        </w:tc>
      </w:tr>
      <w:tr w:rsidR="005078DA" w:rsidRPr="00191ACB" w14:paraId="5EA3216C" w14:textId="77777777" w:rsidTr="005078DA">
        <w:tc>
          <w:tcPr>
            <w:tcW w:w="2178" w:type="dxa"/>
          </w:tcPr>
          <w:p w14:paraId="713FBF9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LEAP</w:t>
            </w:r>
          </w:p>
        </w:tc>
        <w:tc>
          <w:tcPr>
            <w:tcW w:w="7398" w:type="dxa"/>
          </w:tcPr>
          <w:p w14:paraId="35A6E4C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Long-range Energy Alternatives Planning system </w:t>
            </w:r>
          </w:p>
        </w:tc>
      </w:tr>
      <w:tr w:rsidR="005078DA" w:rsidRPr="00191ACB" w14:paraId="56B34BF7" w14:textId="77777777" w:rsidTr="005078DA">
        <w:tc>
          <w:tcPr>
            <w:tcW w:w="2178" w:type="dxa"/>
          </w:tcPr>
          <w:p w14:paraId="33460D7E"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LECB</w:t>
            </w:r>
          </w:p>
        </w:tc>
        <w:tc>
          <w:tcPr>
            <w:tcW w:w="7398" w:type="dxa"/>
          </w:tcPr>
          <w:p w14:paraId="21806BC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Low Emissions Capacity Building Project </w:t>
            </w:r>
          </w:p>
        </w:tc>
      </w:tr>
      <w:tr w:rsidR="005078DA" w:rsidRPr="00191ACB" w14:paraId="351B6855" w14:textId="77777777" w:rsidTr="005078DA">
        <w:tc>
          <w:tcPr>
            <w:tcW w:w="2178" w:type="dxa"/>
          </w:tcPr>
          <w:p w14:paraId="3776360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LF</w:t>
            </w:r>
          </w:p>
        </w:tc>
        <w:tc>
          <w:tcPr>
            <w:tcW w:w="7398" w:type="dxa"/>
          </w:tcPr>
          <w:p w14:paraId="4D0432B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Local Forest</w:t>
            </w:r>
          </w:p>
        </w:tc>
      </w:tr>
      <w:tr w:rsidR="005078DA" w:rsidRPr="00191ACB" w14:paraId="17BC7C70" w14:textId="77777777" w:rsidTr="005078DA">
        <w:tc>
          <w:tcPr>
            <w:tcW w:w="2178" w:type="dxa"/>
          </w:tcPr>
          <w:p w14:paraId="777E5F64"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LPG</w:t>
            </w:r>
          </w:p>
        </w:tc>
        <w:tc>
          <w:tcPr>
            <w:tcW w:w="7398" w:type="dxa"/>
          </w:tcPr>
          <w:p w14:paraId="461E695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Liquid Petroleum Gas</w:t>
            </w:r>
          </w:p>
        </w:tc>
      </w:tr>
      <w:tr w:rsidR="005078DA" w:rsidRPr="00191ACB" w14:paraId="72DD6FB5" w14:textId="77777777" w:rsidTr="005078DA">
        <w:tc>
          <w:tcPr>
            <w:tcW w:w="2178" w:type="dxa"/>
          </w:tcPr>
          <w:p w14:paraId="34FE86E4"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LULUCUF</w:t>
            </w:r>
          </w:p>
        </w:tc>
        <w:tc>
          <w:tcPr>
            <w:tcW w:w="7398" w:type="dxa"/>
          </w:tcPr>
          <w:p w14:paraId="2389A721" w14:textId="1C8083BF"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Land Use </w:t>
            </w:r>
            <w:r w:rsidR="00CE4840" w:rsidRPr="00191ACB">
              <w:rPr>
                <w:rFonts w:ascii="Times New Roman" w:hAnsi="Times New Roman" w:cs="Times New Roman"/>
                <w:color w:val="000000" w:themeColor="text1"/>
                <w:sz w:val="24"/>
                <w:szCs w:val="24"/>
              </w:rPr>
              <w:t>a</w:t>
            </w:r>
            <w:r w:rsidRPr="00191ACB">
              <w:rPr>
                <w:rFonts w:ascii="Times New Roman" w:hAnsi="Times New Roman" w:cs="Times New Roman"/>
                <w:color w:val="000000" w:themeColor="text1"/>
                <w:sz w:val="24"/>
                <w:szCs w:val="24"/>
              </w:rPr>
              <w:t xml:space="preserve">nd Land-Use Change In Forests </w:t>
            </w:r>
          </w:p>
        </w:tc>
      </w:tr>
      <w:tr w:rsidR="005078DA" w:rsidRPr="00191ACB" w14:paraId="40C34A59" w14:textId="77777777" w:rsidTr="005078DA">
        <w:tc>
          <w:tcPr>
            <w:tcW w:w="2178" w:type="dxa"/>
          </w:tcPr>
          <w:p w14:paraId="341360F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MBT</w:t>
            </w:r>
          </w:p>
        </w:tc>
        <w:tc>
          <w:tcPr>
            <w:tcW w:w="7398" w:type="dxa"/>
          </w:tcPr>
          <w:p w14:paraId="667C11C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Mechanical Biological Treatment </w:t>
            </w:r>
          </w:p>
        </w:tc>
      </w:tr>
      <w:tr w:rsidR="005078DA" w:rsidRPr="00191ACB" w14:paraId="5A116BA5" w14:textId="77777777" w:rsidTr="005078DA">
        <w:tc>
          <w:tcPr>
            <w:tcW w:w="2178" w:type="dxa"/>
          </w:tcPr>
          <w:p w14:paraId="1F081B9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MLNR</w:t>
            </w:r>
          </w:p>
        </w:tc>
        <w:tc>
          <w:tcPr>
            <w:tcW w:w="7398" w:type="dxa"/>
          </w:tcPr>
          <w:p w14:paraId="1518235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Ministry of Lands and Natural Resources </w:t>
            </w:r>
          </w:p>
        </w:tc>
      </w:tr>
      <w:tr w:rsidR="005078DA" w:rsidRPr="00191ACB" w14:paraId="2D6A05F4" w14:textId="77777777" w:rsidTr="005078DA">
        <w:tc>
          <w:tcPr>
            <w:tcW w:w="2178" w:type="dxa"/>
          </w:tcPr>
          <w:p w14:paraId="695B700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MNDP</w:t>
            </w:r>
          </w:p>
        </w:tc>
        <w:tc>
          <w:tcPr>
            <w:tcW w:w="7398" w:type="dxa"/>
          </w:tcPr>
          <w:p w14:paraId="73E4D91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Ministry of National Development Program</w:t>
            </w:r>
          </w:p>
        </w:tc>
      </w:tr>
      <w:tr w:rsidR="005078DA" w:rsidRPr="00191ACB" w14:paraId="64786C9F" w14:textId="77777777" w:rsidTr="005078DA">
        <w:tc>
          <w:tcPr>
            <w:tcW w:w="2178" w:type="dxa"/>
          </w:tcPr>
          <w:p w14:paraId="5773220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MoA</w:t>
            </w:r>
          </w:p>
        </w:tc>
        <w:tc>
          <w:tcPr>
            <w:tcW w:w="7398" w:type="dxa"/>
          </w:tcPr>
          <w:p w14:paraId="76EC5B53"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Ministry of Agriculture </w:t>
            </w:r>
          </w:p>
        </w:tc>
      </w:tr>
      <w:tr w:rsidR="005F3B99" w:rsidRPr="00191ACB" w14:paraId="6989C826" w14:textId="77777777" w:rsidTr="005078DA">
        <w:tc>
          <w:tcPr>
            <w:tcW w:w="2178" w:type="dxa"/>
          </w:tcPr>
          <w:p w14:paraId="5CCB7EF3" w14:textId="41A71417" w:rsidR="005F3B99" w:rsidRPr="00191ACB" w:rsidRDefault="005F3B99"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MOTA</w:t>
            </w:r>
          </w:p>
        </w:tc>
        <w:tc>
          <w:tcPr>
            <w:tcW w:w="7398" w:type="dxa"/>
          </w:tcPr>
          <w:p w14:paraId="05D222B2" w14:textId="27F1E237" w:rsidR="005F3B99" w:rsidRPr="00191ACB" w:rsidRDefault="005F3B99"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Ministry of Tourism and Arts</w:t>
            </w:r>
          </w:p>
        </w:tc>
      </w:tr>
      <w:tr w:rsidR="005078DA" w:rsidRPr="00191ACB" w14:paraId="61C7E793" w14:textId="77777777" w:rsidTr="005078DA">
        <w:tc>
          <w:tcPr>
            <w:tcW w:w="2178" w:type="dxa"/>
          </w:tcPr>
          <w:p w14:paraId="7AEBF82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MRV</w:t>
            </w:r>
          </w:p>
        </w:tc>
        <w:tc>
          <w:tcPr>
            <w:tcW w:w="7398" w:type="dxa"/>
          </w:tcPr>
          <w:p w14:paraId="499B3187"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Measuring, Reporting and Verification </w:t>
            </w:r>
          </w:p>
        </w:tc>
      </w:tr>
      <w:tr w:rsidR="005078DA" w:rsidRPr="00191ACB" w14:paraId="277B046D" w14:textId="77777777" w:rsidTr="005078DA">
        <w:tc>
          <w:tcPr>
            <w:tcW w:w="2178" w:type="dxa"/>
          </w:tcPr>
          <w:p w14:paraId="4D0BE2F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MSE</w:t>
            </w:r>
          </w:p>
        </w:tc>
        <w:tc>
          <w:tcPr>
            <w:tcW w:w="7398" w:type="dxa"/>
          </w:tcPr>
          <w:p w14:paraId="5C0E310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medium and Small-Scale Enterprises </w:t>
            </w:r>
          </w:p>
        </w:tc>
      </w:tr>
      <w:tr w:rsidR="005078DA" w:rsidRPr="00191ACB" w14:paraId="1C72C30F" w14:textId="77777777" w:rsidTr="005078DA">
        <w:tc>
          <w:tcPr>
            <w:tcW w:w="2178" w:type="dxa"/>
          </w:tcPr>
          <w:p w14:paraId="35659640"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MSW</w:t>
            </w:r>
          </w:p>
        </w:tc>
        <w:tc>
          <w:tcPr>
            <w:tcW w:w="7398" w:type="dxa"/>
          </w:tcPr>
          <w:p w14:paraId="1541E820"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Municipal solid waste </w:t>
            </w:r>
          </w:p>
        </w:tc>
      </w:tr>
      <w:tr w:rsidR="005078DA" w:rsidRPr="00191ACB" w14:paraId="304C843C" w14:textId="77777777" w:rsidTr="005078DA">
        <w:tc>
          <w:tcPr>
            <w:tcW w:w="2178" w:type="dxa"/>
          </w:tcPr>
          <w:p w14:paraId="79B1C91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MT</w:t>
            </w:r>
          </w:p>
        </w:tc>
        <w:tc>
          <w:tcPr>
            <w:tcW w:w="7398" w:type="dxa"/>
          </w:tcPr>
          <w:p w14:paraId="347CBC3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Metric Tonnes</w:t>
            </w:r>
          </w:p>
        </w:tc>
      </w:tr>
      <w:tr w:rsidR="005078DA" w:rsidRPr="00191ACB" w14:paraId="6A3B61A6" w14:textId="77777777" w:rsidTr="005078DA">
        <w:tc>
          <w:tcPr>
            <w:tcW w:w="2178" w:type="dxa"/>
          </w:tcPr>
          <w:p w14:paraId="0279C2E0"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MTA</w:t>
            </w:r>
          </w:p>
        </w:tc>
        <w:tc>
          <w:tcPr>
            <w:tcW w:w="7398" w:type="dxa"/>
          </w:tcPr>
          <w:p w14:paraId="1435AD0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Ministry of Tourism and Arts </w:t>
            </w:r>
          </w:p>
        </w:tc>
      </w:tr>
      <w:tr w:rsidR="005078DA" w:rsidRPr="00191ACB" w14:paraId="0D27974B" w14:textId="77777777" w:rsidTr="005078DA">
        <w:tc>
          <w:tcPr>
            <w:tcW w:w="2178" w:type="dxa"/>
          </w:tcPr>
          <w:p w14:paraId="031DFD1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MTC</w:t>
            </w:r>
          </w:p>
        </w:tc>
        <w:tc>
          <w:tcPr>
            <w:tcW w:w="7398" w:type="dxa"/>
          </w:tcPr>
          <w:p w14:paraId="30822DE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Ministry of Transport and Communication </w:t>
            </w:r>
          </w:p>
        </w:tc>
      </w:tr>
      <w:tr w:rsidR="005078DA" w:rsidRPr="00191ACB" w14:paraId="37BE904D" w14:textId="77777777" w:rsidTr="005078DA">
        <w:tc>
          <w:tcPr>
            <w:tcW w:w="2178" w:type="dxa"/>
          </w:tcPr>
          <w:p w14:paraId="42E3CE5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MTENR</w:t>
            </w:r>
          </w:p>
        </w:tc>
        <w:tc>
          <w:tcPr>
            <w:tcW w:w="7398" w:type="dxa"/>
          </w:tcPr>
          <w:p w14:paraId="386FE55A" w14:textId="56D19456"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Min</w:t>
            </w:r>
            <w:r w:rsidR="005F315B">
              <w:rPr>
                <w:rFonts w:ascii="Times New Roman" w:hAnsi="Times New Roman" w:cs="Times New Roman"/>
                <w:color w:val="000000" w:themeColor="text1"/>
                <w:sz w:val="24"/>
                <w:szCs w:val="24"/>
              </w:rPr>
              <w:t>i</w:t>
            </w:r>
            <w:r w:rsidRPr="00191ACB">
              <w:rPr>
                <w:rFonts w:ascii="Times New Roman" w:hAnsi="Times New Roman" w:cs="Times New Roman"/>
                <w:color w:val="000000" w:themeColor="text1"/>
                <w:sz w:val="24"/>
                <w:szCs w:val="24"/>
              </w:rPr>
              <w:t>stry of Touris</w:t>
            </w:r>
            <w:r w:rsidR="005F315B">
              <w:rPr>
                <w:rFonts w:ascii="Times New Roman" w:hAnsi="Times New Roman" w:cs="Times New Roman"/>
                <w:color w:val="000000" w:themeColor="text1"/>
                <w:sz w:val="24"/>
                <w:szCs w:val="24"/>
              </w:rPr>
              <w:t>m</w:t>
            </w:r>
            <w:r w:rsidRPr="00191ACB">
              <w:rPr>
                <w:rFonts w:ascii="Times New Roman" w:hAnsi="Times New Roman" w:cs="Times New Roman"/>
                <w:color w:val="000000" w:themeColor="text1"/>
                <w:sz w:val="24"/>
                <w:szCs w:val="24"/>
              </w:rPr>
              <w:t xml:space="preserve"> Environment and Natural Resources </w:t>
            </w:r>
          </w:p>
        </w:tc>
      </w:tr>
      <w:tr w:rsidR="005078DA" w:rsidRPr="00191ACB" w14:paraId="6A9490FF" w14:textId="77777777" w:rsidTr="005078DA">
        <w:tc>
          <w:tcPr>
            <w:tcW w:w="2178" w:type="dxa"/>
          </w:tcPr>
          <w:p w14:paraId="24B2B550"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MW</w:t>
            </w:r>
          </w:p>
        </w:tc>
        <w:tc>
          <w:tcPr>
            <w:tcW w:w="7398" w:type="dxa"/>
          </w:tcPr>
          <w:p w14:paraId="76E281A5" w14:textId="413479E3"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Mega</w:t>
            </w:r>
            <w:r w:rsidR="005F315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Watts</w:t>
            </w:r>
          </w:p>
        </w:tc>
      </w:tr>
      <w:tr w:rsidR="005078DA" w:rsidRPr="00191ACB" w14:paraId="307CD096" w14:textId="77777777" w:rsidTr="005078DA">
        <w:tc>
          <w:tcPr>
            <w:tcW w:w="2178" w:type="dxa"/>
          </w:tcPr>
          <w:p w14:paraId="608B82C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w:t>
            </w:r>
          </w:p>
        </w:tc>
        <w:tc>
          <w:tcPr>
            <w:tcW w:w="7398" w:type="dxa"/>
          </w:tcPr>
          <w:p w14:paraId="63257EC2" w14:textId="77777777" w:rsidR="005078DA" w:rsidRPr="00191ACB" w:rsidRDefault="005078DA" w:rsidP="005078DA">
            <w:pPr>
              <w:spacing w:line="30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Nitrous oxide</w:t>
            </w:r>
          </w:p>
        </w:tc>
      </w:tr>
      <w:tr w:rsidR="005078DA" w:rsidRPr="00191ACB" w14:paraId="2D1D911A" w14:textId="77777777" w:rsidTr="005078DA">
        <w:tc>
          <w:tcPr>
            <w:tcW w:w="2178" w:type="dxa"/>
          </w:tcPr>
          <w:p w14:paraId="3F5AEAD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NAMA</w:t>
            </w:r>
          </w:p>
        </w:tc>
        <w:tc>
          <w:tcPr>
            <w:tcW w:w="7398" w:type="dxa"/>
          </w:tcPr>
          <w:p w14:paraId="1DF0774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Nationally Appropriate Mitigation Actions</w:t>
            </w:r>
          </w:p>
        </w:tc>
      </w:tr>
      <w:tr w:rsidR="005078DA" w:rsidRPr="00191ACB" w14:paraId="25B6808F" w14:textId="77777777" w:rsidTr="005078DA">
        <w:tc>
          <w:tcPr>
            <w:tcW w:w="2178" w:type="dxa"/>
          </w:tcPr>
          <w:p w14:paraId="62545AE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NCV</w:t>
            </w:r>
          </w:p>
        </w:tc>
        <w:tc>
          <w:tcPr>
            <w:tcW w:w="7398" w:type="dxa"/>
          </w:tcPr>
          <w:p w14:paraId="59301C3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Net Calorific Value </w:t>
            </w:r>
          </w:p>
        </w:tc>
      </w:tr>
      <w:tr w:rsidR="005078DA" w:rsidRPr="00191ACB" w14:paraId="6AFB2E4A" w14:textId="77777777" w:rsidTr="005078DA">
        <w:tc>
          <w:tcPr>
            <w:tcW w:w="2178" w:type="dxa"/>
          </w:tcPr>
          <w:p w14:paraId="656EB1F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NCZ</w:t>
            </w:r>
          </w:p>
        </w:tc>
        <w:tc>
          <w:tcPr>
            <w:tcW w:w="7398" w:type="dxa"/>
          </w:tcPr>
          <w:p w14:paraId="62AEE7B0"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Nitrogen Chemicals of Zambia </w:t>
            </w:r>
          </w:p>
        </w:tc>
      </w:tr>
      <w:tr w:rsidR="005078DA" w:rsidRPr="00191ACB" w14:paraId="68B4151B" w14:textId="77777777" w:rsidTr="005078DA">
        <w:tc>
          <w:tcPr>
            <w:tcW w:w="2178" w:type="dxa"/>
          </w:tcPr>
          <w:p w14:paraId="412BC78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NDC</w:t>
            </w:r>
          </w:p>
        </w:tc>
        <w:tc>
          <w:tcPr>
            <w:tcW w:w="7398" w:type="dxa"/>
          </w:tcPr>
          <w:p w14:paraId="4792E04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Nationally Determined Contributions </w:t>
            </w:r>
          </w:p>
        </w:tc>
      </w:tr>
      <w:tr w:rsidR="005078DA" w:rsidRPr="00191ACB" w14:paraId="718A7AA9" w14:textId="77777777" w:rsidTr="005078DA">
        <w:tc>
          <w:tcPr>
            <w:tcW w:w="2178" w:type="dxa"/>
          </w:tcPr>
          <w:p w14:paraId="5F9AA7E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NF</w:t>
            </w:r>
          </w:p>
        </w:tc>
        <w:tc>
          <w:tcPr>
            <w:tcW w:w="7398" w:type="dxa"/>
          </w:tcPr>
          <w:p w14:paraId="4B28A68E"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National Forest</w:t>
            </w:r>
          </w:p>
        </w:tc>
      </w:tr>
      <w:tr w:rsidR="005078DA" w:rsidRPr="00191ACB" w14:paraId="167C8F26" w14:textId="77777777" w:rsidTr="005078DA">
        <w:tc>
          <w:tcPr>
            <w:tcW w:w="2178" w:type="dxa"/>
          </w:tcPr>
          <w:p w14:paraId="6890A6DE"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NH4+</w:t>
            </w:r>
          </w:p>
        </w:tc>
        <w:tc>
          <w:tcPr>
            <w:tcW w:w="7398" w:type="dxa"/>
          </w:tcPr>
          <w:p w14:paraId="105E8E0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Ammonium </w:t>
            </w:r>
          </w:p>
        </w:tc>
      </w:tr>
      <w:tr w:rsidR="005078DA" w:rsidRPr="00191ACB" w14:paraId="1AAA1110" w14:textId="77777777" w:rsidTr="005078DA">
        <w:tc>
          <w:tcPr>
            <w:tcW w:w="2178" w:type="dxa"/>
          </w:tcPr>
          <w:p w14:paraId="438C530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NIP</w:t>
            </w:r>
          </w:p>
        </w:tc>
        <w:tc>
          <w:tcPr>
            <w:tcW w:w="7398" w:type="dxa"/>
          </w:tcPr>
          <w:p w14:paraId="795A5CE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National Industrial Policy </w:t>
            </w:r>
          </w:p>
        </w:tc>
      </w:tr>
      <w:tr w:rsidR="005078DA" w:rsidRPr="00191ACB" w14:paraId="625EAE19" w14:textId="77777777" w:rsidTr="005078DA">
        <w:tc>
          <w:tcPr>
            <w:tcW w:w="2178" w:type="dxa"/>
          </w:tcPr>
          <w:p w14:paraId="095D46E4"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NIP</w:t>
            </w:r>
          </w:p>
        </w:tc>
        <w:tc>
          <w:tcPr>
            <w:tcW w:w="7398" w:type="dxa"/>
          </w:tcPr>
          <w:p w14:paraId="5A75558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National Industrial Policy </w:t>
            </w:r>
          </w:p>
        </w:tc>
      </w:tr>
      <w:tr w:rsidR="005078DA" w:rsidRPr="00191ACB" w14:paraId="5BD276C3" w14:textId="77777777" w:rsidTr="005078DA">
        <w:tc>
          <w:tcPr>
            <w:tcW w:w="2178" w:type="dxa"/>
          </w:tcPr>
          <w:p w14:paraId="6549ECA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NLCD</w:t>
            </w:r>
          </w:p>
        </w:tc>
        <w:tc>
          <w:tcPr>
            <w:tcW w:w="7398" w:type="dxa"/>
          </w:tcPr>
          <w:p w14:paraId="60093210"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National Land Cover Datasets </w:t>
            </w:r>
          </w:p>
        </w:tc>
      </w:tr>
      <w:tr w:rsidR="005078DA" w:rsidRPr="00191ACB" w14:paraId="2DA39759" w14:textId="77777777" w:rsidTr="005078DA">
        <w:tc>
          <w:tcPr>
            <w:tcW w:w="2178" w:type="dxa"/>
          </w:tcPr>
          <w:p w14:paraId="342306B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NLCD</w:t>
            </w:r>
          </w:p>
        </w:tc>
        <w:tc>
          <w:tcPr>
            <w:tcW w:w="7398" w:type="dxa"/>
          </w:tcPr>
          <w:p w14:paraId="3EC52EDD" w14:textId="094AE5D2"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National Land Cover Datasets </w:t>
            </w:r>
          </w:p>
        </w:tc>
      </w:tr>
      <w:tr w:rsidR="005078DA" w:rsidRPr="00191ACB" w14:paraId="342964A9" w14:textId="77777777" w:rsidTr="005078DA">
        <w:tc>
          <w:tcPr>
            <w:tcW w:w="2178" w:type="dxa"/>
          </w:tcPr>
          <w:p w14:paraId="77F1FA9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NMVOC</w:t>
            </w:r>
          </w:p>
        </w:tc>
        <w:tc>
          <w:tcPr>
            <w:tcW w:w="7398" w:type="dxa"/>
          </w:tcPr>
          <w:p w14:paraId="1928253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non-methane volatile organic compounds </w:t>
            </w:r>
          </w:p>
        </w:tc>
      </w:tr>
      <w:tr w:rsidR="005078DA" w:rsidRPr="00191ACB" w14:paraId="6F912A9E" w14:textId="77777777" w:rsidTr="005078DA">
        <w:tc>
          <w:tcPr>
            <w:tcW w:w="2178" w:type="dxa"/>
          </w:tcPr>
          <w:p w14:paraId="3307768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NP</w:t>
            </w:r>
          </w:p>
        </w:tc>
        <w:tc>
          <w:tcPr>
            <w:tcW w:w="7398" w:type="dxa"/>
          </w:tcPr>
          <w:p w14:paraId="405A9EF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National Parks </w:t>
            </w:r>
          </w:p>
        </w:tc>
      </w:tr>
      <w:tr w:rsidR="005078DA" w:rsidRPr="00191ACB" w14:paraId="3FE229CD" w14:textId="77777777" w:rsidTr="005078DA">
        <w:tc>
          <w:tcPr>
            <w:tcW w:w="2178" w:type="dxa"/>
          </w:tcPr>
          <w:p w14:paraId="2F1CD4C7"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NPCC</w:t>
            </w:r>
          </w:p>
        </w:tc>
        <w:tc>
          <w:tcPr>
            <w:tcW w:w="7398" w:type="dxa"/>
          </w:tcPr>
          <w:p w14:paraId="001BA6F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National Policy on Climate Change </w:t>
            </w:r>
          </w:p>
        </w:tc>
      </w:tr>
      <w:tr w:rsidR="00432F18" w:rsidRPr="00191ACB" w14:paraId="74BC3C3E" w14:textId="77777777" w:rsidTr="005078DA">
        <w:tc>
          <w:tcPr>
            <w:tcW w:w="2178" w:type="dxa"/>
          </w:tcPr>
          <w:p w14:paraId="55C47B99" w14:textId="6666DC14" w:rsidR="00432F18" w:rsidRPr="00191ACB" w:rsidRDefault="00432F18"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NTBC</w:t>
            </w:r>
          </w:p>
        </w:tc>
        <w:tc>
          <w:tcPr>
            <w:tcW w:w="7398" w:type="dxa"/>
          </w:tcPr>
          <w:p w14:paraId="6DC68A80" w14:textId="641435DA" w:rsidR="00432F18" w:rsidRPr="00191ACB" w:rsidRDefault="00CE4840"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National Technology Business Centre</w:t>
            </w:r>
          </w:p>
        </w:tc>
      </w:tr>
      <w:tr w:rsidR="005078DA" w:rsidRPr="00191ACB" w14:paraId="798E0C9B" w14:textId="77777777" w:rsidTr="005078DA">
        <w:tc>
          <w:tcPr>
            <w:tcW w:w="2178" w:type="dxa"/>
          </w:tcPr>
          <w:p w14:paraId="626A7AE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NWASCO</w:t>
            </w:r>
          </w:p>
        </w:tc>
        <w:tc>
          <w:tcPr>
            <w:tcW w:w="7398" w:type="dxa"/>
          </w:tcPr>
          <w:p w14:paraId="29FA11E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National Water Supply and Sanitation Council</w:t>
            </w:r>
          </w:p>
        </w:tc>
      </w:tr>
      <w:tr w:rsidR="005078DA" w:rsidRPr="00191ACB" w14:paraId="1DB93C6D" w14:textId="77777777" w:rsidTr="005078DA">
        <w:tc>
          <w:tcPr>
            <w:tcW w:w="2178" w:type="dxa"/>
          </w:tcPr>
          <w:p w14:paraId="598684E7"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OBA</w:t>
            </w:r>
          </w:p>
        </w:tc>
        <w:tc>
          <w:tcPr>
            <w:tcW w:w="7398" w:type="dxa"/>
          </w:tcPr>
          <w:p w14:paraId="18A56FA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Output-Based Aid </w:t>
            </w:r>
          </w:p>
        </w:tc>
      </w:tr>
      <w:tr w:rsidR="005078DA" w:rsidRPr="00191ACB" w14:paraId="2FA81545" w14:textId="77777777" w:rsidTr="005078DA">
        <w:tc>
          <w:tcPr>
            <w:tcW w:w="2178" w:type="dxa"/>
          </w:tcPr>
          <w:p w14:paraId="664FE48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ODS</w:t>
            </w:r>
          </w:p>
        </w:tc>
        <w:tc>
          <w:tcPr>
            <w:tcW w:w="7398" w:type="dxa"/>
          </w:tcPr>
          <w:p w14:paraId="21FE30E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Ozone Depleting Substances</w:t>
            </w:r>
          </w:p>
        </w:tc>
      </w:tr>
      <w:tr w:rsidR="005078DA" w:rsidRPr="00191ACB" w14:paraId="1DF20253" w14:textId="77777777" w:rsidTr="005078DA">
        <w:tc>
          <w:tcPr>
            <w:tcW w:w="2178" w:type="dxa"/>
          </w:tcPr>
          <w:p w14:paraId="5E44C6B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ODU</w:t>
            </w:r>
          </w:p>
        </w:tc>
        <w:tc>
          <w:tcPr>
            <w:tcW w:w="7398" w:type="dxa"/>
          </w:tcPr>
          <w:p w14:paraId="0F89363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Oxidised During Use </w:t>
            </w:r>
          </w:p>
        </w:tc>
      </w:tr>
      <w:tr w:rsidR="005078DA" w:rsidRPr="00191ACB" w14:paraId="1D63B7BB" w14:textId="77777777" w:rsidTr="005078DA">
        <w:tc>
          <w:tcPr>
            <w:tcW w:w="2178" w:type="dxa"/>
          </w:tcPr>
          <w:p w14:paraId="684FE6E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OH-</w:t>
            </w:r>
          </w:p>
        </w:tc>
        <w:tc>
          <w:tcPr>
            <w:tcW w:w="7398" w:type="dxa"/>
          </w:tcPr>
          <w:p w14:paraId="5C5AAB1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hydroxyl ion </w:t>
            </w:r>
          </w:p>
        </w:tc>
      </w:tr>
      <w:tr w:rsidR="005078DA" w:rsidRPr="00191ACB" w14:paraId="2C04C775" w14:textId="77777777" w:rsidTr="005078DA">
        <w:tc>
          <w:tcPr>
            <w:tcW w:w="2178" w:type="dxa"/>
          </w:tcPr>
          <w:p w14:paraId="158C30E4"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OMCs</w:t>
            </w:r>
          </w:p>
        </w:tc>
        <w:tc>
          <w:tcPr>
            <w:tcW w:w="7398" w:type="dxa"/>
          </w:tcPr>
          <w:p w14:paraId="3E3C57E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Oil Marketing Companies </w:t>
            </w:r>
          </w:p>
        </w:tc>
      </w:tr>
      <w:tr w:rsidR="005078DA" w:rsidRPr="00191ACB" w14:paraId="443D4D9C" w14:textId="77777777" w:rsidTr="005078DA">
        <w:tc>
          <w:tcPr>
            <w:tcW w:w="2178" w:type="dxa"/>
          </w:tcPr>
          <w:p w14:paraId="4E64901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lastRenderedPageBreak/>
              <w:t>PIA</w:t>
            </w:r>
          </w:p>
        </w:tc>
        <w:tc>
          <w:tcPr>
            <w:tcW w:w="7398" w:type="dxa"/>
          </w:tcPr>
          <w:p w14:paraId="02F9CD1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Project Implementation Agency </w:t>
            </w:r>
          </w:p>
        </w:tc>
      </w:tr>
      <w:tr w:rsidR="005078DA" w:rsidRPr="00191ACB" w14:paraId="41559A42" w14:textId="77777777" w:rsidTr="005078DA">
        <w:tc>
          <w:tcPr>
            <w:tcW w:w="2178" w:type="dxa"/>
          </w:tcPr>
          <w:p w14:paraId="7ED72F3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PV</w:t>
            </w:r>
          </w:p>
        </w:tc>
        <w:tc>
          <w:tcPr>
            <w:tcW w:w="7398" w:type="dxa"/>
          </w:tcPr>
          <w:p w14:paraId="203C38A3"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Photovoltaic</w:t>
            </w:r>
          </w:p>
        </w:tc>
      </w:tr>
      <w:tr w:rsidR="005078DA" w:rsidRPr="00191ACB" w14:paraId="6E9239E5" w14:textId="77777777" w:rsidTr="005078DA">
        <w:tc>
          <w:tcPr>
            <w:tcW w:w="2178" w:type="dxa"/>
          </w:tcPr>
          <w:p w14:paraId="0C0BB60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QA/QC</w:t>
            </w:r>
          </w:p>
        </w:tc>
        <w:tc>
          <w:tcPr>
            <w:tcW w:w="7398" w:type="dxa"/>
          </w:tcPr>
          <w:p w14:paraId="38534BDD" w14:textId="40BA3930" w:rsidR="005078DA" w:rsidRPr="00191ACB" w:rsidRDefault="00CC3B13"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Quality control and Quality A</w:t>
            </w:r>
            <w:r w:rsidR="005078DA" w:rsidRPr="00191ACB">
              <w:rPr>
                <w:rFonts w:ascii="Times New Roman" w:hAnsi="Times New Roman" w:cs="Times New Roman"/>
                <w:color w:val="000000" w:themeColor="text1"/>
                <w:sz w:val="24"/>
                <w:szCs w:val="24"/>
              </w:rPr>
              <w:t xml:space="preserve">ssurance </w:t>
            </w:r>
          </w:p>
        </w:tc>
      </w:tr>
      <w:tr w:rsidR="005078DA" w:rsidRPr="00191ACB" w14:paraId="2383C6AD" w14:textId="77777777" w:rsidTr="005078DA">
        <w:tc>
          <w:tcPr>
            <w:tcW w:w="2178" w:type="dxa"/>
          </w:tcPr>
          <w:p w14:paraId="7AC3F38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REA</w:t>
            </w:r>
          </w:p>
        </w:tc>
        <w:tc>
          <w:tcPr>
            <w:tcW w:w="7398" w:type="dxa"/>
          </w:tcPr>
          <w:p w14:paraId="4A61C307"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Rural Electrification Authority </w:t>
            </w:r>
          </w:p>
        </w:tc>
      </w:tr>
      <w:tr w:rsidR="005078DA" w:rsidRPr="00191ACB" w14:paraId="3C7157A8" w14:textId="77777777" w:rsidTr="005078DA">
        <w:tc>
          <w:tcPr>
            <w:tcW w:w="2178" w:type="dxa"/>
          </w:tcPr>
          <w:p w14:paraId="11699A3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REDD+</w:t>
            </w:r>
          </w:p>
        </w:tc>
        <w:tc>
          <w:tcPr>
            <w:tcW w:w="7398" w:type="dxa"/>
          </w:tcPr>
          <w:p w14:paraId="1B4EE344"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Reducing Emissions From Deforestation And Forest Degradation</w:t>
            </w:r>
          </w:p>
        </w:tc>
      </w:tr>
      <w:tr w:rsidR="005078DA" w:rsidRPr="00191ACB" w14:paraId="478739F8" w14:textId="77777777" w:rsidTr="005078DA">
        <w:tc>
          <w:tcPr>
            <w:tcW w:w="2178" w:type="dxa"/>
          </w:tcPr>
          <w:p w14:paraId="633CAB7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REFiT</w:t>
            </w:r>
          </w:p>
        </w:tc>
        <w:tc>
          <w:tcPr>
            <w:tcW w:w="7398" w:type="dxa"/>
          </w:tcPr>
          <w:p w14:paraId="298AA92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Renewable Energy Feed in Tariff Strategy</w:t>
            </w:r>
          </w:p>
        </w:tc>
      </w:tr>
      <w:tr w:rsidR="005078DA" w:rsidRPr="00191ACB" w14:paraId="1B11087B" w14:textId="77777777" w:rsidTr="005078DA">
        <w:tc>
          <w:tcPr>
            <w:tcW w:w="2178" w:type="dxa"/>
          </w:tcPr>
          <w:p w14:paraId="29C7B6E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RTSA</w:t>
            </w:r>
          </w:p>
        </w:tc>
        <w:tc>
          <w:tcPr>
            <w:tcW w:w="7398" w:type="dxa"/>
          </w:tcPr>
          <w:p w14:paraId="6DC0DDF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Road Transport and Safety Agency </w:t>
            </w:r>
          </w:p>
        </w:tc>
      </w:tr>
      <w:tr w:rsidR="005078DA" w:rsidRPr="00191ACB" w14:paraId="524773B9" w14:textId="77777777" w:rsidTr="005078DA">
        <w:tc>
          <w:tcPr>
            <w:tcW w:w="2178" w:type="dxa"/>
          </w:tcPr>
          <w:p w14:paraId="777F1AF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SADC</w:t>
            </w:r>
          </w:p>
        </w:tc>
        <w:tc>
          <w:tcPr>
            <w:tcW w:w="7398" w:type="dxa"/>
          </w:tcPr>
          <w:p w14:paraId="62397B9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Southern Africa Development Cooperation</w:t>
            </w:r>
          </w:p>
        </w:tc>
      </w:tr>
      <w:tr w:rsidR="005078DA" w:rsidRPr="00191ACB" w14:paraId="7A5FA468" w14:textId="77777777" w:rsidTr="005078DA">
        <w:tc>
          <w:tcPr>
            <w:tcW w:w="2178" w:type="dxa"/>
          </w:tcPr>
          <w:p w14:paraId="1A2F639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SAPP</w:t>
            </w:r>
          </w:p>
        </w:tc>
        <w:tc>
          <w:tcPr>
            <w:tcW w:w="7398" w:type="dxa"/>
          </w:tcPr>
          <w:p w14:paraId="270B5F9C"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Southern African Power Pool </w:t>
            </w:r>
          </w:p>
        </w:tc>
      </w:tr>
      <w:tr w:rsidR="005078DA" w:rsidRPr="00191ACB" w14:paraId="0C39331B" w14:textId="77777777" w:rsidTr="005078DA">
        <w:tc>
          <w:tcPr>
            <w:tcW w:w="2178" w:type="dxa"/>
          </w:tcPr>
          <w:p w14:paraId="4233279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SASSCAL</w:t>
            </w:r>
          </w:p>
        </w:tc>
        <w:tc>
          <w:tcPr>
            <w:tcW w:w="7398" w:type="dxa"/>
          </w:tcPr>
          <w:p w14:paraId="3F827E6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Southern African Science Service Centre for Climate Change and Adaptive Land Management </w:t>
            </w:r>
          </w:p>
        </w:tc>
      </w:tr>
      <w:tr w:rsidR="005078DA" w:rsidRPr="00191ACB" w14:paraId="38AF5DAA" w14:textId="77777777" w:rsidTr="005078DA">
        <w:tc>
          <w:tcPr>
            <w:tcW w:w="2178" w:type="dxa"/>
          </w:tcPr>
          <w:p w14:paraId="096A50EE"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SF6</w:t>
            </w:r>
          </w:p>
        </w:tc>
        <w:tc>
          <w:tcPr>
            <w:tcW w:w="7398" w:type="dxa"/>
          </w:tcPr>
          <w:p w14:paraId="4EAF5DD4" w14:textId="77777777" w:rsidR="005078DA" w:rsidRPr="00191ACB" w:rsidRDefault="005078DA" w:rsidP="005078DA">
            <w:pPr>
              <w:spacing w:line="30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Sulphur hexafluoride</w:t>
            </w:r>
          </w:p>
        </w:tc>
      </w:tr>
      <w:tr w:rsidR="005078DA" w:rsidRPr="00191ACB" w14:paraId="17B3BF4E" w14:textId="77777777" w:rsidTr="005078DA">
        <w:tc>
          <w:tcPr>
            <w:tcW w:w="2178" w:type="dxa"/>
          </w:tcPr>
          <w:p w14:paraId="3AA91FD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SNRDS</w:t>
            </w:r>
          </w:p>
        </w:tc>
        <w:tc>
          <w:tcPr>
            <w:tcW w:w="7398" w:type="dxa"/>
          </w:tcPr>
          <w:p w14:paraId="053685B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National Rice Development Strategy </w:t>
            </w:r>
          </w:p>
        </w:tc>
      </w:tr>
      <w:tr w:rsidR="005078DA" w:rsidRPr="00191ACB" w14:paraId="4F1707A0" w14:textId="77777777" w:rsidTr="005078DA">
        <w:tc>
          <w:tcPr>
            <w:tcW w:w="2178" w:type="dxa"/>
          </w:tcPr>
          <w:p w14:paraId="65BECB4E"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SNV</w:t>
            </w:r>
          </w:p>
        </w:tc>
        <w:tc>
          <w:tcPr>
            <w:tcW w:w="7398" w:type="dxa"/>
          </w:tcPr>
          <w:p w14:paraId="638A637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Netherlands Development Organisation </w:t>
            </w:r>
          </w:p>
        </w:tc>
      </w:tr>
      <w:tr w:rsidR="005078DA" w:rsidRPr="00191ACB" w14:paraId="125271F5" w14:textId="77777777" w:rsidTr="005078DA">
        <w:tc>
          <w:tcPr>
            <w:tcW w:w="2178" w:type="dxa"/>
          </w:tcPr>
          <w:p w14:paraId="418C69D4"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SREP</w:t>
            </w:r>
          </w:p>
        </w:tc>
        <w:tc>
          <w:tcPr>
            <w:tcW w:w="7398" w:type="dxa"/>
          </w:tcPr>
          <w:p w14:paraId="42C4C8A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Scaling up Renewable Energy Program for Low Income Countries </w:t>
            </w:r>
          </w:p>
        </w:tc>
      </w:tr>
      <w:tr w:rsidR="005078DA" w:rsidRPr="00191ACB" w14:paraId="66DB291B" w14:textId="77777777" w:rsidTr="005078DA">
        <w:tc>
          <w:tcPr>
            <w:tcW w:w="2178" w:type="dxa"/>
          </w:tcPr>
          <w:p w14:paraId="7FEA7BD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SREP</w:t>
            </w:r>
          </w:p>
        </w:tc>
        <w:tc>
          <w:tcPr>
            <w:tcW w:w="7398" w:type="dxa"/>
          </w:tcPr>
          <w:p w14:paraId="619D33DA"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Scaling up Renewable Energy Program for Low Income Countries</w:t>
            </w:r>
          </w:p>
        </w:tc>
      </w:tr>
      <w:tr w:rsidR="005078DA" w:rsidRPr="00191ACB" w14:paraId="50F00E73" w14:textId="77777777" w:rsidTr="005078DA">
        <w:tc>
          <w:tcPr>
            <w:tcW w:w="2178" w:type="dxa"/>
          </w:tcPr>
          <w:p w14:paraId="00C4D4C4"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SWDS</w:t>
            </w:r>
          </w:p>
        </w:tc>
        <w:tc>
          <w:tcPr>
            <w:tcW w:w="7398" w:type="dxa"/>
          </w:tcPr>
          <w:p w14:paraId="1A23228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Solid Waste Disposal Site </w:t>
            </w:r>
          </w:p>
        </w:tc>
      </w:tr>
      <w:tr w:rsidR="005078DA" w:rsidRPr="00191ACB" w14:paraId="4858AF35" w14:textId="77777777" w:rsidTr="005078DA">
        <w:tc>
          <w:tcPr>
            <w:tcW w:w="2178" w:type="dxa"/>
          </w:tcPr>
          <w:p w14:paraId="246737B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TAZAMA</w:t>
            </w:r>
          </w:p>
        </w:tc>
        <w:tc>
          <w:tcPr>
            <w:tcW w:w="7398" w:type="dxa"/>
          </w:tcPr>
          <w:p w14:paraId="26D1593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Tanzania Zambia Mafuta </w:t>
            </w:r>
          </w:p>
        </w:tc>
      </w:tr>
      <w:tr w:rsidR="005078DA" w:rsidRPr="00191ACB" w14:paraId="481EFF5A" w14:textId="77777777" w:rsidTr="005078DA">
        <w:tc>
          <w:tcPr>
            <w:tcW w:w="2178" w:type="dxa"/>
          </w:tcPr>
          <w:p w14:paraId="0D46536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TAZARA</w:t>
            </w:r>
          </w:p>
        </w:tc>
        <w:tc>
          <w:tcPr>
            <w:tcW w:w="7398" w:type="dxa"/>
          </w:tcPr>
          <w:p w14:paraId="5DF982E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Tanzania Zambia Railways </w:t>
            </w:r>
          </w:p>
        </w:tc>
      </w:tr>
      <w:tr w:rsidR="005078DA" w:rsidRPr="00191ACB" w14:paraId="6FCB519A" w14:textId="77777777" w:rsidTr="005078DA">
        <w:tc>
          <w:tcPr>
            <w:tcW w:w="2178" w:type="dxa"/>
          </w:tcPr>
          <w:p w14:paraId="68370512"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TNC</w:t>
            </w:r>
          </w:p>
        </w:tc>
        <w:tc>
          <w:tcPr>
            <w:tcW w:w="7398" w:type="dxa"/>
          </w:tcPr>
          <w:p w14:paraId="21CA7A87"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Third National Communication </w:t>
            </w:r>
          </w:p>
        </w:tc>
      </w:tr>
      <w:tr w:rsidR="005078DA" w:rsidRPr="00191ACB" w14:paraId="2929942C" w14:textId="77777777" w:rsidTr="005078DA">
        <w:tc>
          <w:tcPr>
            <w:tcW w:w="2178" w:type="dxa"/>
          </w:tcPr>
          <w:p w14:paraId="66066280"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UA</w:t>
            </w:r>
          </w:p>
        </w:tc>
        <w:tc>
          <w:tcPr>
            <w:tcW w:w="7398" w:type="dxa"/>
          </w:tcPr>
          <w:p w14:paraId="1DFDB58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Uncertainty Analysis </w:t>
            </w:r>
          </w:p>
        </w:tc>
      </w:tr>
      <w:tr w:rsidR="005078DA" w:rsidRPr="00191ACB" w14:paraId="67EE3730" w14:textId="77777777" w:rsidTr="005078DA">
        <w:tc>
          <w:tcPr>
            <w:tcW w:w="2178" w:type="dxa"/>
          </w:tcPr>
          <w:p w14:paraId="3B26223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UA</w:t>
            </w:r>
          </w:p>
        </w:tc>
        <w:tc>
          <w:tcPr>
            <w:tcW w:w="7398" w:type="dxa"/>
          </w:tcPr>
          <w:p w14:paraId="40FA933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Uncertainty Analysis </w:t>
            </w:r>
          </w:p>
        </w:tc>
      </w:tr>
      <w:tr w:rsidR="005078DA" w:rsidRPr="00191ACB" w14:paraId="3F0443DB" w14:textId="77777777" w:rsidTr="005078DA">
        <w:tc>
          <w:tcPr>
            <w:tcW w:w="2178" w:type="dxa"/>
          </w:tcPr>
          <w:p w14:paraId="38C80B9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UNDP</w:t>
            </w:r>
          </w:p>
        </w:tc>
        <w:tc>
          <w:tcPr>
            <w:tcW w:w="7398" w:type="dxa"/>
          </w:tcPr>
          <w:p w14:paraId="6D71BA4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United Nations Development Program</w:t>
            </w:r>
          </w:p>
        </w:tc>
      </w:tr>
      <w:tr w:rsidR="005078DA" w:rsidRPr="00191ACB" w14:paraId="32C47718" w14:textId="77777777" w:rsidTr="005078DA">
        <w:tc>
          <w:tcPr>
            <w:tcW w:w="2178" w:type="dxa"/>
          </w:tcPr>
          <w:p w14:paraId="21AC1163"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UNEP</w:t>
            </w:r>
          </w:p>
        </w:tc>
        <w:tc>
          <w:tcPr>
            <w:tcW w:w="7398" w:type="dxa"/>
          </w:tcPr>
          <w:p w14:paraId="6123BADC" w14:textId="6FA4B37C"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United</w:t>
            </w:r>
            <w:r w:rsidR="000D604E"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Nations Environment Program</w:t>
            </w:r>
          </w:p>
        </w:tc>
      </w:tr>
      <w:tr w:rsidR="005078DA" w:rsidRPr="00191ACB" w14:paraId="72955AB8" w14:textId="77777777" w:rsidTr="005078DA">
        <w:tc>
          <w:tcPr>
            <w:tcW w:w="2178" w:type="dxa"/>
          </w:tcPr>
          <w:p w14:paraId="3619A02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UNFCCC</w:t>
            </w:r>
          </w:p>
        </w:tc>
        <w:tc>
          <w:tcPr>
            <w:tcW w:w="7398" w:type="dxa"/>
          </w:tcPr>
          <w:p w14:paraId="10218FC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United Nations Framework Convention on Climate</w:t>
            </w:r>
          </w:p>
        </w:tc>
      </w:tr>
      <w:tr w:rsidR="005078DA" w:rsidRPr="00191ACB" w14:paraId="754ABE02" w14:textId="77777777" w:rsidTr="005078DA">
        <w:tc>
          <w:tcPr>
            <w:tcW w:w="2178" w:type="dxa"/>
          </w:tcPr>
          <w:p w14:paraId="66C6431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UNICEF</w:t>
            </w:r>
          </w:p>
        </w:tc>
        <w:tc>
          <w:tcPr>
            <w:tcW w:w="7398" w:type="dxa"/>
          </w:tcPr>
          <w:p w14:paraId="5F08F27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United Nations International Children Emergency Fund </w:t>
            </w:r>
          </w:p>
        </w:tc>
      </w:tr>
      <w:tr w:rsidR="005078DA" w:rsidRPr="00191ACB" w14:paraId="44079CC9" w14:textId="77777777" w:rsidTr="005078DA">
        <w:tc>
          <w:tcPr>
            <w:tcW w:w="2178" w:type="dxa"/>
          </w:tcPr>
          <w:p w14:paraId="4F683974"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USAID</w:t>
            </w:r>
          </w:p>
        </w:tc>
        <w:tc>
          <w:tcPr>
            <w:tcW w:w="7398" w:type="dxa"/>
          </w:tcPr>
          <w:p w14:paraId="6C70F22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United States Agency for International Development </w:t>
            </w:r>
          </w:p>
        </w:tc>
      </w:tr>
      <w:tr w:rsidR="005078DA" w:rsidRPr="00191ACB" w14:paraId="04F85274" w14:textId="77777777" w:rsidTr="005078DA">
        <w:tc>
          <w:tcPr>
            <w:tcW w:w="2178" w:type="dxa"/>
          </w:tcPr>
          <w:p w14:paraId="7316AF59"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USD</w:t>
            </w:r>
          </w:p>
        </w:tc>
        <w:tc>
          <w:tcPr>
            <w:tcW w:w="7398" w:type="dxa"/>
          </w:tcPr>
          <w:p w14:paraId="4851CB7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United States Dollars </w:t>
            </w:r>
          </w:p>
        </w:tc>
      </w:tr>
      <w:tr w:rsidR="005078DA" w:rsidRPr="00191ACB" w14:paraId="12715BFD" w14:textId="77777777" w:rsidTr="005078DA">
        <w:tc>
          <w:tcPr>
            <w:tcW w:w="2178" w:type="dxa"/>
          </w:tcPr>
          <w:p w14:paraId="457FF007"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WHO</w:t>
            </w:r>
          </w:p>
        </w:tc>
        <w:tc>
          <w:tcPr>
            <w:tcW w:w="7398" w:type="dxa"/>
          </w:tcPr>
          <w:p w14:paraId="582805B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World Health Organisation</w:t>
            </w:r>
          </w:p>
        </w:tc>
      </w:tr>
      <w:tr w:rsidR="005078DA" w:rsidRPr="00191ACB" w14:paraId="27D53ECA" w14:textId="77777777" w:rsidTr="005078DA">
        <w:tc>
          <w:tcPr>
            <w:tcW w:w="2178" w:type="dxa"/>
          </w:tcPr>
          <w:p w14:paraId="21E2A618"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WRI</w:t>
            </w:r>
          </w:p>
        </w:tc>
        <w:tc>
          <w:tcPr>
            <w:tcW w:w="7398" w:type="dxa"/>
          </w:tcPr>
          <w:p w14:paraId="0F0AAE8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World Resource Institute </w:t>
            </w:r>
          </w:p>
        </w:tc>
      </w:tr>
      <w:tr w:rsidR="005078DA" w:rsidRPr="00191ACB" w14:paraId="3F8A4C84" w14:textId="77777777" w:rsidTr="005078DA">
        <w:tc>
          <w:tcPr>
            <w:tcW w:w="2178" w:type="dxa"/>
          </w:tcPr>
          <w:p w14:paraId="3AD6A08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ZAFFICO</w:t>
            </w:r>
          </w:p>
        </w:tc>
        <w:tc>
          <w:tcPr>
            <w:tcW w:w="7398" w:type="dxa"/>
          </w:tcPr>
          <w:p w14:paraId="56D8358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Zambia Forest Forestry Industrial Cooperation </w:t>
            </w:r>
          </w:p>
        </w:tc>
      </w:tr>
      <w:tr w:rsidR="005078DA" w:rsidRPr="00191ACB" w14:paraId="6BFC4FAB" w14:textId="77777777" w:rsidTr="005078DA">
        <w:tc>
          <w:tcPr>
            <w:tcW w:w="2178" w:type="dxa"/>
          </w:tcPr>
          <w:p w14:paraId="37A640F1"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ZAMCIT</w:t>
            </w:r>
          </w:p>
        </w:tc>
        <w:tc>
          <w:tcPr>
            <w:tcW w:w="7398" w:type="dxa"/>
          </w:tcPr>
          <w:p w14:paraId="001620FE"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Zambian City Integrated Tramway </w:t>
            </w:r>
          </w:p>
        </w:tc>
      </w:tr>
      <w:tr w:rsidR="005078DA" w:rsidRPr="00191ACB" w14:paraId="65762036" w14:textId="77777777" w:rsidTr="005078DA">
        <w:tc>
          <w:tcPr>
            <w:tcW w:w="2178" w:type="dxa"/>
          </w:tcPr>
          <w:p w14:paraId="49893115"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ZAWA</w:t>
            </w:r>
          </w:p>
        </w:tc>
        <w:tc>
          <w:tcPr>
            <w:tcW w:w="7398" w:type="dxa"/>
          </w:tcPr>
          <w:p w14:paraId="2F2CD1B7"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Zambia Wildlife </w:t>
            </w:r>
          </w:p>
        </w:tc>
      </w:tr>
      <w:tr w:rsidR="005078DA" w:rsidRPr="00191ACB" w14:paraId="052668A6" w14:textId="77777777" w:rsidTr="005078DA">
        <w:tc>
          <w:tcPr>
            <w:tcW w:w="2178" w:type="dxa"/>
          </w:tcPr>
          <w:p w14:paraId="7FBEA36F"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ZDA</w:t>
            </w:r>
          </w:p>
        </w:tc>
        <w:tc>
          <w:tcPr>
            <w:tcW w:w="7398" w:type="dxa"/>
          </w:tcPr>
          <w:p w14:paraId="4F90E823"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Zambia Development Agency </w:t>
            </w:r>
          </w:p>
        </w:tc>
      </w:tr>
      <w:tr w:rsidR="005078DA" w:rsidRPr="00191ACB" w14:paraId="0C97E447" w14:textId="77777777" w:rsidTr="005078DA">
        <w:tc>
          <w:tcPr>
            <w:tcW w:w="2178" w:type="dxa"/>
          </w:tcPr>
          <w:p w14:paraId="2D896B4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ZEMA</w:t>
            </w:r>
          </w:p>
        </w:tc>
        <w:tc>
          <w:tcPr>
            <w:tcW w:w="7398" w:type="dxa"/>
          </w:tcPr>
          <w:p w14:paraId="0BE5DE90"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Zambia Environmental Management Agency </w:t>
            </w:r>
          </w:p>
        </w:tc>
      </w:tr>
      <w:tr w:rsidR="005078DA" w:rsidRPr="00191ACB" w14:paraId="198CE6CC" w14:textId="77777777" w:rsidTr="005078DA">
        <w:tc>
          <w:tcPr>
            <w:tcW w:w="2178" w:type="dxa"/>
          </w:tcPr>
          <w:p w14:paraId="3A1D207B"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ZIPAR</w:t>
            </w:r>
          </w:p>
        </w:tc>
        <w:tc>
          <w:tcPr>
            <w:tcW w:w="7398" w:type="dxa"/>
          </w:tcPr>
          <w:p w14:paraId="0A73DA5D"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Zambia Institute of Policy Analysis and Research</w:t>
            </w:r>
          </w:p>
        </w:tc>
      </w:tr>
      <w:tr w:rsidR="005078DA" w:rsidRPr="00191ACB" w14:paraId="4A840D5B" w14:textId="77777777" w:rsidTr="005078DA">
        <w:tc>
          <w:tcPr>
            <w:tcW w:w="2178" w:type="dxa"/>
          </w:tcPr>
          <w:p w14:paraId="4D7EDEC0"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ZMD</w:t>
            </w:r>
          </w:p>
        </w:tc>
        <w:tc>
          <w:tcPr>
            <w:tcW w:w="7398" w:type="dxa"/>
          </w:tcPr>
          <w:p w14:paraId="17343FE6" w14:textId="77777777" w:rsidR="005078DA" w:rsidRPr="00191ACB" w:rsidRDefault="005078DA" w:rsidP="005078DA">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Zambia Meteorological Department</w:t>
            </w:r>
          </w:p>
        </w:tc>
      </w:tr>
    </w:tbl>
    <w:p w14:paraId="2AA82FBE" w14:textId="77777777" w:rsidR="005078DA" w:rsidRPr="00191ACB" w:rsidRDefault="005078DA"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113C57D8" w14:textId="77777777" w:rsidR="005078DA" w:rsidRPr="00191ACB" w:rsidRDefault="005078DA"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5302BD2A" w14:textId="77777777" w:rsidR="005078DA" w:rsidRPr="00191ACB" w:rsidRDefault="005078DA"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2B1FE597" w14:textId="77777777" w:rsidR="005078DA" w:rsidRPr="00191ACB" w:rsidRDefault="005078DA"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01B78E40" w14:textId="77777777" w:rsidR="005078DA" w:rsidRPr="00191ACB" w:rsidRDefault="005078DA"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79D8F028" w14:textId="77777777" w:rsidR="005078DA" w:rsidRPr="00191ACB" w:rsidRDefault="005078DA" w:rsidP="00E55469">
      <w:pPr>
        <w:keepNext/>
        <w:spacing w:after="0" w:line="240" w:lineRule="auto"/>
        <w:jc w:val="both"/>
        <w:outlineLvl w:val="0"/>
        <w:rPr>
          <w:rFonts w:ascii="Times New Roman" w:eastAsia="Times New Roman" w:hAnsi="Times New Roman" w:cs="Times New Roman"/>
          <w:b/>
          <w:color w:val="000000" w:themeColor="text1"/>
          <w:sz w:val="24"/>
          <w:szCs w:val="24"/>
          <w:lang w:eastAsia="x-none"/>
        </w:rPr>
      </w:pPr>
    </w:p>
    <w:p w14:paraId="65B1EC7D" w14:textId="77777777" w:rsidR="00E55469" w:rsidRPr="00191ACB" w:rsidRDefault="00E55469" w:rsidP="00E55469">
      <w:pPr>
        <w:spacing w:after="0" w:line="240" w:lineRule="auto"/>
        <w:jc w:val="both"/>
        <w:rPr>
          <w:rFonts w:ascii="Times New Roman" w:eastAsia="Calibri" w:hAnsi="Times New Roman" w:cs="Times New Roman"/>
          <w:color w:val="000000" w:themeColor="text1"/>
          <w:sz w:val="24"/>
          <w:szCs w:val="24"/>
        </w:rPr>
      </w:pPr>
    </w:p>
    <w:p w14:paraId="69F7303F" w14:textId="77777777" w:rsidR="000441C7" w:rsidRPr="00191ACB" w:rsidRDefault="000441C7" w:rsidP="000441C7">
      <w:pPr>
        <w:rPr>
          <w:rFonts w:ascii="Times New Roman" w:hAnsi="Times New Roman" w:cs="Times New Roman"/>
          <w:color w:val="000000" w:themeColor="text1"/>
          <w:sz w:val="24"/>
          <w:szCs w:val="24"/>
        </w:rPr>
      </w:pPr>
    </w:p>
    <w:p w14:paraId="72A67BDA" w14:textId="77777777" w:rsidR="00E55469" w:rsidRPr="00191ACB" w:rsidRDefault="00E55469" w:rsidP="00E55469">
      <w:pPr>
        <w:spacing w:after="0" w:line="240" w:lineRule="auto"/>
        <w:jc w:val="both"/>
        <w:rPr>
          <w:rFonts w:ascii="Times New Roman" w:eastAsia="Calibri" w:hAnsi="Times New Roman" w:cs="Times New Roman"/>
          <w:color w:val="000000" w:themeColor="text1"/>
          <w:sz w:val="24"/>
          <w:szCs w:val="24"/>
        </w:rPr>
      </w:pPr>
    </w:p>
    <w:p w14:paraId="39B3B680" w14:textId="5B6E1ECD" w:rsidR="00DD5AF1" w:rsidRPr="00191ACB" w:rsidRDefault="00D05B99" w:rsidP="00AB2F22">
      <w:pPr>
        <w:pStyle w:val="Heading1"/>
        <w:spacing w:after="120" w:line="276" w:lineRule="auto"/>
        <w:rPr>
          <w:rFonts w:ascii="Times New Roman" w:eastAsia="Calibri" w:hAnsi="Times New Roman" w:cs="Times New Roman"/>
          <w:b/>
          <w:bCs/>
          <w:sz w:val="24"/>
          <w:szCs w:val="24"/>
        </w:rPr>
      </w:pPr>
      <w:bookmarkStart w:id="6" w:name="_Toc57902789"/>
      <w:r w:rsidRPr="00191ACB">
        <w:rPr>
          <w:rFonts w:ascii="Times New Roman" w:eastAsia="Calibri" w:hAnsi="Times New Roman" w:cs="Times New Roman"/>
          <w:b/>
          <w:bCs/>
          <w:color w:val="auto"/>
          <w:sz w:val="24"/>
          <w:szCs w:val="24"/>
        </w:rPr>
        <w:lastRenderedPageBreak/>
        <w:t>EXECUTIVE SUMMARY</w:t>
      </w:r>
      <w:bookmarkEnd w:id="6"/>
    </w:p>
    <w:p w14:paraId="5AF2FBB5" w14:textId="77777777" w:rsidR="001B6463" w:rsidRPr="00191ACB" w:rsidRDefault="001B6463" w:rsidP="00AB2F22">
      <w:pPr>
        <w:pStyle w:val="NoSpacing"/>
        <w:spacing w:after="120" w:line="276" w:lineRule="auto"/>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Background</w:t>
      </w:r>
    </w:p>
    <w:p w14:paraId="5EF40DB4" w14:textId="06D355FB" w:rsidR="001B6463" w:rsidRPr="00191ACB" w:rsidRDefault="00FB476A" w:rsidP="00AB2F22">
      <w:pPr>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rPr>
        <w:t xml:space="preserve">This report presents Zambia’s first Biennial Update Report (BUR) to the United Nations Framework Convention on Climate Change (UNFCCC). </w:t>
      </w:r>
      <w:r w:rsidR="00B357E4" w:rsidRPr="00191ACB">
        <w:rPr>
          <w:rFonts w:ascii="Times New Roman" w:eastAsia="Calibri" w:hAnsi="Times New Roman" w:cs="Times New Roman"/>
          <w:color w:val="000000" w:themeColor="text1"/>
          <w:sz w:val="24"/>
          <w:szCs w:val="24"/>
          <w:lang w:val="en-GB"/>
        </w:rPr>
        <w:t xml:space="preserve">The report was </w:t>
      </w:r>
      <w:r w:rsidR="00B357E4" w:rsidRPr="00191ACB">
        <w:rPr>
          <w:rFonts w:ascii="Times New Roman" w:eastAsia="Calibri" w:hAnsi="Times New Roman" w:cs="Times New Roman"/>
          <w:color w:val="000000" w:themeColor="text1"/>
          <w:sz w:val="24"/>
          <w:szCs w:val="24"/>
        </w:rPr>
        <w:t xml:space="preserve">prepared in line with </w:t>
      </w:r>
      <w:r w:rsidR="00B357E4" w:rsidRPr="00191ACB">
        <w:rPr>
          <w:rFonts w:ascii="Times New Roman" w:eastAsia="Calibri" w:hAnsi="Times New Roman" w:cs="Times New Roman"/>
          <w:color w:val="000000" w:themeColor="text1"/>
          <w:sz w:val="24"/>
          <w:szCs w:val="24"/>
          <w:lang w:val="en-GB"/>
        </w:rPr>
        <w:t>Decision 1/CP.16, paragraph 60 (c) of the Conference of Parties (COP) which commits Parties to provide updates on their emissions and actions being taken to reduce their emissions based on national circumstances.</w:t>
      </w:r>
      <w:r w:rsidR="009264FA" w:rsidRPr="00191ACB">
        <w:rPr>
          <w:rFonts w:ascii="Times New Roman" w:eastAsia="Calibri" w:hAnsi="Times New Roman" w:cs="Times New Roman"/>
          <w:color w:val="000000" w:themeColor="text1"/>
          <w:sz w:val="24"/>
          <w:szCs w:val="24"/>
          <w:lang w:val="en-GB"/>
        </w:rPr>
        <w:t xml:space="preserve"> As a n</w:t>
      </w:r>
      <w:r w:rsidR="001B6463" w:rsidRPr="00191ACB">
        <w:rPr>
          <w:rFonts w:ascii="Times New Roman" w:hAnsi="Times New Roman" w:cs="Times New Roman"/>
          <w:color w:val="000000" w:themeColor="text1"/>
          <w:sz w:val="24"/>
          <w:szCs w:val="24"/>
        </w:rPr>
        <w:t>on-Annex I Part</w:t>
      </w:r>
      <w:r w:rsidR="009264FA" w:rsidRPr="00191ACB">
        <w:rPr>
          <w:rFonts w:ascii="Times New Roman" w:hAnsi="Times New Roman" w:cs="Times New Roman"/>
          <w:color w:val="000000" w:themeColor="text1"/>
          <w:sz w:val="24"/>
          <w:szCs w:val="24"/>
        </w:rPr>
        <w:t>y, Zambia</w:t>
      </w:r>
      <w:r w:rsidR="001B6463" w:rsidRPr="00191ACB">
        <w:rPr>
          <w:rFonts w:ascii="Times New Roman" w:hAnsi="Times New Roman" w:cs="Times New Roman"/>
          <w:color w:val="000000" w:themeColor="text1"/>
          <w:sz w:val="24"/>
          <w:szCs w:val="24"/>
        </w:rPr>
        <w:t xml:space="preserve"> prepare</w:t>
      </w:r>
      <w:r w:rsidR="009264FA" w:rsidRPr="00191ACB">
        <w:rPr>
          <w:rFonts w:ascii="Times New Roman" w:hAnsi="Times New Roman" w:cs="Times New Roman"/>
          <w:color w:val="000000" w:themeColor="text1"/>
          <w:sz w:val="24"/>
          <w:szCs w:val="24"/>
        </w:rPr>
        <w:t>d</w:t>
      </w:r>
      <w:r w:rsidR="001B6463" w:rsidRPr="00191ACB">
        <w:rPr>
          <w:rFonts w:ascii="Times New Roman" w:hAnsi="Times New Roman" w:cs="Times New Roman"/>
          <w:color w:val="000000" w:themeColor="text1"/>
          <w:sz w:val="24"/>
          <w:szCs w:val="24"/>
        </w:rPr>
        <w:t xml:space="preserve"> </w:t>
      </w:r>
      <w:r w:rsidR="009264FA" w:rsidRPr="00191ACB">
        <w:rPr>
          <w:rFonts w:ascii="Times New Roman" w:hAnsi="Times New Roman" w:cs="Times New Roman"/>
          <w:color w:val="000000" w:themeColor="text1"/>
          <w:sz w:val="24"/>
          <w:szCs w:val="24"/>
        </w:rPr>
        <w:t xml:space="preserve">its </w:t>
      </w:r>
      <w:r w:rsidR="001B6463" w:rsidRPr="00191ACB">
        <w:rPr>
          <w:rFonts w:ascii="Times New Roman" w:hAnsi="Times New Roman" w:cs="Times New Roman"/>
          <w:color w:val="000000" w:themeColor="text1"/>
          <w:sz w:val="24"/>
          <w:szCs w:val="24"/>
        </w:rPr>
        <w:t>BUR bas</w:t>
      </w:r>
      <w:r w:rsidR="009264FA" w:rsidRPr="00191ACB">
        <w:rPr>
          <w:rFonts w:ascii="Times New Roman" w:hAnsi="Times New Roman" w:cs="Times New Roman"/>
          <w:color w:val="000000" w:themeColor="text1"/>
          <w:sz w:val="24"/>
          <w:szCs w:val="24"/>
        </w:rPr>
        <w:t xml:space="preserve">ed on </w:t>
      </w:r>
      <w:r w:rsidR="001B6463" w:rsidRPr="00191ACB">
        <w:rPr>
          <w:rFonts w:ascii="Times New Roman" w:hAnsi="Times New Roman" w:cs="Times New Roman"/>
          <w:color w:val="000000" w:themeColor="text1"/>
          <w:sz w:val="24"/>
          <w:szCs w:val="24"/>
        </w:rPr>
        <w:t>th</w:t>
      </w:r>
      <w:r w:rsidR="00777D0E" w:rsidRPr="00191ACB">
        <w:rPr>
          <w:rFonts w:ascii="Times New Roman" w:hAnsi="Times New Roman" w:cs="Times New Roman"/>
          <w:color w:val="000000" w:themeColor="text1"/>
          <w:sz w:val="24"/>
          <w:szCs w:val="24"/>
        </w:rPr>
        <w:t>e</w:t>
      </w:r>
      <w:r w:rsidR="001B6463" w:rsidRPr="00191ACB">
        <w:rPr>
          <w:rFonts w:ascii="Times New Roman" w:hAnsi="Times New Roman" w:cs="Times New Roman"/>
          <w:color w:val="000000" w:themeColor="text1"/>
          <w:sz w:val="24"/>
          <w:szCs w:val="24"/>
        </w:rPr>
        <w:t xml:space="preserve"> guidelines </w:t>
      </w:r>
      <w:r w:rsidR="009264FA" w:rsidRPr="00191ACB">
        <w:rPr>
          <w:rFonts w:ascii="Times New Roman" w:hAnsi="Times New Roman" w:cs="Times New Roman"/>
          <w:color w:val="000000" w:themeColor="text1"/>
          <w:sz w:val="24"/>
          <w:szCs w:val="24"/>
        </w:rPr>
        <w:t>c</w:t>
      </w:r>
      <w:r w:rsidR="001B6463" w:rsidRPr="00191ACB">
        <w:rPr>
          <w:rFonts w:ascii="Times New Roman" w:hAnsi="Times New Roman" w:cs="Times New Roman"/>
          <w:color w:val="000000" w:themeColor="text1"/>
          <w:sz w:val="24"/>
          <w:szCs w:val="24"/>
        </w:rPr>
        <w:t xml:space="preserve">ontained in annex III to decision 2/CP.17. The BUR contains the following elements: </w:t>
      </w:r>
    </w:p>
    <w:p w14:paraId="53BEAD6C" w14:textId="77777777" w:rsidR="001B6463" w:rsidRPr="00191ACB" w:rsidRDefault="001B6463" w:rsidP="00AB2F22">
      <w:pPr>
        <w:pStyle w:val="ListParagraph"/>
        <w:numPr>
          <w:ilvl w:val="0"/>
          <w:numId w:val="37"/>
        </w:numPr>
        <w:spacing w:after="120"/>
        <w:jc w:val="both"/>
        <w:rPr>
          <w:color w:val="000000" w:themeColor="text1"/>
        </w:rPr>
      </w:pPr>
      <w:r w:rsidRPr="00191ACB">
        <w:rPr>
          <w:color w:val="000000" w:themeColor="text1"/>
        </w:rPr>
        <w:t>National circumstances;</w:t>
      </w:r>
    </w:p>
    <w:p w14:paraId="550FEBD0" w14:textId="77777777" w:rsidR="001B6463" w:rsidRPr="00191ACB" w:rsidRDefault="001B6463" w:rsidP="00AB2F22">
      <w:pPr>
        <w:pStyle w:val="ListParagraph"/>
        <w:numPr>
          <w:ilvl w:val="0"/>
          <w:numId w:val="37"/>
        </w:numPr>
        <w:spacing w:after="120"/>
        <w:jc w:val="both"/>
        <w:rPr>
          <w:color w:val="000000" w:themeColor="text1"/>
        </w:rPr>
      </w:pPr>
      <w:r w:rsidRPr="00191ACB">
        <w:rPr>
          <w:color w:val="000000" w:themeColor="text1"/>
        </w:rPr>
        <w:t xml:space="preserve">National greenhouse gas inventory and inventory report </w:t>
      </w:r>
    </w:p>
    <w:p w14:paraId="5ED673C3" w14:textId="77777777" w:rsidR="001B6463" w:rsidRPr="00191ACB" w:rsidRDefault="001B6463" w:rsidP="00AB2F22">
      <w:pPr>
        <w:pStyle w:val="ListParagraph"/>
        <w:numPr>
          <w:ilvl w:val="0"/>
          <w:numId w:val="37"/>
        </w:numPr>
        <w:spacing w:after="120"/>
        <w:jc w:val="both"/>
        <w:rPr>
          <w:color w:val="000000" w:themeColor="text1"/>
        </w:rPr>
      </w:pPr>
      <w:r w:rsidRPr="00191ACB">
        <w:rPr>
          <w:color w:val="000000" w:themeColor="text1"/>
        </w:rPr>
        <w:t>Mitigation actions and their effects</w:t>
      </w:r>
    </w:p>
    <w:p w14:paraId="6423DA93" w14:textId="77777777" w:rsidR="001B6463" w:rsidRPr="00191ACB" w:rsidRDefault="001B6463" w:rsidP="00AB2F22">
      <w:pPr>
        <w:pStyle w:val="ListParagraph"/>
        <w:numPr>
          <w:ilvl w:val="0"/>
          <w:numId w:val="37"/>
        </w:numPr>
        <w:spacing w:after="120"/>
        <w:jc w:val="both"/>
        <w:rPr>
          <w:color w:val="000000" w:themeColor="text1"/>
        </w:rPr>
      </w:pPr>
      <w:r w:rsidRPr="00191ACB">
        <w:rPr>
          <w:color w:val="000000" w:themeColor="text1"/>
        </w:rPr>
        <w:t>Constraints and gaps, related financial, technical and capacity needs, description of support received and needed</w:t>
      </w:r>
    </w:p>
    <w:p w14:paraId="4E853855" w14:textId="77777777" w:rsidR="001B6463" w:rsidRPr="00191ACB" w:rsidRDefault="001B6463" w:rsidP="00AB2F22">
      <w:pPr>
        <w:pStyle w:val="ListParagraph"/>
        <w:numPr>
          <w:ilvl w:val="0"/>
          <w:numId w:val="37"/>
        </w:numPr>
        <w:spacing w:after="120"/>
        <w:jc w:val="both"/>
        <w:rPr>
          <w:color w:val="000000" w:themeColor="text1"/>
        </w:rPr>
      </w:pPr>
      <w:r w:rsidRPr="00191ACB">
        <w:rPr>
          <w:color w:val="000000" w:themeColor="text1"/>
        </w:rPr>
        <w:t>Any other information relevant to the BUR</w:t>
      </w:r>
    </w:p>
    <w:p w14:paraId="31F82099" w14:textId="77777777" w:rsidR="00777D0E" w:rsidRPr="00191ACB" w:rsidRDefault="00777D0E" w:rsidP="00AB2F22">
      <w:pPr>
        <w:pStyle w:val="NoSpacing"/>
        <w:spacing w:after="120" w:line="276" w:lineRule="auto"/>
        <w:rPr>
          <w:rFonts w:ascii="Times New Roman" w:hAnsi="Times New Roman" w:cs="Times New Roman"/>
          <w:b/>
          <w:color w:val="000000" w:themeColor="text1"/>
          <w:sz w:val="24"/>
          <w:szCs w:val="24"/>
        </w:rPr>
      </w:pPr>
    </w:p>
    <w:p w14:paraId="1EB1A981" w14:textId="17FF2341" w:rsidR="00FB476A" w:rsidRPr="00191ACB" w:rsidRDefault="00FB476A" w:rsidP="00AB2F22">
      <w:pPr>
        <w:pStyle w:val="NoSpacing"/>
        <w:spacing w:after="120" w:line="276" w:lineRule="auto"/>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N</w:t>
      </w:r>
      <w:r w:rsidR="009B27C4" w:rsidRPr="00191ACB">
        <w:rPr>
          <w:rFonts w:ascii="Times New Roman" w:hAnsi="Times New Roman" w:cs="Times New Roman"/>
          <w:b/>
          <w:color w:val="000000" w:themeColor="text1"/>
          <w:sz w:val="24"/>
          <w:szCs w:val="24"/>
        </w:rPr>
        <w:t>ational circumstance</w:t>
      </w:r>
      <w:r w:rsidR="008A523C" w:rsidRPr="00191ACB">
        <w:rPr>
          <w:rFonts w:ascii="Times New Roman" w:hAnsi="Times New Roman" w:cs="Times New Roman"/>
          <w:b/>
          <w:color w:val="000000" w:themeColor="text1"/>
          <w:sz w:val="24"/>
          <w:szCs w:val="24"/>
        </w:rPr>
        <w:t>s</w:t>
      </w:r>
      <w:r w:rsidR="009B27C4" w:rsidRPr="00191ACB">
        <w:rPr>
          <w:rFonts w:ascii="Times New Roman" w:hAnsi="Times New Roman" w:cs="Times New Roman"/>
          <w:b/>
          <w:color w:val="000000" w:themeColor="text1"/>
          <w:sz w:val="24"/>
          <w:szCs w:val="24"/>
        </w:rPr>
        <w:t xml:space="preserve"> </w:t>
      </w:r>
    </w:p>
    <w:p w14:paraId="42D26781" w14:textId="033E1F3E" w:rsidR="00777D0E" w:rsidRPr="00191ACB" w:rsidRDefault="00777D0E" w:rsidP="00AB2F22">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Zambia covers a total surface area of 752,614 km</w:t>
      </w:r>
      <w:r w:rsidRPr="00191ACB">
        <w:rPr>
          <w:rFonts w:ascii="Times New Roman" w:hAnsi="Times New Roman" w:cs="Times New Roman"/>
          <w:color w:val="000000" w:themeColor="text1"/>
          <w:sz w:val="24"/>
          <w:szCs w:val="24"/>
          <w:vertAlign w:val="superscript"/>
        </w:rPr>
        <w:t>2</w:t>
      </w:r>
      <w:r w:rsidRPr="00191ACB">
        <w:rPr>
          <w:rFonts w:ascii="Times New Roman" w:hAnsi="Times New Roman" w:cs="Times New Roman"/>
          <w:color w:val="000000" w:themeColor="text1"/>
          <w:sz w:val="24"/>
          <w:szCs w:val="24"/>
        </w:rPr>
        <w:t xml:space="preserve"> out of 99 percent is land area and 1percent is covered by water. The population of Zambia in 2010 was estimated at 13,092,666, representing a 32.5 percent increase compared to 9,885,591 in 2000 (</w:t>
      </w:r>
      <w:r w:rsidR="000F44A6" w:rsidRPr="00191ACB">
        <w:rPr>
          <w:rFonts w:ascii="Times New Roman" w:hAnsi="Times New Roman" w:cs="Times New Roman"/>
          <w:color w:val="000000" w:themeColor="text1"/>
          <w:sz w:val="24"/>
          <w:szCs w:val="24"/>
        </w:rPr>
        <w:t>ZAMSTATS</w:t>
      </w:r>
      <w:r w:rsidRPr="00191ACB">
        <w:rPr>
          <w:rFonts w:ascii="Times New Roman" w:hAnsi="Times New Roman" w:cs="Times New Roman"/>
          <w:color w:val="000000" w:themeColor="text1"/>
          <w:sz w:val="24"/>
          <w:szCs w:val="24"/>
        </w:rPr>
        <w:t>, 2012). Approximately 60.5 percent of the population lives in rural areas and 39.5 percent in urban areas. The population growth rate was approximately 2.8 percent.</w:t>
      </w:r>
    </w:p>
    <w:p w14:paraId="23727C53" w14:textId="2BE4F7C7" w:rsidR="00777D0E" w:rsidRPr="00191ACB" w:rsidRDefault="00777D0E" w:rsidP="00AB2F22">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country is endowed with natural resources that contribute significantly to the national economy. Primary resources include minerals, forests, water, wildlife, fisheries and land. Mining has been a key driver of the Zambian economy for many years. Government however, continued to diversify the economy to focus on other key economic sectors such as agriculture, energy, transport, construction, manufacturing and tourism. In 2010, the Real Gross Domestic Product (GDP) grew by 7.6 percent compared to 3.5 percent in 2000. This economic growth rate was largely driven by agriculture, infrastructure developments including increased metal production following a rebound in copper prices on international markets and provision of various tax incentives in the agricultural and mining sectors.  2010 also recorded increased investments in the transport and communications, forestry and fisheries sectors. The annual inflation slowed down to 7.9 percent in 2010 compared to 9.9 percent in 2000 (MoF, 2010).</w:t>
      </w:r>
    </w:p>
    <w:p w14:paraId="7A1843C8" w14:textId="0FECA4DF" w:rsidR="00777D0E" w:rsidRPr="00191ACB" w:rsidRDefault="00777D0E"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Economic growth in the agriculture, livestock and fisheries sectors slowed down and contribution to GDP declined from 24 percent in 2000 to 13.9 percent in 2010 (MoA, 2017, MOF, 2010).  The decline was attributed to the unfavorable performance in the fishing sub-sector. However, growth in the agricultural sub sector increased to 13.9 percent in 2010 resulting from increased output of crops such as maize, rice, cassava, sorghum, mixed beans, sweet potatoes and groundnuts. The rise in crop production was largely due to favourable weather conditions and an increase in the number of beneficiaries under the Farmer Input Support Programme (FISP). Further, favourable producer prices </w:t>
      </w:r>
      <w:r w:rsidRPr="00191ACB">
        <w:rPr>
          <w:rFonts w:ascii="Times New Roman" w:hAnsi="Times New Roman" w:cs="Times New Roman"/>
          <w:color w:val="000000" w:themeColor="text1"/>
          <w:sz w:val="24"/>
          <w:szCs w:val="24"/>
        </w:rPr>
        <w:lastRenderedPageBreak/>
        <w:t xml:space="preserve">by the Food Reserve Agency (FRA) contributed to increased output of food crops, such as maize and rice. Zambia’s agricultural sector however is the socio-economic backbone of the rural population, with 60 percent being dependent on the sector as the main source of income and livelihood. Many of them however, are poor and engage in low-productivity rain-fed subsistence farming resulting from inadequate resources for the purchase of inputs, use of inappropriate farming practices and failure to fully develop the irrigation potential. These challenges are exacerbated by increased frequency of extreme weather events such as rainfall variation, floods and droughts caused by climate change. </w:t>
      </w:r>
    </w:p>
    <w:p w14:paraId="62C21828" w14:textId="047DA7C7" w:rsidR="00777D0E" w:rsidRPr="00191ACB" w:rsidRDefault="00777D0E"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About one sixth of the rural population depend heavily on forests and non-forest resources for their livelihood and contribute approximately 20 percent to rural household incomes. Both indirect and direct values of forests are estimated to make a GDP contribution of about 4.7 percent if well managed. However, unsustainable charcoal and fuel wood production including the unsustainable clearance of forest land for agriculture and settlement expansion has resulted in high rates of deforestation and increased greenhouse gas emissions. The country’s annual deforestation rate was estimated at 276,021 hectares per annum which amounts to a potential loss of about 10 million hectares of forests in the next 30 years, posing a threat to the forestry sector. For the period 2000 to 2010, the deforestation rate stood at 0.5 percent; losing approximately 250,003 ha on an annual basis. (Shakacite, et.al, 2016).</w:t>
      </w:r>
    </w:p>
    <w:p w14:paraId="4B25B04A" w14:textId="77777777" w:rsidR="00777D0E" w:rsidRPr="00191ACB" w:rsidRDefault="00777D0E"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Climate change impacts could slow the development process of the country and could cost Zambia approximately USD $13.8 billion loss in GDP. In order to prevent economic losses resulting from impacts of climate change, the Government of Zambia (GRZ) has integrated climate change concerns in its policies, programmes, plans and strategies to support a low carbon and climate-resilient development pathway and the attainment of the middle-income status envisioned in the country’s Vision 2030. </w:t>
      </w:r>
    </w:p>
    <w:p w14:paraId="31553F5C" w14:textId="77777777" w:rsidR="00777D0E" w:rsidRPr="00191ACB" w:rsidRDefault="00777D0E" w:rsidP="00A60A8C">
      <w:pPr>
        <w:spacing w:after="120" w:line="276" w:lineRule="auto"/>
        <w:jc w:val="both"/>
        <w:rPr>
          <w:rFonts w:ascii="Times New Roman" w:hAnsi="Times New Roman" w:cs="Times New Roman"/>
          <w:color w:val="000000" w:themeColor="text1"/>
          <w:sz w:val="24"/>
          <w:szCs w:val="24"/>
          <w:lang w:val="en-GB"/>
        </w:rPr>
      </w:pPr>
    </w:p>
    <w:p w14:paraId="232DB3DA" w14:textId="64EC26E9" w:rsidR="009B27C4" w:rsidRPr="00191ACB" w:rsidRDefault="009B27C4" w:rsidP="00A60A8C">
      <w:pPr>
        <w:pStyle w:val="NoSpacing"/>
        <w:spacing w:after="120" w:line="276" w:lineRule="auto"/>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 xml:space="preserve">National </w:t>
      </w:r>
      <w:r w:rsidR="008E27DA" w:rsidRPr="00191ACB">
        <w:rPr>
          <w:rFonts w:ascii="Times New Roman" w:hAnsi="Times New Roman" w:cs="Times New Roman"/>
          <w:b/>
          <w:color w:val="000000" w:themeColor="text1"/>
          <w:sz w:val="24"/>
          <w:szCs w:val="24"/>
        </w:rPr>
        <w:t>G</w:t>
      </w:r>
      <w:r w:rsidRPr="00191ACB">
        <w:rPr>
          <w:rFonts w:ascii="Times New Roman" w:hAnsi="Times New Roman" w:cs="Times New Roman"/>
          <w:b/>
          <w:color w:val="000000" w:themeColor="text1"/>
          <w:sz w:val="24"/>
          <w:szCs w:val="24"/>
        </w:rPr>
        <w:t xml:space="preserve">reenhouse </w:t>
      </w:r>
      <w:r w:rsidR="008E27DA" w:rsidRPr="00191ACB">
        <w:rPr>
          <w:rFonts w:ascii="Times New Roman" w:hAnsi="Times New Roman" w:cs="Times New Roman"/>
          <w:b/>
          <w:color w:val="000000" w:themeColor="text1"/>
          <w:sz w:val="24"/>
          <w:szCs w:val="24"/>
        </w:rPr>
        <w:t>G</w:t>
      </w:r>
      <w:r w:rsidRPr="00191ACB">
        <w:rPr>
          <w:rFonts w:ascii="Times New Roman" w:hAnsi="Times New Roman" w:cs="Times New Roman"/>
          <w:b/>
          <w:color w:val="000000" w:themeColor="text1"/>
          <w:sz w:val="24"/>
          <w:szCs w:val="24"/>
        </w:rPr>
        <w:t xml:space="preserve">as </w:t>
      </w:r>
      <w:r w:rsidR="008E27DA" w:rsidRPr="00191ACB">
        <w:rPr>
          <w:rFonts w:ascii="Times New Roman" w:hAnsi="Times New Roman" w:cs="Times New Roman"/>
          <w:b/>
          <w:color w:val="000000" w:themeColor="text1"/>
          <w:sz w:val="24"/>
          <w:szCs w:val="24"/>
        </w:rPr>
        <w:t>I</w:t>
      </w:r>
      <w:r w:rsidRPr="00191ACB">
        <w:rPr>
          <w:rFonts w:ascii="Times New Roman" w:hAnsi="Times New Roman" w:cs="Times New Roman"/>
          <w:b/>
          <w:color w:val="000000" w:themeColor="text1"/>
          <w:sz w:val="24"/>
          <w:szCs w:val="24"/>
        </w:rPr>
        <w:t>nventory</w:t>
      </w:r>
    </w:p>
    <w:p w14:paraId="188FAC3E" w14:textId="53079846" w:rsidR="001B6463" w:rsidRPr="00191ACB" w:rsidRDefault="001B6463"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GHGi was prepared in accordance with the requirements of the UNFCCC using the </w:t>
      </w:r>
      <w:r w:rsidR="008E27DA" w:rsidRPr="00191ACB">
        <w:rPr>
          <w:rFonts w:ascii="Times New Roman" w:hAnsi="Times New Roman" w:cs="Times New Roman"/>
          <w:color w:val="000000" w:themeColor="text1"/>
          <w:sz w:val="24"/>
          <w:szCs w:val="24"/>
        </w:rPr>
        <w:t xml:space="preserve">2006 </w:t>
      </w:r>
      <w:r w:rsidRPr="00191ACB">
        <w:rPr>
          <w:rFonts w:ascii="Times New Roman" w:hAnsi="Times New Roman" w:cs="Times New Roman"/>
          <w:color w:val="000000" w:themeColor="text1"/>
          <w:sz w:val="24"/>
          <w:szCs w:val="24"/>
        </w:rPr>
        <w:t xml:space="preserve">Intergovernmental Panel on Climate Change (IPCC) guidelines. The </w:t>
      </w:r>
      <w:r w:rsidR="00165D57" w:rsidRPr="00191ACB">
        <w:rPr>
          <w:rFonts w:ascii="Times New Roman" w:hAnsi="Times New Roman" w:cs="Times New Roman"/>
          <w:color w:val="000000" w:themeColor="text1"/>
          <w:sz w:val="24"/>
          <w:szCs w:val="24"/>
        </w:rPr>
        <w:t>Inventory covered the period 2011 to 2016 and</w:t>
      </w:r>
      <w:r w:rsidRPr="00191ACB">
        <w:rPr>
          <w:rFonts w:ascii="Times New Roman" w:hAnsi="Times New Roman" w:cs="Times New Roman"/>
          <w:color w:val="000000" w:themeColor="text1"/>
          <w:sz w:val="24"/>
          <w:szCs w:val="24"/>
        </w:rPr>
        <w:t xml:space="preserve"> assessed the following sectors: Energy, Industrial Processes and Product Use, Agriculture Forestry and Other Land Use and Waste. The greenhouse gases covered in the Inventory included the following:</w:t>
      </w:r>
    </w:p>
    <w:p w14:paraId="5ACF9592" w14:textId="77777777" w:rsidR="001B6463" w:rsidRPr="00191ACB" w:rsidRDefault="001B6463" w:rsidP="00A60A8C">
      <w:pPr>
        <w:pStyle w:val="ListParagraph"/>
        <w:numPr>
          <w:ilvl w:val="0"/>
          <w:numId w:val="38"/>
        </w:numPr>
        <w:spacing w:after="120"/>
        <w:jc w:val="both"/>
        <w:rPr>
          <w:color w:val="000000" w:themeColor="text1"/>
        </w:rPr>
      </w:pPr>
      <w:r w:rsidRPr="00191ACB">
        <w:rPr>
          <w:color w:val="000000" w:themeColor="text1"/>
        </w:rPr>
        <w:t>Carbon dioxide (CO2)</w:t>
      </w:r>
    </w:p>
    <w:p w14:paraId="68A9F414" w14:textId="77777777" w:rsidR="001B6463" w:rsidRPr="00191ACB" w:rsidRDefault="001B6463" w:rsidP="00A60A8C">
      <w:pPr>
        <w:pStyle w:val="ListParagraph"/>
        <w:numPr>
          <w:ilvl w:val="0"/>
          <w:numId w:val="38"/>
        </w:numPr>
        <w:spacing w:after="120"/>
        <w:jc w:val="both"/>
        <w:rPr>
          <w:color w:val="000000" w:themeColor="text1"/>
        </w:rPr>
      </w:pPr>
      <w:r w:rsidRPr="00191ACB">
        <w:rPr>
          <w:color w:val="000000" w:themeColor="text1"/>
        </w:rPr>
        <w:t>Methane (CH4)</w:t>
      </w:r>
    </w:p>
    <w:p w14:paraId="5B058EA3" w14:textId="77777777" w:rsidR="001B6463" w:rsidRPr="00191ACB" w:rsidRDefault="001B6463" w:rsidP="00A60A8C">
      <w:pPr>
        <w:pStyle w:val="ListParagraph"/>
        <w:numPr>
          <w:ilvl w:val="0"/>
          <w:numId w:val="38"/>
        </w:numPr>
        <w:spacing w:after="120"/>
        <w:jc w:val="both"/>
        <w:rPr>
          <w:color w:val="000000" w:themeColor="text1"/>
        </w:rPr>
      </w:pPr>
      <w:r w:rsidRPr="00191ACB">
        <w:rPr>
          <w:color w:val="000000" w:themeColor="text1"/>
        </w:rPr>
        <w:t>Nitrous oxide (N</w:t>
      </w:r>
      <w:r w:rsidRPr="00191ACB">
        <w:rPr>
          <w:color w:val="000000" w:themeColor="text1"/>
          <w:vertAlign w:val="subscript"/>
        </w:rPr>
        <w:t>2</w:t>
      </w:r>
      <w:r w:rsidRPr="00191ACB">
        <w:rPr>
          <w:color w:val="000000" w:themeColor="text1"/>
        </w:rPr>
        <w:t>O)</w:t>
      </w:r>
    </w:p>
    <w:p w14:paraId="7F3DE837" w14:textId="77777777" w:rsidR="001B6463" w:rsidRPr="00191ACB" w:rsidRDefault="001B6463" w:rsidP="00A60A8C">
      <w:pPr>
        <w:pStyle w:val="ListParagraph"/>
        <w:numPr>
          <w:ilvl w:val="0"/>
          <w:numId w:val="38"/>
        </w:numPr>
        <w:spacing w:after="120"/>
        <w:jc w:val="both"/>
        <w:rPr>
          <w:color w:val="000000" w:themeColor="text1"/>
        </w:rPr>
      </w:pPr>
      <w:r w:rsidRPr="00191ACB">
        <w:rPr>
          <w:color w:val="000000" w:themeColor="text1"/>
        </w:rPr>
        <w:t>Hydro fluorocarbons (HFCs)</w:t>
      </w:r>
    </w:p>
    <w:p w14:paraId="0502807E" w14:textId="77777777" w:rsidR="001B6463" w:rsidRPr="00191ACB" w:rsidRDefault="001B6463" w:rsidP="00A60A8C">
      <w:pPr>
        <w:pStyle w:val="ListParagraph"/>
        <w:numPr>
          <w:ilvl w:val="0"/>
          <w:numId w:val="38"/>
        </w:numPr>
        <w:spacing w:after="120"/>
        <w:jc w:val="both"/>
        <w:rPr>
          <w:color w:val="000000" w:themeColor="text1"/>
        </w:rPr>
      </w:pPr>
      <w:r w:rsidRPr="00191ACB">
        <w:rPr>
          <w:color w:val="000000" w:themeColor="text1"/>
        </w:rPr>
        <w:t>Sulphur hexafluoride (SF6)</w:t>
      </w:r>
    </w:p>
    <w:p w14:paraId="10A51148" w14:textId="5334FC58" w:rsidR="001B6463" w:rsidRPr="00191ACB" w:rsidRDefault="008E27DA"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Further, th</w:t>
      </w:r>
      <w:r w:rsidR="001B6463" w:rsidRPr="00191ACB">
        <w:rPr>
          <w:rFonts w:ascii="Times New Roman" w:hAnsi="Times New Roman" w:cs="Times New Roman"/>
          <w:color w:val="000000" w:themeColor="text1"/>
          <w:sz w:val="24"/>
          <w:szCs w:val="24"/>
        </w:rPr>
        <w:t xml:space="preserve">e precursor </w:t>
      </w:r>
      <w:r w:rsidRPr="00191ACB">
        <w:rPr>
          <w:rFonts w:ascii="Times New Roman" w:hAnsi="Times New Roman" w:cs="Times New Roman"/>
          <w:color w:val="000000" w:themeColor="text1"/>
          <w:sz w:val="24"/>
          <w:szCs w:val="24"/>
        </w:rPr>
        <w:t>gases</w:t>
      </w:r>
      <w:r w:rsidR="001B6463" w:rsidRPr="00191ACB">
        <w:rPr>
          <w:rFonts w:ascii="Times New Roman" w:hAnsi="Times New Roman" w:cs="Times New Roman"/>
          <w:color w:val="000000" w:themeColor="text1"/>
          <w:sz w:val="24"/>
          <w:szCs w:val="24"/>
        </w:rPr>
        <w:t xml:space="preserve"> namely; carbon monoxide (CO), </w:t>
      </w:r>
      <w:r w:rsidR="00BD590D" w:rsidRPr="00191ACB">
        <w:rPr>
          <w:rFonts w:ascii="Times New Roman" w:hAnsi="Times New Roman" w:cs="Times New Roman"/>
          <w:color w:val="000000" w:themeColor="text1"/>
          <w:sz w:val="24"/>
          <w:szCs w:val="24"/>
        </w:rPr>
        <w:t>Oxides of nitrogen</w:t>
      </w:r>
      <w:r w:rsidR="001B6463" w:rsidRPr="00191ACB">
        <w:rPr>
          <w:rFonts w:ascii="Times New Roman" w:hAnsi="Times New Roman" w:cs="Times New Roman"/>
          <w:color w:val="000000" w:themeColor="text1"/>
          <w:sz w:val="24"/>
          <w:szCs w:val="24"/>
        </w:rPr>
        <w:t xml:space="preserve"> (NOx), </w:t>
      </w:r>
      <w:r w:rsidRPr="00191ACB">
        <w:rPr>
          <w:rFonts w:ascii="Times New Roman" w:hAnsi="Times New Roman" w:cs="Times New Roman"/>
          <w:color w:val="000000" w:themeColor="text1"/>
          <w:sz w:val="24"/>
          <w:szCs w:val="24"/>
        </w:rPr>
        <w:t>N</w:t>
      </w:r>
      <w:r w:rsidR="001B6463" w:rsidRPr="00191ACB">
        <w:rPr>
          <w:rFonts w:ascii="Times New Roman" w:hAnsi="Times New Roman" w:cs="Times New Roman"/>
          <w:color w:val="000000" w:themeColor="text1"/>
          <w:sz w:val="24"/>
          <w:szCs w:val="24"/>
        </w:rPr>
        <w:t xml:space="preserve">on-methane </w:t>
      </w:r>
      <w:r w:rsidRPr="00191ACB">
        <w:rPr>
          <w:rFonts w:ascii="Times New Roman" w:hAnsi="Times New Roman" w:cs="Times New Roman"/>
          <w:color w:val="000000" w:themeColor="text1"/>
          <w:sz w:val="24"/>
          <w:szCs w:val="24"/>
        </w:rPr>
        <w:t>V</w:t>
      </w:r>
      <w:r w:rsidR="001B6463" w:rsidRPr="00191ACB">
        <w:rPr>
          <w:rFonts w:ascii="Times New Roman" w:hAnsi="Times New Roman" w:cs="Times New Roman"/>
          <w:color w:val="000000" w:themeColor="text1"/>
          <w:sz w:val="24"/>
          <w:szCs w:val="24"/>
        </w:rPr>
        <w:t xml:space="preserve">olatile </w:t>
      </w:r>
      <w:r w:rsidRPr="00191ACB">
        <w:rPr>
          <w:rFonts w:ascii="Times New Roman" w:hAnsi="Times New Roman" w:cs="Times New Roman"/>
          <w:color w:val="000000" w:themeColor="text1"/>
          <w:sz w:val="24"/>
          <w:szCs w:val="24"/>
        </w:rPr>
        <w:t>O</w:t>
      </w:r>
      <w:r w:rsidR="001B6463" w:rsidRPr="00191ACB">
        <w:rPr>
          <w:rFonts w:ascii="Times New Roman" w:hAnsi="Times New Roman" w:cs="Times New Roman"/>
          <w:color w:val="000000" w:themeColor="text1"/>
          <w:sz w:val="24"/>
          <w:szCs w:val="24"/>
        </w:rPr>
        <w:t xml:space="preserve">rganic </w:t>
      </w:r>
      <w:r w:rsidRPr="00191ACB">
        <w:rPr>
          <w:rFonts w:ascii="Times New Roman" w:hAnsi="Times New Roman" w:cs="Times New Roman"/>
          <w:color w:val="000000" w:themeColor="text1"/>
          <w:sz w:val="24"/>
          <w:szCs w:val="24"/>
        </w:rPr>
        <w:t>C</w:t>
      </w:r>
      <w:r w:rsidR="001B6463" w:rsidRPr="00191ACB">
        <w:rPr>
          <w:rFonts w:ascii="Times New Roman" w:hAnsi="Times New Roman" w:cs="Times New Roman"/>
          <w:color w:val="000000" w:themeColor="text1"/>
          <w:sz w:val="24"/>
          <w:szCs w:val="24"/>
        </w:rPr>
        <w:t>ompounds (NMVOCs), sulphur dioxide (SO</w:t>
      </w:r>
      <w:r w:rsidR="001B6463" w:rsidRPr="00191ACB">
        <w:rPr>
          <w:rFonts w:ascii="Times New Roman" w:hAnsi="Times New Roman" w:cs="Times New Roman"/>
          <w:color w:val="000000" w:themeColor="text1"/>
          <w:sz w:val="24"/>
          <w:szCs w:val="24"/>
          <w:vertAlign w:val="subscript"/>
        </w:rPr>
        <w:t>2</w:t>
      </w:r>
      <w:r w:rsidR="001B6463" w:rsidRPr="00191ACB">
        <w:rPr>
          <w:rFonts w:ascii="Times New Roman" w:hAnsi="Times New Roman" w:cs="Times New Roman"/>
          <w:color w:val="000000" w:themeColor="text1"/>
          <w:sz w:val="24"/>
          <w:szCs w:val="24"/>
        </w:rPr>
        <w:t>), and Ammonia (NH</w:t>
      </w:r>
      <w:r w:rsidR="001B6463" w:rsidRPr="00191ACB">
        <w:rPr>
          <w:rFonts w:ascii="Times New Roman" w:hAnsi="Times New Roman" w:cs="Times New Roman"/>
          <w:color w:val="000000" w:themeColor="text1"/>
          <w:sz w:val="24"/>
          <w:szCs w:val="24"/>
          <w:vertAlign w:val="subscript"/>
        </w:rPr>
        <w:t>3</w:t>
      </w:r>
      <w:r w:rsidR="001B6463" w:rsidRPr="00191ACB">
        <w:rPr>
          <w:rFonts w:ascii="Times New Roman" w:hAnsi="Times New Roman" w:cs="Times New Roman"/>
          <w:color w:val="000000" w:themeColor="text1"/>
          <w:sz w:val="24"/>
          <w:szCs w:val="24"/>
        </w:rPr>
        <w:t xml:space="preserve">) were also estimated. </w:t>
      </w:r>
    </w:p>
    <w:p w14:paraId="08EBDB6E" w14:textId="5D59AA51" w:rsidR="001B6463" w:rsidRPr="00191ACB" w:rsidRDefault="001B6463"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methodology used was based on the</w:t>
      </w:r>
      <w:r w:rsidR="005F5DE2" w:rsidRPr="00191ACB">
        <w:rPr>
          <w:rFonts w:ascii="Times New Roman" w:hAnsi="Times New Roman" w:cs="Times New Roman"/>
          <w:color w:val="000000" w:themeColor="text1"/>
          <w:sz w:val="24"/>
          <w:szCs w:val="24"/>
        </w:rPr>
        <w:t xml:space="preserve"> 2006</w:t>
      </w:r>
      <w:r w:rsidRPr="00191ACB">
        <w:rPr>
          <w:rFonts w:ascii="Times New Roman" w:hAnsi="Times New Roman" w:cs="Times New Roman"/>
          <w:color w:val="000000" w:themeColor="text1"/>
          <w:sz w:val="24"/>
          <w:szCs w:val="24"/>
        </w:rPr>
        <w:t xml:space="preserve"> IPCC Guidelines and the</w:t>
      </w:r>
      <w:r w:rsidR="005F5DE2" w:rsidRPr="00191ACB">
        <w:rPr>
          <w:rFonts w:ascii="Times New Roman" w:hAnsi="Times New Roman" w:cs="Times New Roman"/>
          <w:color w:val="000000" w:themeColor="text1"/>
          <w:sz w:val="24"/>
          <w:szCs w:val="24"/>
        </w:rPr>
        <w:t xml:space="preserve"> 2003</w:t>
      </w:r>
      <w:r w:rsidRPr="00191ACB">
        <w:rPr>
          <w:rFonts w:ascii="Times New Roman" w:hAnsi="Times New Roman" w:cs="Times New Roman"/>
          <w:color w:val="000000" w:themeColor="text1"/>
          <w:sz w:val="24"/>
          <w:szCs w:val="24"/>
        </w:rPr>
        <w:t xml:space="preserve"> Good Practice Guidelines. The 2006 IPCC Software and Emission Factor Database were used in preparing the inventory. Activity </w:t>
      </w:r>
      <w:r w:rsidRPr="00191ACB">
        <w:rPr>
          <w:rFonts w:ascii="Times New Roman" w:hAnsi="Times New Roman" w:cs="Times New Roman"/>
          <w:color w:val="000000" w:themeColor="text1"/>
          <w:sz w:val="24"/>
          <w:szCs w:val="24"/>
        </w:rPr>
        <w:lastRenderedPageBreak/>
        <w:t>data used for the emissions estimates were obtained from the energy balance.  Tier 1 method and default emissions factors were used to estimate emissions for the Energy, IPPU, and Waste sectors. Tier 2 method was employed for Land sub category under AFOLU while Tier 1 was used for the remaining sub categories under AFOLU. For precursor emissions estimates, the European Environment Agency EMEP/EEA air pollutant emission inventory guidebook 2019 w</w:t>
      </w:r>
      <w:r w:rsidR="005F5DE2" w:rsidRPr="00191ACB">
        <w:rPr>
          <w:rFonts w:ascii="Times New Roman" w:hAnsi="Times New Roman" w:cs="Times New Roman"/>
          <w:color w:val="000000" w:themeColor="text1"/>
          <w:sz w:val="24"/>
          <w:szCs w:val="24"/>
        </w:rPr>
        <w:t>as</w:t>
      </w:r>
      <w:r w:rsidRPr="00191ACB">
        <w:rPr>
          <w:rFonts w:ascii="Times New Roman" w:hAnsi="Times New Roman" w:cs="Times New Roman"/>
          <w:color w:val="000000" w:themeColor="text1"/>
          <w:sz w:val="24"/>
          <w:szCs w:val="24"/>
        </w:rPr>
        <w:t xml:space="preserve"> used.</w:t>
      </w:r>
    </w:p>
    <w:p w14:paraId="5B4DC6D4" w14:textId="6F14FB97" w:rsidR="001B6463" w:rsidRPr="00191ACB" w:rsidRDefault="001B6463"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net GHG emissions indicate that Zambia was a net Sink for the period 1994 to 2010., The net sink has been reducing from -56,866.0 Gg CO</w:t>
      </w:r>
      <w:r w:rsidRPr="00191ACB">
        <w:rPr>
          <w:rFonts w:ascii="Times New Roman" w:hAnsi="Times New Roman" w:cs="Times New Roman"/>
          <w:color w:val="000000" w:themeColor="text1"/>
          <w:sz w:val="24"/>
          <w:szCs w:val="24"/>
          <w:vertAlign w:val="subscript"/>
        </w:rPr>
        <w:t>2eq.</w:t>
      </w:r>
      <w:r w:rsidR="00165D57" w:rsidRPr="00191ACB">
        <w:rPr>
          <w:rFonts w:ascii="Times New Roman" w:hAnsi="Times New Roman" w:cs="Times New Roman"/>
          <w:color w:val="000000" w:themeColor="text1"/>
          <w:sz w:val="24"/>
          <w:szCs w:val="24"/>
        </w:rPr>
        <w:t xml:space="preserve"> to</w:t>
      </w:r>
      <w:r w:rsidRPr="00191ACB">
        <w:rPr>
          <w:rFonts w:ascii="Times New Roman" w:hAnsi="Times New Roman" w:cs="Times New Roman"/>
          <w:color w:val="000000" w:themeColor="text1"/>
          <w:sz w:val="24"/>
          <w:szCs w:val="24"/>
        </w:rPr>
        <w:t xml:space="preserve"> -16,718.0 Gg CO</w:t>
      </w:r>
      <w:r w:rsidRPr="00191ACB">
        <w:rPr>
          <w:rFonts w:ascii="Times New Roman" w:hAnsi="Times New Roman" w:cs="Times New Roman"/>
          <w:color w:val="000000" w:themeColor="text1"/>
          <w:sz w:val="24"/>
          <w:szCs w:val="24"/>
          <w:vertAlign w:val="subscript"/>
        </w:rPr>
        <w:t>2</w:t>
      </w:r>
      <w:r w:rsidR="00165D57" w:rsidRPr="00191ACB">
        <w:rPr>
          <w:rFonts w:ascii="Times New Roman" w:hAnsi="Times New Roman" w:cs="Times New Roman"/>
          <w:color w:val="000000" w:themeColor="text1"/>
          <w:sz w:val="24"/>
          <w:szCs w:val="24"/>
          <w:vertAlign w:val="subscript"/>
        </w:rPr>
        <w:t xml:space="preserve"> eq.</w:t>
      </w:r>
      <w:r w:rsidR="00165D57"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 xml:space="preserve"> </w:t>
      </w:r>
      <w:r w:rsidRPr="00191ACB">
        <w:rPr>
          <w:rFonts w:ascii="Times New Roman" w:hAnsi="Times New Roman" w:cs="Times New Roman"/>
          <w:color w:val="000000" w:themeColor="text1"/>
          <w:sz w:val="24"/>
          <w:szCs w:val="24"/>
        </w:rPr>
        <w:t>and -9,508.5 Gg CO</w:t>
      </w:r>
      <w:r w:rsidRPr="00191ACB">
        <w:rPr>
          <w:rFonts w:ascii="Times New Roman" w:hAnsi="Times New Roman" w:cs="Times New Roman"/>
          <w:color w:val="000000" w:themeColor="text1"/>
          <w:sz w:val="24"/>
          <w:szCs w:val="24"/>
          <w:vertAlign w:val="subscript"/>
        </w:rPr>
        <w:t>2</w:t>
      </w:r>
      <w:r w:rsidR="00165D57" w:rsidRPr="00191ACB">
        <w:rPr>
          <w:rFonts w:ascii="Times New Roman" w:hAnsi="Times New Roman" w:cs="Times New Roman"/>
          <w:color w:val="000000" w:themeColor="text1"/>
          <w:sz w:val="24"/>
          <w:szCs w:val="24"/>
          <w:vertAlign w:val="subscript"/>
        </w:rPr>
        <w:t xml:space="preserve"> eq.</w:t>
      </w:r>
      <w:r w:rsidR="00165D57"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 xml:space="preserve"> in 1994, 2010 and 2016, respectively. Compared with the 1994 base year, this implies the sink reduced by 70.6% and 83.3% in 2010 and 2016, respectively. The Total GHG emissions increased from 86,063.2 Gg CO</w:t>
      </w:r>
      <w:r w:rsidRPr="00191ACB">
        <w:rPr>
          <w:rFonts w:ascii="Times New Roman" w:hAnsi="Times New Roman" w:cs="Times New Roman"/>
          <w:color w:val="000000" w:themeColor="text1"/>
          <w:sz w:val="24"/>
          <w:szCs w:val="24"/>
          <w:vertAlign w:val="subscript"/>
        </w:rPr>
        <w:t>2</w:t>
      </w:r>
      <w:r w:rsidR="00165D57" w:rsidRPr="00191ACB">
        <w:rPr>
          <w:rFonts w:ascii="Times New Roman" w:hAnsi="Times New Roman" w:cs="Times New Roman"/>
          <w:color w:val="000000" w:themeColor="text1"/>
          <w:sz w:val="24"/>
          <w:szCs w:val="24"/>
          <w:vertAlign w:val="subscript"/>
        </w:rPr>
        <w:t>eq.</w:t>
      </w:r>
      <w:r w:rsidR="00165D57"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in 1994 to 120,604.0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and 126, 758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in 2010 and 2016 representing a growth of 40.4% and 47.3%, respectively. On the other hand, total emissions removals reduced from-142,929.2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in 1994 to -137,322.9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and -136,266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.in 2010 and 2016 representing a decline of 3.9% and 4.7%, respectively.</w:t>
      </w:r>
    </w:p>
    <w:p w14:paraId="6FD61690" w14:textId="37420A5A" w:rsidR="001B6463" w:rsidRPr="00191ACB" w:rsidRDefault="00165D57"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2016, AFOLU sector was still highest at 93.00% followed by energy at 5.08%. IPPU was 1.65% and the least was waste at 0.26%, whilst i</w:t>
      </w:r>
      <w:r w:rsidR="001B6463" w:rsidRPr="00191ACB">
        <w:rPr>
          <w:rFonts w:ascii="Times New Roman" w:hAnsi="Times New Roman" w:cs="Times New Roman"/>
          <w:color w:val="000000" w:themeColor="text1"/>
          <w:sz w:val="24"/>
          <w:szCs w:val="24"/>
        </w:rPr>
        <w:t>n 2010</w:t>
      </w:r>
      <w:r w:rsidRPr="00191ACB">
        <w:rPr>
          <w:rFonts w:ascii="Times New Roman" w:hAnsi="Times New Roman" w:cs="Times New Roman"/>
          <w:color w:val="000000" w:themeColor="text1"/>
          <w:sz w:val="24"/>
          <w:szCs w:val="24"/>
        </w:rPr>
        <w:t xml:space="preserve"> </w:t>
      </w:r>
      <w:r w:rsidR="001B6463" w:rsidRPr="00191ACB">
        <w:rPr>
          <w:rFonts w:ascii="Times New Roman" w:hAnsi="Times New Roman" w:cs="Times New Roman"/>
          <w:color w:val="000000" w:themeColor="text1"/>
          <w:sz w:val="24"/>
          <w:szCs w:val="24"/>
        </w:rPr>
        <w:t>the sector with the highest GHG emissions was AFOLU at 95.75% followed by energy at 2.62%</w:t>
      </w:r>
      <w:r w:rsidRPr="00191ACB">
        <w:rPr>
          <w:rFonts w:ascii="Times New Roman" w:hAnsi="Times New Roman" w:cs="Times New Roman"/>
          <w:color w:val="000000" w:themeColor="text1"/>
          <w:sz w:val="24"/>
          <w:szCs w:val="24"/>
        </w:rPr>
        <w:t>,</w:t>
      </w:r>
      <w:r w:rsidR="001B6463" w:rsidRPr="00191ACB">
        <w:rPr>
          <w:rFonts w:ascii="Times New Roman" w:hAnsi="Times New Roman" w:cs="Times New Roman"/>
          <w:color w:val="000000" w:themeColor="text1"/>
          <w:sz w:val="24"/>
          <w:szCs w:val="24"/>
        </w:rPr>
        <w:t xml:space="preserve"> IPPU was 1.35% and the least was waste at 0.25%. The trend is similar for all the time series where emissions are highest in AFOLU followed by energy, IPPU and waste.</w:t>
      </w:r>
    </w:p>
    <w:p w14:paraId="032C8A80" w14:textId="5930E59A" w:rsidR="001B6463" w:rsidRPr="00191ACB" w:rsidRDefault="001B6463"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sub category with highest emissions contribution in 20</w:t>
      </w:r>
      <w:r w:rsidR="004A6D2E" w:rsidRPr="00191ACB">
        <w:rPr>
          <w:rFonts w:ascii="Times New Roman" w:hAnsi="Times New Roman" w:cs="Times New Roman"/>
          <w:color w:val="000000" w:themeColor="text1"/>
          <w:sz w:val="24"/>
          <w:szCs w:val="24"/>
        </w:rPr>
        <w:t xml:space="preserve">16 </w:t>
      </w:r>
      <w:r w:rsidRPr="00191ACB">
        <w:rPr>
          <w:rFonts w:ascii="Times New Roman" w:hAnsi="Times New Roman" w:cs="Times New Roman"/>
          <w:color w:val="000000" w:themeColor="text1"/>
          <w:sz w:val="24"/>
          <w:szCs w:val="24"/>
        </w:rPr>
        <w:t>was Forest Land with 55.93% (i.e.  28.3% is from firewood and charcoal production while 27.6% is from wood removal for timber</w:t>
      </w:r>
      <w:r w:rsidR="004A6D2E"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Emissions from crop land is second with 17.2% and third is emissions from biomass burning</w:t>
      </w:r>
      <w:r w:rsidR="004A6D2E" w:rsidRPr="00191ACB">
        <w:rPr>
          <w:rFonts w:ascii="Times New Roman" w:hAnsi="Times New Roman" w:cs="Times New Roman"/>
          <w:color w:val="000000" w:themeColor="text1"/>
          <w:sz w:val="24"/>
          <w:szCs w:val="24"/>
        </w:rPr>
        <w:t xml:space="preserve"> at</w:t>
      </w:r>
      <w:r w:rsidRPr="00191ACB">
        <w:rPr>
          <w:rFonts w:ascii="Times New Roman" w:hAnsi="Times New Roman" w:cs="Times New Roman"/>
          <w:color w:val="000000" w:themeColor="text1"/>
          <w:sz w:val="24"/>
          <w:szCs w:val="24"/>
        </w:rPr>
        <w:t xml:space="preserve"> 8.1%. Emissions from settlement is fourth at 7.77%.</w:t>
      </w:r>
    </w:p>
    <w:p w14:paraId="090CC838" w14:textId="1F95ADBC" w:rsidR="001B6463" w:rsidRPr="00191ACB" w:rsidRDefault="001B6463"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emissions in the energy sector increased from 2,179.4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in the 1994 base year to 3,155.8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in 2010 and </w:t>
      </w:r>
      <w:r w:rsidRPr="00191ACB">
        <w:rPr>
          <w:rFonts w:ascii="Times New Roman" w:eastAsia="Times New Roman" w:hAnsi="Times New Roman" w:cs="Times New Roman"/>
          <w:color w:val="000000" w:themeColor="text1"/>
          <w:sz w:val="24"/>
          <w:szCs w:val="24"/>
        </w:rPr>
        <w:t xml:space="preserve">6,443.7 </w:t>
      </w:r>
      <w:r w:rsidRPr="00191ACB">
        <w:rPr>
          <w:rFonts w:ascii="Times New Roman" w:hAnsi="Times New Roman" w:cs="Times New Roman"/>
          <w:color w:val="000000" w:themeColor="text1"/>
          <w:sz w:val="24"/>
          <w:szCs w:val="24"/>
        </w:rPr>
        <w:t>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w:t>
      </w:r>
      <w:r w:rsidR="004A6D2E" w:rsidRPr="00191ACB">
        <w:rPr>
          <w:rFonts w:ascii="Times New Roman" w:hAnsi="Times New Roman" w:cs="Times New Roman"/>
          <w:color w:val="000000" w:themeColor="text1"/>
          <w:sz w:val="24"/>
          <w:szCs w:val="24"/>
        </w:rPr>
        <w:t xml:space="preserve">in </w:t>
      </w:r>
      <w:r w:rsidRPr="00191ACB">
        <w:rPr>
          <w:rFonts w:ascii="Times New Roman" w:hAnsi="Times New Roman" w:cs="Times New Roman"/>
          <w:color w:val="000000" w:themeColor="text1"/>
          <w:sz w:val="24"/>
          <w:szCs w:val="24"/>
        </w:rPr>
        <w:t>2016. Compared to the 1994 base year, the emissions increased by 44.8% and 195.</w:t>
      </w:r>
      <w:r w:rsidR="00193C11" w:rsidRPr="00191ACB">
        <w:rPr>
          <w:rFonts w:ascii="Times New Roman" w:hAnsi="Times New Roman" w:cs="Times New Roman"/>
          <w:color w:val="000000" w:themeColor="text1"/>
          <w:sz w:val="24"/>
          <w:szCs w:val="24"/>
        </w:rPr>
        <w:t>7</w:t>
      </w:r>
      <w:r w:rsidRPr="00191ACB">
        <w:rPr>
          <w:rFonts w:ascii="Times New Roman" w:hAnsi="Times New Roman" w:cs="Times New Roman"/>
          <w:color w:val="000000" w:themeColor="text1"/>
          <w:sz w:val="24"/>
          <w:szCs w:val="24"/>
        </w:rPr>
        <w:t>% in 2010 and 2016, respectively. Emissions in the IPPU sector increased from 431.2 Gg CO</w:t>
      </w:r>
      <w:r w:rsidR="004A6D2E" w:rsidRPr="00191ACB">
        <w:rPr>
          <w:rFonts w:ascii="Times New Roman" w:hAnsi="Times New Roman" w:cs="Times New Roman"/>
          <w:color w:val="000000" w:themeColor="text1"/>
          <w:sz w:val="24"/>
          <w:szCs w:val="24"/>
          <w:vertAlign w:val="subscript"/>
        </w:rPr>
        <w:t>2eq.</w:t>
      </w:r>
      <w:r w:rsidR="004A6D2E"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in 1994 to 1,621.0 Gg CO</w:t>
      </w:r>
      <w:r w:rsidR="004A6D2E" w:rsidRPr="00191ACB">
        <w:rPr>
          <w:rFonts w:ascii="Times New Roman" w:hAnsi="Times New Roman" w:cs="Times New Roman"/>
          <w:color w:val="000000" w:themeColor="text1"/>
          <w:sz w:val="24"/>
          <w:szCs w:val="24"/>
          <w:vertAlign w:val="subscript"/>
        </w:rPr>
        <w:t xml:space="preserve">2eq. </w:t>
      </w:r>
      <w:r w:rsidRPr="00191ACB">
        <w:rPr>
          <w:rFonts w:ascii="Times New Roman" w:hAnsi="Times New Roman" w:cs="Times New Roman"/>
          <w:color w:val="000000" w:themeColor="text1"/>
          <w:sz w:val="24"/>
          <w:szCs w:val="24"/>
        </w:rPr>
        <w:t>in 2010 and 2,091.4 Gg CO</w:t>
      </w:r>
      <w:r w:rsidRPr="00191ACB">
        <w:rPr>
          <w:rFonts w:ascii="Times New Roman" w:hAnsi="Times New Roman" w:cs="Times New Roman"/>
          <w:color w:val="000000" w:themeColor="text1"/>
          <w:sz w:val="24"/>
          <w:szCs w:val="24"/>
          <w:vertAlign w:val="subscript"/>
        </w:rPr>
        <w:t xml:space="preserve">2eq. </w:t>
      </w:r>
      <w:r w:rsidRPr="00191ACB">
        <w:rPr>
          <w:rFonts w:ascii="Times New Roman" w:hAnsi="Times New Roman" w:cs="Times New Roman"/>
          <w:color w:val="000000" w:themeColor="text1"/>
          <w:sz w:val="24"/>
          <w:szCs w:val="24"/>
        </w:rPr>
        <w:t>in 2016. In the Waste sector, emissions increased from 204.5</w:t>
      </w:r>
      <w:r w:rsidR="004A6D2E"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Gg</w:t>
      </w:r>
      <w:r w:rsidR="004A6D2E" w:rsidRPr="00191ACB">
        <w:rPr>
          <w:rFonts w:ascii="Times New Roman" w:hAnsi="Times New Roman" w:cs="Times New Roman"/>
          <w:color w:val="000000" w:themeColor="text1"/>
          <w:sz w:val="24"/>
          <w:szCs w:val="24"/>
        </w:rPr>
        <w:t xml:space="preserve"> CO</w:t>
      </w:r>
      <w:r w:rsidR="004A6D2E" w:rsidRPr="00191ACB">
        <w:rPr>
          <w:rFonts w:ascii="Times New Roman" w:hAnsi="Times New Roman" w:cs="Times New Roman"/>
          <w:color w:val="000000" w:themeColor="text1"/>
          <w:sz w:val="24"/>
          <w:szCs w:val="24"/>
          <w:vertAlign w:val="subscript"/>
        </w:rPr>
        <w:t xml:space="preserve">2eq. </w:t>
      </w:r>
      <w:r w:rsidRPr="00191ACB">
        <w:rPr>
          <w:rFonts w:ascii="Times New Roman" w:hAnsi="Times New Roman" w:cs="Times New Roman"/>
          <w:color w:val="000000" w:themeColor="text1"/>
          <w:sz w:val="24"/>
          <w:szCs w:val="24"/>
        </w:rPr>
        <w:t xml:space="preserve"> in 1994 base year to 335.8 Gg CO</w:t>
      </w:r>
      <w:r w:rsidR="004A6D2E" w:rsidRPr="00191ACB">
        <w:rPr>
          <w:rFonts w:ascii="Times New Roman" w:hAnsi="Times New Roman" w:cs="Times New Roman"/>
          <w:color w:val="000000" w:themeColor="text1"/>
          <w:sz w:val="24"/>
          <w:szCs w:val="24"/>
          <w:vertAlign w:val="subscript"/>
        </w:rPr>
        <w:t xml:space="preserve">2eq. </w:t>
      </w:r>
      <w:r w:rsidRPr="00191ACB">
        <w:rPr>
          <w:rFonts w:ascii="Times New Roman" w:hAnsi="Times New Roman" w:cs="Times New Roman"/>
          <w:color w:val="000000" w:themeColor="text1"/>
          <w:sz w:val="24"/>
          <w:szCs w:val="24"/>
        </w:rPr>
        <w:t>in 2016 representing a growth of 64.2%.  Emissions indicate increasing trends for all sectors over the period 1994 to 2016. Emission removals have been reducing over the same period. Total emissions without AFOLU was 2,812.4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in 1994 base year and </w:t>
      </w:r>
      <w:r w:rsidRPr="00191ACB">
        <w:rPr>
          <w:rFonts w:ascii="Times New Roman" w:eastAsia="Times New Roman" w:hAnsi="Times New Roman" w:cs="Times New Roman"/>
          <w:color w:val="000000" w:themeColor="text1"/>
          <w:sz w:val="24"/>
          <w:szCs w:val="24"/>
        </w:rPr>
        <w:t xml:space="preserve">8,871.0 </w:t>
      </w:r>
      <w:r w:rsidRPr="00191ACB">
        <w:rPr>
          <w:rFonts w:ascii="Times New Roman" w:hAnsi="Times New Roman" w:cs="Times New Roman"/>
          <w:color w:val="000000" w:themeColor="text1"/>
          <w:sz w:val="24"/>
          <w:szCs w:val="24"/>
        </w:rPr>
        <w:t>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in 2016. Total emissions with AFOLU was 86,063.2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in 1994 base year and </w:t>
      </w:r>
      <w:r w:rsidRPr="00191ACB">
        <w:rPr>
          <w:rFonts w:ascii="Times New Roman" w:eastAsia="Times New Roman" w:hAnsi="Times New Roman" w:cs="Times New Roman"/>
          <w:color w:val="000000" w:themeColor="text1"/>
          <w:sz w:val="24"/>
          <w:szCs w:val="24"/>
        </w:rPr>
        <w:t xml:space="preserve">126,758.5 </w:t>
      </w:r>
      <w:r w:rsidRPr="00191ACB">
        <w:rPr>
          <w:rFonts w:ascii="Times New Roman" w:hAnsi="Times New Roman" w:cs="Times New Roman"/>
          <w:color w:val="000000" w:themeColor="text1"/>
          <w:sz w:val="24"/>
          <w:szCs w:val="24"/>
        </w:rPr>
        <w:t>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in 2016</w:t>
      </w:r>
      <w:r w:rsidR="00193C11" w:rsidRPr="00191ACB">
        <w:rPr>
          <w:rFonts w:ascii="Times New Roman" w:hAnsi="Times New Roman" w:cs="Times New Roman"/>
          <w:color w:val="000000" w:themeColor="text1"/>
          <w:sz w:val="24"/>
          <w:szCs w:val="24"/>
        </w:rPr>
        <w:t>.</w:t>
      </w:r>
    </w:p>
    <w:p w14:paraId="1EA38EA8" w14:textId="338543B5" w:rsidR="001B6463" w:rsidRPr="00191ACB" w:rsidRDefault="001B6463"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2016, the highest emissions removals occurred in Forest Woodland with -60,065 Gg CO</w:t>
      </w:r>
      <w:r w:rsidR="004A6D2E"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followed by Other Wood Land at -35,680 Gg CO</w:t>
      </w:r>
      <w:r w:rsidR="004A6D2E"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and the third was Moist Evergreen at -20,352 Gg CO</w:t>
      </w:r>
      <w:r w:rsidR="004A6D2E" w:rsidRPr="00191ACB">
        <w:rPr>
          <w:rFonts w:ascii="Times New Roman" w:hAnsi="Times New Roman" w:cs="Times New Roman"/>
          <w:color w:val="000000" w:themeColor="text1"/>
          <w:sz w:val="24"/>
          <w:szCs w:val="24"/>
          <w:vertAlign w:val="subscript"/>
        </w:rPr>
        <w:t>2eq.</w:t>
      </w:r>
      <w:r w:rsidR="004A6D2E"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The fourth was Dry Deciduous at -10,424 Gg CO</w:t>
      </w:r>
      <w:r w:rsidR="00193C11" w:rsidRPr="00191ACB">
        <w:rPr>
          <w:rFonts w:ascii="Times New Roman" w:hAnsi="Times New Roman" w:cs="Times New Roman"/>
          <w:color w:val="000000" w:themeColor="text1"/>
          <w:sz w:val="24"/>
          <w:szCs w:val="24"/>
          <w:vertAlign w:val="subscript"/>
        </w:rPr>
        <w:t>2eq.</w:t>
      </w:r>
      <w:r w:rsidR="00193C11"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while fifth was Dry Evergreen with -8,293 Gg CO</w:t>
      </w:r>
      <w:r w:rsidR="00193C11"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Pine Plantation was sixth at -730.4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and the least was Eucalyptus at -719.1 Gg CO</w:t>
      </w:r>
      <w:r w:rsidR="00193C11" w:rsidRPr="00191ACB">
        <w:rPr>
          <w:rFonts w:ascii="Times New Roman" w:hAnsi="Times New Roman" w:cs="Times New Roman"/>
          <w:color w:val="000000" w:themeColor="text1"/>
          <w:sz w:val="24"/>
          <w:szCs w:val="24"/>
          <w:vertAlign w:val="subscript"/>
        </w:rPr>
        <w:t>2eq.</w:t>
      </w:r>
    </w:p>
    <w:p w14:paraId="5723EDBE" w14:textId="79DF9484" w:rsidR="001B6463" w:rsidRPr="00191ACB" w:rsidRDefault="001B6463"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2016, the highest sink occurred in Forest Woodland with 44.0% followed by Other Wood Land at 26.1%.</w:t>
      </w:r>
      <w:r w:rsidR="00927502"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Others were Moist Evergreen 14.9%, Dry Deciduous 7.6%</w:t>
      </w:r>
      <w:r w:rsidR="00193C11"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Dry Ever green 6.0% and the least was Pine and Eucalyptus both at 0.5%. By gas in 2016,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was the highest at 87.4% followed by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xml:space="preserve"> at 9.0%.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was 3.5% while HFC was 0.1%</w:t>
      </w:r>
      <w:r w:rsidR="00193C11"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Contribution of SF</w:t>
      </w:r>
      <w:r w:rsidRPr="00191ACB">
        <w:rPr>
          <w:rFonts w:ascii="Times New Roman" w:hAnsi="Times New Roman" w:cs="Times New Roman"/>
          <w:color w:val="000000" w:themeColor="text1"/>
          <w:sz w:val="24"/>
          <w:szCs w:val="24"/>
          <w:vertAlign w:val="subscript"/>
        </w:rPr>
        <w:t>6</w:t>
      </w:r>
      <w:r w:rsidRPr="00191ACB">
        <w:rPr>
          <w:rFonts w:ascii="Times New Roman" w:hAnsi="Times New Roman" w:cs="Times New Roman"/>
          <w:color w:val="000000" w:themeColor="text1"/>
          <w:sz w:val="24"/>
          <w:szCs w:val="24"/>
        </w:rPr>
        <w:t xml:space="preserve"> to the emissions was almost negligible.</w:t>
      </w:r>
    </w:p>
    <w:p w14:paraId="1864795A" w14:textId="3F2C5D77" w:rsidR="001B6463" w:rsidRPr="00191ACB" w:rsidRDefault="001B6463"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lastRenderedPageBreak/>
        <w:t>The emissions of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increased by 45.3% from 76,288.9 Gg</w:t>
      </w:r>
      <w:r w:rsidR="003E529C" w:rsidRPr="00191ACB">
        <w:rPr>
          <w:rFonts w:ascii="Times New Roman" w:hAnsi="Times New Roman" w:cs="Times New Roman"/>
          <w:color w:val="000000" w:themeColor="text1"/>
          <w:sz w:val="24"/>
          <w:szCs w:val="24"/>
        </w:rPr>
        <w:t xml:space="preserve"> CO</w:t>
      </w:r>
      <w:r w:rsidR="003E529C"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vertAlign w:val="subscript"/>
        </w:rPr>
        <w:t xml:space="preserve"> </w:t>
      </w:r>
      <w:r w:rsidRPr="00191ACB">
        <w:rPr>
          <w:rFonts w:ascii="Times New Roman" w:hAnsi="Times New Roman" w:cs="Times New Roman"/>
          <w:color w:val="000000" w:themeColor="text1"/>
          <w:sz w:val="24"/>
          <w:szCs w:val="24"/>
        </w:rPr>
        <w:t xml:space="preserve">in the 1994 base year to 110,828.0 Gg </w:t>
      </w:r>
      <w:r w:rsidR="003E529C" w:rsidRPr="00191ACB">
        <w:rPr>
          <w:rFonts w:ascii="Times New Roman" w:hAnsi="Times New Roman" w:cs="Times New Roman"/>
          <w:color w:val="000000" w:themeColor="text1"/>
          <w:sz w:val="24"/>
          <w:szCs w:val="24"/>
        </w:rPr>
        <w:t>CO</w:t>
      </w:r>
      <w:r w:rsidR="003E529C" w:rsidRPr="00191ACB">
        <w:rPr>
          <w:rFonts w:ascii="Times New Roman" w:hAnsi="Times New Roman" w:cs="Times New Roman"/>
          <w:color w:val="000000" w:themeColor="text1"/>
          <w:sz w:val="24"/>
          <w:szCs w:val="24"/>
          <w:vertAlign w:val="subscript"/>
        </w:rPr>
        <w:t xml:space="preserve">2eq. </w:t>
      </w:r>
      <w:r w:rsidRPr="00191ACB">
        <w:rPr>
          <w:rFonts w:ascii="Times New Roman" w:hAnsi="Times New Roman" w:cs="Times New Roman"/>
          <w:color w:val="000000" w:themeColor="text1"/>
          <w:sz w:val="24"/>
          <w:szCs w:val="24"/>
        </w:rPr>
        <w:t>in 2016. In the same year period, CH4, N2O, and HFCs increased from 6,880.7 Gg CO</w:t>
      </w:r>
      <w:r w:rsidRPr="00191ACB">
        <w:rPr>
          <w:rFonts w:ascii="Times New Roman" w:hAnsi="Times New Roman" w:cs="Times New Roman"/>
          <w:color w:val="000000" w:themeColor="text1"/>
          <w:sz w:val="24"/>
          <w:szCs w:val="24"/>
          <w:vertAlign w:val="subscript"/>
        </w:rPr>
        <w:t xml:space="preserve">2eq., </w:t>
      </w:r>
      <w:r w:rsidRPr="00191ACB">
        <w:rPr>
          <w:rFonts w:ascii="Times New Roman" w:hAnsi="Times New Roman" w:cs="Times New Roman"/>
          <w:color w:val="000000" w:themeColor="text1"/>
          <w:sz w:val="24"/>
          <w:szCs w:val="24"/>
        </w:rPr>
        <w:t>2,628.5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4.3 Gg CO</w:t>
      </w:r>
      <w:r w:rsidR="003E529C"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in 1994 to 11,413.1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4,405.5 Gg CO</w:t>
      </w:r>
      <w:r w:rsidRPr="00191ACB">
        <w:rPr>
          <w:rFonts w:ascii="Times New Roman" w:hAnsi="Times New Roman" w:cs="Times New Roman"/>
          <w:color w:val="000000" w:themeColor="text1"/>
          <w:sz w:val="24"/>
          <w:szCs w:val="24"/>
          <w:vertAlign w:val="subscript"/>
        </w:rPr>
        <w:t xml:space="preserve">2eq. </w:t>
      </w:r>
      <w:r w:rsidRPr="00191ACB">
        <w:rPr>
          <w:rFonts w:ascii="Times New Roman" w:hAnsi="Times New Roman" w:cs="Times New Roman"/>
          <w:color w:val="000000" w:themeColor="text1"/>
          <w:sz w:val="24"/>
          <w:szCs w:val="24"/>
        </w:rPr>
        <w:t>and 111.3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in 2016, respectively. The highest contribution to the AFOLU emissions in 2016 were Fuelwood removal at 35% followed by Wood Removal at 34%. Emissions from land converted to cropland contributed 21%. The least was emissions from land converted to settlements at 10 %. Carbon dioxide emissions from surface mines was not estimated because oxidation of coal in the atmosphere to produce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is known to occur at surface mines, but emissions from this are not expected to be significant, especially taking into account the effects of rehabilitation of the waste dumps. Rehabilitation practices, which involve covering the dumps with topsoil and re-vegetation, act to reduce oxygen fluxes into the dump and hence reduce the rate of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production. </w:t>
      </w:r>
    </w:p>
    <w:p w14:paraId="5937636A" w14:textId="578ED650" w:rsidR="001B6463" w:rsidRPr="00191ACB" w:rsidRDefault="001B6463"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According to Approach 1 Level Assessment</w:t>
      </w:r>
      <w:r w:rsidR="00C433BB"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the Key Categories were Forest land Remaining Forest land, Land Converted to Cropland, Land Converted to Settlements, Emissions from biomass burning, Enteric Fermentation, Manufacturing Industries and Construction - Liquid Fuels. For 2016 ten key categories were identified (six with both the level and trend assessment, two with the level assessment and two with the trend assessment). Most of the categories identified as key are from the AFOLU sector, which reflects the importance of this sector in the country's inventory. Emissions from Direct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O Emissions from managed soils (3.C.4) and Cement production (2.A.1) with 96.2% and 97.1% sit at the threshold and qualitatively could be considered as Key categories under trend assessment. </w:t>
      </w:r>
    </w:p>
    <w:p w14:paraId="55AD3CA1" w14:textId="027E982D" w:rsidR="001B6463" w:rsidRPr="00191ACB" w:rsidRDefault="001B6463"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Recalculations were only made for the IPPU sector for the years 1994, 2000, 2005 and 2010 as a result of improved activity data on SF</w:t>
      </w:r>
      <w:r w:rsidRPr="00191ACB">
        <w:rPr>
          <w:rFonts w:ascii="Times New Roman" w:hAnsi="Times New Roman" w:cs="Times New Roman"/>
          <w:color w:val="000000" w:themeColor="text1"/>
          <w:sz w:val="24"/>
          <w:szCs w:val="24"/>
          <w:vertAlign w:val="subscript"/>
        </w:rPr>
        <w:t>6</w:t>
      </w:r>
      <w:r w:rsidR="009C6FD7" w:rsidRPr="00191ACB">
        <w:rPr>
          <w:rFonts w:ascii="Times New Roman" w:hAnsi="Times New Roman" w:cs="Times New Roman"/>
          <w:color w:val="000000" w:themeColor="text1"/>
          <w:sz w:val="24"/>
          <w:szCs w:val="24"/>
        </w:rPr>
        <w:t xml:space="preserve"> use in </w:t>
      </w:r>
      <w:r w:rsidRPr="00191ACB">
        <w:rPr>
          <w:rFonts w:ascii="Times New Roman" w:hAnsi="Times New Roman" w:cs="Times New Roman"/>
          <w:color w:val="000000" w:themeColor="text1"/>
          <w:sz w:val="24"/>
          <w:szCs w:val="24"/>
        </w:rPr>
        <w:t>Electrical Equipment.</w:t>
      </w:r>
    </w:p>
    <w:p w14:paraId="703BA9A3" w14:textId="77777777" w:rsidR="008F07DB" w:rsidRPr="00191ACB" w:rsidRDefault="008F07DB" w:rsidP="00A60A8C">
      <w:pPr>
        <w:spacing w:after="120" w:line="276" w:lineRule="auto"/>
        <w:jc w:val="both"/>
        <w:rPr>
          <w:rFonts w:ascii="Times New Roman" w:eastAsia="Calibri" w:hAnsi="Times New Roman" w:cs="Times New Roman"/>
          <w:color w:val="000000" w:themeColor="text1"/>
          <w:sz w:val="24"/>
          <w:szCs w:val="24"/>
        </w:rPr>
      </w:pPr>
    </w:p>
    <w:p w14:paraId="1AD001F1" w14:textId="68011134" w:rsidR="008F07DB" w:rsidRPr="00191ACB" w:rsidRDefault="008F07DB" w:rsidP="00A60A8C">
      <w:pPr>
        <w:spacing w:after="120" w:line="276" w:lineRule="auto"/>
        <w:jc w:val="both"/>
        <w:rPr>
          <w:rFonts w:ascii="Times New Roman" w:eastAsia="Calibri" w:hAnsi="Times New Roman" w:cs="Times New Roman"/>
          <w:b/>
          <w:bCs/>
          <w:color w:val="000000" w:themeColor="text1"/>
          <w:sz w:val="24"/>
          <w:szCs w:val="24"/>
        </w:rPr>
      </w:pPr>
      <w:r w:rsidRPr="00191ACB">
        <w:rPr>
          <w:rFonts w:ascii="Times New Roman" w:eastAsia="Calibri" w:hAnsi="Times New Roman" w:cs="Times New Roman"/>
          <w:b/>
          <w:bCs/>
          <w:color w:val="000000" w:themeColor="text1"/>
          <w:sz w:val="24"/>
          <w:szCs w:val="24"/>
        </w:rPr>
        <w:t xml:space="preserve">Mitigation </w:t>
      </w:r>
      <w:r w:rsidR="00F852D5" w:rsidRPr="00191ACB">
        <w:rPr>
          <w:rFonts w:ascii="Times New Roman" w:eastAsia="Calibri" w:hAnsi="Times New Roman" w:cs="Times New Roman"/>
          <w:b/>
          <w:bCs/>
          <w:color w:val="000000" w:themeColor="text1"/>
          <w:sz w:val="24"/>
          <w:szCs w:val="24"/>
        </w:rPr>
        <w:t>A</w:t>
      </w:r>
      <w:r w:rsidRPr="00191ACB">
        <w:rPr>
          <w:rFonts w:ascii="Times New Roman" w:eastAsia="Calibri" w:hAnsi="Times New Roman" w:cs="Times New Roman"/>
          <w:b/>
          <w:bCs/>
          <w:color w:val="000000" w:themeColor="text1"/>
          <w:sz w:val="24"/>
          <w:szCs w:val="24"/>
        </w:rPr>
        <w:t xml:space="preserve">ctions and their </w:t>
      </w:r>
      <w:r w:rsidR="00F852D5" w:rsidRPr="00191ACB">
        <w:rPr>
          <w:rFonts w:ascii="Times New Roman" w:eastAsia="Calibri" w:hAnsi="Times New Roman" w:cs="Times New Roman"/>
          <w:b/>
          <w:bCs/>
          <w:color w:val="000000" w:themeColor="text1"/>
          <w:sz w:val="24"/>
          <w:szCs w:val="24"/>
        </w:rPr>
        <w:t>E</w:t>
      </w:r>
      <w:r w:rsidRPr="00191ACB">
        <w:rPr>
          <w:rFonts w:ascii="Times New Roman" w:eastAsia="Calibri" w:hAnsi="Times New Roman" w:cs="Times New Roman"/>
          <w:b/>
          <w:bCs/>
          <w:color w:val="000000" w:themeColor="text1"/>
          <w:sz w:val="24"/>
          <w:szCs w:val="24"/>
        </w:rPr>
        <w:t>ffects</w:t>
      </w:r>
    </w:p>
    <w:p w14:paraId="5B19D3FA" w14:textId="216B829B" w:rsidR="00FB476A" w:rsidRPr="00191ACB" w:rsidRDefault="00FB476A" w:rsidP="00A60A8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Total baseline emissions are projected to increase from </w:t>
      </w:r>
      <w:r w:rsidRPr="00191ACB">
        <w:rPr>
          <w:rFonts w:ascii="Times New Roman" w:eastAsia="Times New Roman" w:hAnsi="Times New Roman" w:cs="Times New Roman"/>
          <w:color w:val="000000" w:themeColor="text1"/>
          <w:sz w:val="24"/>
          <w:szCs w:val="24"/>
        </w:rPr>
        <w:t xml:space="preserve">120,785.2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2010 to </w:t>
      </w:r>
      <w:r w:rsidRPr="00191ACB">
        <w:rPr>
          <w:rFonts w:ascii="Times New Roman" w:eastAsia="Times New Roman" w:hAnsi="Times New Roman" w:cs="Times New Roman"/>
          <w:color w:val="000000" w:themeColor="text1"/>
          <w:sz w:val="24"/>
          <w:szCs w:val="24"/>
        </w:rPr>
        <w:t>171,532.1</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2050, representing a growth of 42.0%. </w:t>
      </w:r>
      <w:r w:rsidR="00403287" w:rsidRPr="00191ACB">
        <w:rPr>
          <w:rFonts w:ascii="Times New Roman" w:eastAsia="Calibri" w:hAnsi="Times New Roman" w:cs="Times New Roman"/>
          <w:color w:val="000000" w:themeColor="text1"/>
          <w:sz w:val="24"/>
          <w:szCs w:val="24"/>
        </w:rPr>
        <w:t>S</w:t>
      </w:r>
      <w:r w:rsidRPr="00191ACB">
        <w:rPr>
          <w:rFonts w:ascii="Times New Roman" w:eastAsia="Calibri" w:hAnsi="Times New Roman" w:cs="Times New Roman"/>
          <w:color w:val="000000" w:themeColor="text1"/>
          <w:sz w:val="24"/>
          <w:szCs w:val="24"/>
        </w:rPr>
        <w:t>ector</w:t>
      </w:r>
      <w:r w:rsidR="00403287" w:rsidRPr="00191ACB">
        <w:rPr>
          <w:rFonts w:ascii="Times New Roman" w:eastAsia="Calibri" w:hAnsi="Times New Roman" w:cs="Times New Roman"/>
          <w:color w:val="000000" w:themeColor="text1"/>
          <w:sz w:val="24"/>
          <w:szCs w:val="24"/>
        </w:rPr>
        <w:t xml:space="preserve"> that will significantly contribute to the projected </w:t>
      </w:r>
      <w:r w:rsidR="00DE2451" w:rsidRPr="00191ACB">
        <w:rPr>
          <w:rFonts w:ascii="Times New Roman" w:eastAsia="Calibri" w:hAnsi="Times New Roman" w:cs="Times New Roman"/>
          <w:color w:val="000000" w:themeColor="text1"/>
          <w:sz w:val="24"/>
          <w:szCs w:val="24"/>
        </w:rPr>
        <w:t xml:space="preserve">growth in </w:t>
      </w:r>
      <w:r w:rsidR="00403287" w:rsidRPr="00191ACB">
        <w:rPr>
          <w:rFonts w:ascii="Times New Roman" w:eastAsia="Calibri" w:hAnsi="Times New Roman" w:cs="Times New Roman"/>
          <w:color w:val="000000" w:themeColor="text1"/>
          <w:sz w:val="24"/>
          <w:szCs w:val="24"/>
        </w:rPr>
        <w:t xml:space="preserve">emissions </w:t>
      </w:r>
      <w:r w:rsidR="00DE2451" w:rsidRPr="00191ACB">
        <w:rPr>
          <w:rFonts w:ascii="Times New Roman" w:eastAsia="Calibri" w:hAnsi="Times New Roman" w:cs="Times New Roman"/>
          <w:color w:val="000000" w:themeColor="text1"/>
          <w:sz w:val="24"/>
          <w:szCs w:val="24"/>
        </w:rPr>
        <w:t xml:space="preserve">will </w:t>
      </w:r>
      <w:r w:rsidR="00403287" w:rsidRPr="00191ACB">
        <w:rPr>
          <w:rFonts w:ascii="Times New Roman" w:eastAsia="Calibri" w:hAnsi="Times New Roman" w:cs="Times New Roman"/>
          <w:color w:val="000000" w:themeColor="text1"/>
          <w:sz w:val="24"/>
          <w:szCs w:val="24"/>
        </w:rPr>
        <w:t>include</w:t>
      </w:r>
      <w:r w:rsidR="00DE2451" w:rsidRPr="00191ACB">
        <w:rPr>
          <w:rFonts w:ascii="Times New Roman" w:eastAsia="Calibri" w:hAnsi="Times New Roman" w:cs="Times New Roman"/>
          <w:color w:val="000000" w:themeColor="text1"/>
          <w:sz w:val="24"/>
          <w:szCs w:val="24"/>
        </w:rPr>
        <w:t xml:space="preserve"> waste and IPPU, while the lowest growth rate is projected to occur in energy and AFOLU.</w:t>
      </w:r>
      <w:r w:rsidRPr="00191ACB">
        <w:rPr>
          <w:rFonts w:ascii="Times New Roman" w:eastAsia="Calibri" w:hAnsi="Times New Roman" w:cs="Times New Roman"/>
          <w:color w:val="000000" w:themeColor="text1"/>
          <w:sz w:val="24"/>
          <w:szCs w:val="24"/>
        </w:rPr>
        <w:t xml:space="preserve"> </w:t>
      </w:r>
    </w:p>
    <w:p w14:paraId="5F59B8B3" w14:textId="2B468FE3" w:rsidR="0007089F" w:rsidRPr="00191ACB" w:rsidRDefault="0007089F" w:rsidP="00A60A8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In order to reduce the emissions, Zambia has put in place a combination of policies, legislation and </w:t>
      </w:r>
      <w:r w:rsidR="00654B64" w:rsidRPr="00191ACB">
        <w:rPr>
          <w:rFonts w:ascii="Times New Roman" w:eastAsia="Calibri" w:hAnsi="Times New Roman" w:cs="Times New Roman"/>
          <w:color w:val="000000" w:themeColor="text1"/>
          <w:sz w:val="24"/>
          <w:szCs w:val="24"/>
        </w:rPr>
        <w:t xml:space="preserve">development focused actions </w:t>
      </w:r>
      <w:r w:rsidRPr="00191ACB">
        <w:rPr>
          <w:rFonts w:ascii="Times New Roman" w:eastAsia="Calibri" w:hAnsi="Times New Roman" w:cs="Times New Roman"/>
          <w:color w:val="000000" w:themeColor="text1"/>
          <w:sz w:val="24"/>
          <w:szCs w:val="24"/>
        </w:rPr>
        <w:t>to address climate change</w:t>
      </w:r>
      <w:r w:rsidR="00654B64" w:rsidRPr="00191ACB">
        <w:rPr>
          <w:rFonts w:ascii="Times New Roman" w:eastAsia="Calibri" w:hAnsi="Times New Roman" w:cs="Times New Roman"/>
          <w:color w:val="000000" w:themeColor="text1"/>
          <w:sz w:val="24"/>
          <w:szCs w:val="24"/>
        </w:rPr>
        <w:t xml:space="preserve"> as enshrined in</w:t>
      </w:r>
      <w:r w:rsidRPr="00191ACB">
        <w:rPr>
          <w:rFonts w:ascii="Times New Roman" w:eastAsia="Calibri" w:hAnsi="Times New Roman" w:cs="Times New Roman"/>
          <w:color w:val="000000" w:themeColor="text1"/>
          <w:sz w:val="24"/>
          <w:szCs w:val="24"/>
        </w:rPr>
        <w:t xml:space="preserve"> the</w:t>
      </w:r>
      <w:r w:rsidR="00654B64" w:rsidRPr="00191ACB">
        <w:rPr>
          <w:rFonts w:ascii="Times New Roman" w:eastAsia="Calibri" w:hAnsi="Times New Roman" w:cs="Times New Roman"/>
          <w:color w:val="000000" w:themeColor="text1"/>
          <w:sz w:val="24"/>
          <w:szCs w:val="24"/>
        </w:rPr>
        <w:t xml:space="preserve"> Vision</w:t>
      </w:r>
      <w:r w:rsidR="00C71EDC" w:rsidRPr="00191ACB">
        <w:rPr>
          <w:rFonts w:ascii="Times New Roman" w:eastAsia="Calibri" w:hAnsi="Times New Roman" w:cs="Times New Roman"/>
          <w:color w:val="000000" w:themeColor="text1"/>
          <w:sz w:val="24"/>
          <w:szCs w:val="24"/>
        </w:rPr>
        <w:t xml:space="preserve"> 2030,</w:t>
      </w:r>
      <w:r w:rsidRPr="00191ACB">
        <w:rPr>
          <w:rFonts w:ascii="Times New Roman" w:eastAsia="Calibri" w:hAnsi="Times New Roman" w:cs="Times New Roman"/>
          <w:color w:val="000000" w:themeColor="text1"/>
          <w:sz w:val="24"/>
          <w:szCs w:val="24"/>
        </w:rPr>
        <w:t xml:space="preserve"> 7NDP</w:t>
      </w:r>
      <w:r w:rsidR="00C71EDC" w:rsidRPr="00191ACB">
        <w:rPr>
          <w:rFonts w:ascii="Times New Roman" w:eastAsia="Calibri" w:hAnsi="Times New Roman" w:cs="Times New Roman"/>
          <w:color w:val="000000" w:themeColor="text1"/>
          <w:sz w:val="24"/>
          <w:szCs w:val="24"/>
        </w:rPr>
        <w:t xml:space="preserve"> and p</w:t>
      </w:r>
      <w:r w:rsidRPr="00191ACB">
        <w:rPr>
          <w:rFonts w:ascii="Times New Roman" w:eastAsia="Calibri" w:hAnsi="Times New Roman" w:cs="Times New Roman"/>
          <w:color w:val="000000" w:themeColor="text1"/>
          <w:sz w:val="24"/>
          <w:szCs w:val="24"/>
        </w:rPr>
        <w:t>olic</w:t>
      </w:r>
      <w:r w:rsidR="00654B64" w:rsidRPr="00191ACB">
        <w:rPr>
          <w:rFonts w:ascii="Times New Roman" w:eastAsia="Calibri" w:hAnsi="Times New Roman" w:cs="Times New Roman"/>
          <w:color w:val="000000" w:themeColor="text1"/>
          <w:sz w:val="24"/>
          <w:szCs w:val="24"/>
        </w:rPr>
        <w:t>ies</w:t>
      </w:r>
      <w:r w:rsidR="00C71EDC"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on </w:t>
      </w:r>
      <w:r w:rsidR="00FB099C" w:rsidRPr="00191ACB">
        <w:rPr>
          <w:rFonts w:ascii="Times New Roman" w:eastAsia="Calibri" w:hAnsi="Times New Roman" w:cs="Times New Roman"/>
          <w:color w:val="000000" w:themeColor="text1"/>
          <w:sz w:val="24"/>
          <w:szCs w:val="24"/>
        </w:rPr>
        <w:t>c</w:t>
      </w:r>
      <w:r w:rsidRPr="00191ACB">
        <w:rPr>
          <w:rFonts w:ascii="Times New Roman" w:eastAsia="Calibri" w:hAnsi="Times New Roman" w:cs="Times New Roman"/>
          <w:color w:val="000000" w:themeColor="text1"/>
          <w:sz w:val="24"/>
          <w:szCs w:val="24"/>
        </w:rPr>
        <w:t xml:space="preserve">limate </w:t>
      </w:r>
      <w:r w:rsidR="00FB099C" w:rsidRPr="00191ACB">
        <w:rPr>
          <w:rFonts w:ascii="Times New Roman" w:eastAsia="Calibri" w:hAnsi="Times New Roman" w:cs="Times New Roman"/>
          <w:color w:val="000000" w:themeColor="text1"/>
          <w:sz w:val="24"/>
          <w:szCs w:val="24"/>
        </w:rPr>
        <w:t>c</w:t>
      </w:r>
      <w:r w:rsidRPr="00191ACB">
        <w:rPr>
          <w:rFonts w:ascii="Times New Roman" w:eastAsia="Calibri" w:hAnsi="Times New Roman" w:cs="Times New Roman"/>
          <w:color w:val="000000" w:themeColor="text1"/>
          <w:sz w:val="24"/>
          <w:szCs w:val="24"/>
        </w:rPr>
        <w:t xml:space="preserve">hange, </w:t>
      </w:r>
      <w:r w:rsidR="00654B64" w:rsidRPr="00191ACB">
        <w:rPr>
          <w:rFonts w:ascii="Times New Roman" w:eastAsia="Calibri" w:hAnsi="Times New Roman" w:cs="Times New Roman"/>
          <w:color w:val="000000" w:themeColor="text1"/>
          <w:sz w:val="24"/>
          <w:szCs w:val="24"/>
        </w:rPr>
        <w:t>e</w:t>
      </w:r>
      <w:r w:rsidRPr="00191ACB">
        <w:rPr>
          <w:rFonts w:ascii="Times New Roman" w:eastAsia="Calibri" w:hAnsi="Times New Roman" w:cs="Times New Roman"/>
          <w:color w:val="000000" w:themeColor="text1"/>
          <w:sz w:val="24"/>
          <w:szCs w:val="24"/>
        </w:rPr>
        <w:t xml:space="preserve">nvironment, </w:t>
      </w:r>
      <w:r w:rsidR="00654B64" w:rsidRPr="00191ACB">
        <w:rPr>
          <w:rFonts w:ascii="Times New Roman" w:eastAsia="Calibri" w:hAnsi="Times New Roman" w:cs="Times New Roman"/>
          <w:color w:val="000000" w:themeColor="text1"/>
          <w:sz w:val="24"/>
          <w:szCs w:val="24"/>
        </w:rPr>
        <w:t>e</w:t>
      </w:r>
      <w:r w:rsidRPr="00191ACB">
        <w:rPr>
          <w:rFonts w:ascii="Times New Roman" w:eastAsia="Calibri" w:hAnsi="Times New Roman" w:cs="Times New Roman"/>
          <w:color w:val="000000" w:themeColor="text1"/>
          <w:sz w:val="24"/>
          <w:szCs w:val="24"/>
        </w:rPr>
        <w:t>nergy</w:t>
      </w:r>
      <w:r w:rsidR="00654B64" w:rsidRPr="00191ACB">
        <w:rPr>
          <w:rFonts w:ascii="Times New Roman" w:eastAsia="Calibri" w:hAnsi="Times New Roman" w:cs="Times New Roman"/>
          <w:color w:val="000000" w:themeColor="text1"/>
          <w:sz w:val="24"/>
          <w:szCs w:val="24"/>
        </w:rPr>
        <w:t>, f</w:t>
      </w:r>
      <w:r w:rsidRPr="00191ACB">
        <w:rPr>
          <w:rFonts w:ascii="Times New Roman" w:eastAsia="Calibri" w:hAnsi="Times New Roman" w:cs="Times New Roman"/>
          <w:color w:val="000000" w:themeColor="text1"/>
          <w:sz w:val="24"/>
          <w:szCs w:val="24"/>
        </w:rPr>
        <w:t>orestry</w:t>
      </w:r>
      <w:r w:rsidR="00403287" w:rsidRPr="00191ACB">
        <w:rPr>
          <w:rFonts w:ascii="Times New Roman" w:eastAsia="Calibri" w:hAnsi="Times New Roman" w:cs="Times New Roman"/>
          <w:color w:val="000000" w:themeColor="text1"/>
          <w:sz w:val="24"/>
          <w:szCs w:val="24"/>
        </w:rPr>
        <w:t xml:space="preserve"> and</w:t>
      </w:r>
      <w:r w:rsidR="00654B64" w:rsidRPr="00191ACB">
        <w:rPr>
          <w:rFonts w:ascii="Times New Roman" w:eastAsia="Calibri" w:hAnsi="Times New Roman" w:cs="Times New Roman"/>
          <w:color w:val="000000" w:themeColor="text1"/>
          <w:sz w:val="24"/>
          <w:szCs w:val="24"/>
        </w:rPr>
        <w:t xml:space="preserve"> agriculture, among others</w:t>
      </w:r>
      <w:r w:rsidRPr="00191ACB">
        <w:rPr>
          <w:rFonts w:ascii="Times New Roman" w:eastAsia="Calibri" w:hAnsi="Times New Roman" w:cs="Times New Roman"/>
          <w:color w:val="000000" w:themeColor="text1"/>
          <w:sz w:val="24"/>
          <w:szCs w:val="24"/>
        </w:rPr>
        <w:t xml:space="preserve">. </w:t>
      </w:r>
    </w:p>
    <w:p w14:paraId="6CFAFA2A" w14:textId="5E896E9E" w:rsidR="00FB476A" w:rsidRPr="00191ACB" w:rsidRDefault="00FB476A" w:rsidP="00A60A8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Actions to mitigate GHG emissions include; rural and urban electrification, Solar Home Systems, Electricity generation</w:t>
      </w:r>
      <w:r w:rsidR="00DE2451" w:rsidRPr="00191ACB">
        <w:rPr>
          <w:rFonts w:ascii="Times New Roman" w:eastAsia="Calibri" w:hAnsi="Times New Roman" w:cs="Times New Roman"/>
          <w:color w:val="000000" w:themeColor="text1"/>
          <w:sz w:val="24"/>
          <w:szCs w:val="24"/>
        </w:rPr>
        <w:t xml:space="preserve">, conservation farming, reduced fertilizer application rates, pasture conservation, improved animal breeds coupled with integrated pest and disease control and improved manure management, </w:t>
      </w:r>
      <w:r w:rsidRPr="00191ACB">
        <w:rPr>
          <w:rFonts w:ascii="Times New Roman" w:eastAsia="Calibri" w:hAnsi="Times New Roman" w:cs="Times New Roman"/>
          <w:color w:val="000000" w:themeColor="text1"/>
          <w:sz w:val="24"/>
          <w:szCs w:val="24"/>
        </w:rPr>
        <w:t xml:space="preserve">tree plantations, agro-forestry, tree stamp rehabilitation in farm fields, assisted natural forest regeneration, fire management and alternative efficient energy technologies. </w:t>
      </w:r>
    </w:p>
    <w:p w14:paraId="78BF7A1B" w14:textId="09FF2736" w:rsidR="00FB476A" w:rsidRPr="00191ACB" w:rsidRDefault="00B5586F" w:rsidP="00A60A8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Zambia’s mitigation potential is analyzed under three scenarios. The total GHG emissions mitigation potential under scenarios 1, without sequestration are projected to slightly decrease from </w:t>
      </w:r>
      <w:r w:rsidRPr="00191ACB">
        <w:rPr>
          <w:rFonts w:ascii="Times New Roman" w:eastAsia="Times New Roman" w:hAnsi="Times New Roman" w:cs="Times New Roman"/>
          <w:color w:val="000000" w:themeColor="text1"/>
          <w:sz w:val="24"/>
          <w:szCs w:val="24"/>
        </w:rPr>
        <w:t xml:space="preserve">120446.1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eq., in 2010 to </w:t>
      </w:r>
      <w:r w:rsidRPr="00191ACB">
        <w:rPr>
          <w:rFonts w:ascii="Times New Roman" w:eastAsia="Times New Roman" w:hAnsi="Times New Roman" w:cs="Times New Roman"/>
          <w:color w:val="000000" w:themeColor="text1"/>
          <w:sz w:val="24"/>
          <w:szCs w:val="24"/>
        </w:rPr>
        <w:t xml:space="preserve">120289.1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eq. in 2050. For scenario 2 emissions mitigation potential are projected to decrease from </w:t>
      </w:r>
      <w:r w:rsidRPr="00191ACB">
        <w:rPr>
          <w:rFonts w:ascii="Times New Roman" w:eastAsia="Times New Roman" w:hAnsi="Times New Roman" w:cs="Times New Roman"/>
          <w:color w:val="000000" w:themeColor="text1"/>
          <w:sz w:val="24"/>
          <w:szCs w:val="24"/>
        </w:rPr>
        <w:t xml:space="preserve">120446.1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eq., in 2010 to </w:t>
      </w:r>
      <w:r w:rsidRPr="00191ACB">
        <w:rPr>
          <w:rFonts w:ascii="Times New Roman" w:eastAsia="Times New Roman" w:hAnsi="Times New Roman" w:cs="Times New Roman"/>
          <w:color w:val="000000" w:themeColor="text1"/>
          <w:sz w:val="24"/>
          <w:szCs w:val="24"/>
        </w:rPr>
        <w:t xml:space="preserve">75,730.1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eq. in 2050. In case of </w:t>
      </w:r>
      <w:r w:rsidRPr="00191ACB">
        <w:rPr>
          <w:rFonts w:ascii="Times New Roman" w:eastAsia="Calibri" w:hAnsi="Times New Roman" w:cs="Times New Roman"/>
          <w:color w:val="000000" w:themeColor="text1"/>
          <w:sz w:val="24"/>
          <w:szCs w:val="24"/>
        </w:rPr>
        <w:lastRenderedPageBreak/>
        <w:t xml:space="preserve">Scenario 3, national emissions mitigation potential are projected to decrease from </w:t>
      </w:r>
      <w:r w:rsidRPr="00191ACB">
        <w:rPr>
          <w:rFonts w:ascii="Times New Roman" w:eastAsia="Times New Roman" w:hAnsi="Times New Roman" w:cs="Times New Roman"/>
          <w:color w:val="000000" w:themeColor="text1"/>
          <w:sz w:val="24"/>
          <w:szCs w:val="24"/>
        </w:rPr>
        <w:t xml:space="preserve">120446.1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eq. in 2010 to </w:t>
      </w:r>
      <w:r w:rsidRPr="00191ACB">
        <w:rPr>
          <w:rFonts w:ascii="Times New Roman" w:eastAsia="Times New Roman" w:hAnsi="Times New Roman" w:cs="Times New Roman"/>
          <w:color w:val="000000" w:themeColor="text1"/>
          <w:sz w:val="24"/>
          <w:szCs w:val="24"/>
        </w:rPr>
        <w:t>39,450.4</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eq. in 2050. The decrease in scenarios 2 and 3 are due to projected higher rates of increase in baseline emission than that of mitigation.</w:t>
      </w:r>
      <w:r w:rsidR="00276386" w:rsidRPr="00191ACB">
        <w:rPr>
          <w:rFonts w:ascii="Times New Roman" w:eastAsia="Calibri" w:hAnsi="Times New Roman" w:cs="Times New Roman"/>
          <w:color w:val="000000" w:themeColor="text1"/>
          <w:sz w:val="24"/>
          <w:szCs w:val="24"/>
        </w:rPr>
        <w:t xml:space="preserve"> Additionally, Zambia has implemented</w:t>
      </w:r>
      <w:r w:rsidR="00FB476A" w:rsidRPr="00191ACB">
        <w:rPr>
          <w:rFonts w:ascii="Times New Roman" w:eastAsia="Calibri" w:hAnsi="Times New Roman" w:cs="Times New Roman"/>
          <w:color w:val="000000" w:themeColor="text1"/>
          <w:sz w:val="24"/>
          <w:szCs w:val="24"/>
        </w:rPr>
        <w:t xml:space="preserve"> some projects under </w:t>
      </w:r>
      <w:r w:rsidR="00276386" w:rsidRPr="00191ACB">
        <w:rPr>
          <w:rFonts w:ascii="Times New Roman" w:eastAsia="Calibri" w:hAnsi="Times New Roman" w:cs="Times New Roman"/>
          <w:color w:val="000000" w:themeColor="text1"/>
          <w:sz w:val="24"/>
          <w:szCs w:val="24"/>
        </w:rPr>
        <w:t>international market</w:t>
      </w:r>
      <w:r w:rsidR="00FB476A" w:rsidRPr="00191ACB">
        <w:rPr>
          <w:rFonts w:ascii="Times New Roman" w:eastAsia="Calibri" w:hAnsi="Times New Roman" w:cs="Times New Roman"/>
          <w:color w:val="000000" w:themeColor="text1"/>
          <w:sz w:val="24"/>
          <w:szCs w:val="24"/>
        </w:rPr>
        <w:t xml:space="preserve"> mechanisms </w:t>
      </w:r>
      <w:r w:rsidR="00276386" w:rsidRPr="00191ACB">
        <w:rPr>
          <w:rFonts w:ascii="Times New Roman" w:eastAsia="Calibri" w:hAnsi="Times New Roman" w:cs="Times New Roman"/>
          <w:color w:val="000000" w:themeColor="text1"/>
          <w:sz w:val="24"/>
          <w:szCs w:val="24"/>
        </w:rPr>
        <w:t xml:space="preserve">such as the </w:t>
      </w:r>
      <w:r w:rsidR="00FB476A" w:rsidRPr="00191ACB">
        <w:rPr>
          <w:rFonts w:ascii="Times New Roman" w:eastAsia="Calibri" w:hAnsi="Times New Roman" w:cs="Times New Roman"/>
          <w:color w:val="000000" w:themeColor="text1"/>
          <w:sz w:val="24"/>
          <w:szCs w:val="24"/>
        </w:rPr>
        <w:t xml:space="preserve">Clean Development Mechanism (CDM) under Kyoto Protocol and </w:t>
      </w:r>
      <w:r w:rsidR="00276386" w:rsidRPr="00191ACB">
        <w:rPr>
          <w:rFonts w:ascii="Times New Roman" w:eastAsia="Calibri" w:hAnsi="Times New Roman" w:cs="Times New Roman"/>
          <w:color w:val="000000" w:themeColor="text1"/>
          <w:sz w:val="24"/>
          <w:szCs w:val="24"/>
        </w:rPr>
        <w:t>v</w:t>
      </w:r>
      <w:r w:rsidR="00FB476A" w:rsidRPr="00191ACB">
        <w:rPr>
          <w:rFonts w:ascii="Times New Roman" w:eastAsia="Calibri" w:hAnsi="Times New Roman" w:cs="Times New Roman"/>
          <w:color w:val="000000" w:themeColor="text1"/>
          <w:sz w:val="24"/>
          <w:szCs w:val="24"/>
        </w:rPr>
        <w:t xml:space="preserve">oluntary </w:t>
      </w:r>
      <w:r w:rsidR="00276386" w:rsidRPr="00191ACB">
        <w:rPr>
          <w:rFonts w:ascii="Times New Roman" w:eastAsia="Calibri" w:hAnsi="Times New Roman" w:cs="Times New Roman"/>
          <w:color w:val="000000" w:themeColor="text1"/>
          <w:sz w:val="24"/>
          <w:szCs w:val="24"/>
        </w:rPr>
        <w:t>market mechani</w:t>
      </w:r>
      <w:r w:rsidR="00FB476A" w:rsidRPr="00191ACB">
        <w:rPr>
          <w:rFonts w:ascii="Times New Roman" w:eastAsia="Calibri" w:hAnsi="Times New Roman" w:cs="Times New Roman"/>
          <w:color w:val="000000" w:themeColor="text1"/>
          <w:sz w:val="24"/>
          <w:szCs w:val="24"/>
        </w:rPr>
        <w:t>s</w:t>
      </w:r>
      <w:r w:rsidR="00276386" w:rsidRPr="00191ACB">
        <w:rPr>
          <w:rFonts w:ascii="Times New Roman" w:eastAsia="Calibri" w:hAnsi="Times New Roman" w:cs="Times New Roman"/>
          <w:color w:val="000000" w:themeColor="text1"/>
          <w:sz w:val="24"/>
          <w:szCs w:val="24"/>
        </w:rPr>
        <w:t>ms</w:t>
      </w:r>
      <w:r w:rsidR="00FB476A" w:rsidRPr="00191ACB">
        <w:rPr>
          <w:rFonts w:ascii="Times New Roman" w:eastAsia="Calibri" w:hAnsi="Times New Roman" w:cs="Times New Roman"/>
          <w:color w:val="000000" w:themeColor="text1"/>
          <w:sz w:val="24"/>
          <w:szCs w:val="24"/>
        </w:rPr>
        <w:t xml:space="preserve">. </w:t>
      </w:r>
    </w:p>
    <w:p w14:paraId="0D3ACA3F" w14:textId="77777777" w:rsidR="00276386" w:rsidRPr="00191ACB" w:rsidRDefault="00276386" w:rsidP="005E626A">
      <w:pPr>
        <w:spacing w:after="120" w:line="240" w:lineRule="auto"/>
        <w:jc w:val="both"/>
        <w:rPr>
          <w:rFonts w:ascii="Times New Roman" w:eastAsia="Calibri" w:hAnsi="Times New Roman" w:cs="Times New Roman"/>
          <w:b/>
          <w:color w:val="000000" w:themeColor="text1"/>
          <w:sz w:val="24"/>
          <w:szCs w:val="24"/>
        </w:rPr>
      </w:pPr>
    </w:p>
    <w:p w14:paraId="79672313" w14:textId="4C4EFC88" w:rsidR="00FB476A" w:rsidRPr="00191ACB" w:rsidRDefault="00FB476A" w:rsidP="00A60A8C">
      <w:pPr>
        <w:spacing w:after="120" w:line="276" w:lineRule="auto"/>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 xml:space="preserve">The </w:t>
      </w:r>
      <w:r w:rsidR="00276386" w:rsidRPr="00191ACB">
        <w:rPr>
          <w:rFonts w:ascii="Times New Roman" w:eastAsia="Calibri" w:hAnsi="Times New Roman" w:cs="Times New Roman"/>
          <w:b/>
          <w:color w:val="000000" w:themeColor="text1"/>
          <w:sz w:val="24"/>
          <w:szCs w:val="24"/>
        </w:rPr>
        <w:t>D</w:t>
      </w:r>
      <w:r w:rsidRPr="00191ACB">
        <w:rPr>
          <w:rFonts w:ascii="Times New Roman" w:eastAsia="Calibri" w:hAnsi="Times New Roman" w:cs="Times New Roman"/>
          <w:b/>
          <w:color w:val="000000" w:themeColor="text1"/>
          <w:sz w:val="24"/>
          <w:szCs w:val="24"/>
        </w:rPr>
        <w:t>omestic MRV system</w:t>
      </w:r>
    </w:p>
    <w:p w14:paraId="614B8F78" w14:textId="77777777" w:rsidR="00AA051B" w:rsidRPr="0022004A" w:rsidRDefault="00AA051B" w:rsidP="00A60A8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Efforts have been undertaken in Zambia to develop MRV related systems pre-Paris Agreement and these included MRV of GHGs, NAMAs and REDD+. These systems were supported through the Low Emission Capacity Building (LECB) Project. There have been efforts to develop MRV systems at sub national level</w:t>
      </w:r>
      <w:r w:rsidRPr="00191ACB">
        <w:rPr>
          <w:rFonts w:ascii="Times New Roman" w:eastAsia="Times New Roman" w:hAnsi="Times New Roman" w:cs="Times New Roman"/>
          <w:b/>
          <w:color w:val="000000" w:themeColor="text1"/>
          <w:sz w:val="24"/>
          <w:szCs w:val="24"/>
        </w:rPr>
        <w:t xml:space="preserve"> </w:t>
      </w:r>
      <w:r w:rsidRPr="00191ACB">
        <w:rPr>
          <w:rFonts w:ascii="Times New Roman" w:eastAsia="Times New Roman" w:hAnsi="Times New Roman" w:cs="Times New Roman"/>
          <w:bCs/>
          <w:color w:val="000000" w:themeColor="text1"/>
          <w:sz w:val="24"/>
          <w:szCs w:val="24"/>
        </w:rPr>
        <w:t>through interventions under the</w:t>
      </w:r>
      <w:r w:rsidRPr="00191ACB">
        <w:rPr>
          <w:rFonts w:ascii="Times New Roman" w:eastAsia="Times New Roman" w:hAnsi="Times New Roman" w:cs="Times New Roman"/>
          <w:b/>
          <w:color w:val="000000" w:themeColor="text1"/>
          <w:sz w:val="24"/>
          <w:szCs w:val="24"/>
        </w:rPr>
        <w:t xml:space="preserve"> </w:t>
      </w:r>
      <w:r w:rsidRPr="00191ACB">
        <w:rPr>
          <w:rFonts w:ascii="Times New Roman" w:eastAsia="Calibri" w:hAnsi="Times New Roman" w:cs="Times New Roman"/>
          <w:color w:val="000000" w:themeColor="text1"/>
          <w:sz w:val="24"/>
          <w:szCs w:val="24"/>
        </w:rPr>
        <w:t>Community Markets for Conservation (COMACO)</w:t>
      </w:r>
      <w:r w:rsidRPr="00191ACB">
        <w:rPr>
          <w:rFonts w:ascii="Times New Roman" w:eastAsia="Calibri" w:hAnsi="Times New Roman" w:cs="Times New Roman"/>
          <w:color w:val="000000" w:themeColor="text1"/>
          <w:sz w:val="24"/>
          <w:szCs w:val="24"/>
          <w:vertAlign w:val="superscript"/>
        </w:rPr>
        <w:footnoteReference w:id="1"/>
      </w:r>
      <w:r w:rsidRPr="00191ACB">
        <w:rPr>
          <w:rFonts w:ascii="Times New Roman" w:eastAsia="Calibri" w:hAnsi="Times New Roman" w:cs="Times New Roman"/>
          <w:color w:val="000000" w:themeColor="text1"/>
          <w:sz w:val="24"/>
          <w:szCs w:val="24"/>
        </w:rPr>
        <w:t xml:space="preserve"> model. The Netherlands Development Organisation (SNV) also practices a model of MRV with </w:t>
      </w:r>
      <w:r w:rsidRPr="0022004A">
        <w:rPr>
          <w:rFonts w:ascii="Times New Roman" w:eastAsia="Calibri" w:hAnsi="Times New Roman" w:cs="Times New Roman"/>
          <w:color w:val="000000" w:themeColor="text1"/>
          <w:sz w:val="24"/>
          <w:szCs w:val="24"/>
        </w:rPr>
        <w:t xml:space="preserve">participating communities. </w:t>
      </w:r>
    </w:p>
    <w:p w14:paraId="2ACBEC1A" w14:textId="77777777" w:rsidR="00AA051B" w:rsidRPr="0022004A" w:rsidRDefault="00AA051B" w:rsidP="00A60A8C">
      <w:pPr>
        <w:spacing w:line="276" w:lineRule="auto"/>
        <w:jc w:val="both"/>
        <w:rPr>
          <w:rFonts w:ascii="Times New Roman" w:eastAsia="Calibri" w:hAnsi="Times New Roman" w:cs="Times New Roman"/>
          <w:sz w:val="24"/>
          <w:szCs w:val="24"/>
        </w:rPr>
      </w:pPr>
      <w:r w:rsidRPr="0022004A">
        <w:rPr>
          <w:rFonts w:ascii="Times New Roman" w:hAnsi="Times New Roman" w:cs="Times New Roman"/>
          <w:sz w:val="24"/>
          <w:szCs w:val="24"/>
        </w:rPr>
        <w:t xml:space="preserve">With regard to waste water and solid waste, the system has been developed to track the waste water treatment facilities and effluent standard compliance by water utility companies through NWASCO and ZEMA. </w:t>
      </w:r>
      <w:r w:rsidRPr="0022004A">
        <w:rPr>
          <w:rFonts w:ascii="Times New Roman" w:eastAsia="Calibri" w:hAnsi="Times New Roman" w:cs="Times New Roman"/>
          <w:sz w:val="24"/>
          <w:szCs w:val="24"/>
        </w:rPr>
        <w:t xml:space="preserve">At both institutions, information is collected which is verified through internal reviews. </w:t>
      </w:r>
    </w:p>
    <w:p w14:paraId="6C2D5E6F" w14:textId="77777777" w:rsidR="00AA051B" w:rsidRPr="0022004A" w:rsidRDefault="00AA051B" w:rsidP="00A60A8C">
      <w:pPr>
        <w:spacing w:line="276" w:lineRule="auto"/>
        <w:jc w:val="both"/>
        <w:rPr>
          <w:rFonts w:ascii="Times New Roman" w:hAnsi="Times New Roman" w:cs="Times New Roman"/>
          <w:sz w:val="24"/>
          <w:szCs w:val="24"/>
          <w:lang w:eastAsia="x-none"/>
        </w:rPr>
      </w:pPr>
      <w:r w:rsidRPr="0022004A">
        <w:rPr>
          <w:rFonts w:ascii="Times New Roman" w:hAnsi="Times New Roman" w:cs="Times New Roman"/>
          <w:sz w:val="24"/>
          <w:szCs w:val="24"/>
        </w:rPr>
        <w:t xml:space="preserve">Further, the University of Zambia in collaboration </w:t>
      </w:r>
      <w:r w:rsidRPr="0022004A">
        <w:rPr>
          <w:rFonts w:ascii="Times New Roman" w:hAnsi="Times New Roman" w:cs="Times New Roman"/>
          <w:sz w:val="24"/>
          <w:szCs w:val="24"/>
          <w:lang w:eastAsia="x-none"/>
        </w:rPr>
        <w:t>with the Chinese Academy of Excellence has been developing a mechanism for collecting real time data for crop monitoring through remote sensing to be fully operational in 2021. The data will be used for crop forecasting. The system will provide data on how much land is under cultivation of various types of crops. It will also provide monthly updates on status of any crops. The data is to be shared with the Ministry of Agriculture (Field Services). Field Services staff throughout the country will be trained to use the system to carry out crop forecasting.</w:t>
      </w:r>
    </w:p>
    <w:p w14:paraId="238CC2FC" w14:textId="55C83E47" w:rsidR="00AA051B" w:rsidRPr="00191ACB" w:rsidRDefault="00AA051B" w:rsidP="00A60A8C">
      <w:pPr>
        <w:spacing w:after="120" w:line="276" w:lineRule="auto"/>
        <w:jc w:val="both"/>
        <w:rPr>
          <w:rFonts w:ascii="Times New Roman" w:eastAsia="Times New Roman" w:hAnsi="Times New Roman" w:cs="Times New Roman"/>
          <w:color w:val="000000" w:themeColor="text1"/>
          <w:sz w:val="24"/>
          <w:szCs w:val="24"/>
          <w:lang w:eastAsia="x-none"/>
        </w:rPr>
      </w:pPr>
      <w:r w:rsidRPr="00191ACB">
        <w:rPr>
          <w:rFonts w:ascii="Times New Roman" w:eastAsia="Times New Roman" w:hAnsi="Times New Roman" w:cs="Times New Roman"/>
          <w:color w:val="000000" w:themeColor="text1"/>
          <w:sz w:val="24"/>
          <w:szCs w:val="24"/>
          <w:lang w:eastAsia="x-none"/>
        </w:rPr>
        <w:t xml:space="preserve">The MLNR and the MNDP have developed a mechanism (Dashboard) to track support received and actions taken on adaption and mitigation. The data and information are collected from projects work plans and progress reports that are provided to the Climate Change Technical Committee through the Department of Climate Change and Natural Resources. </w:t>
      </w:r>
    </w:p>
    <w:p w14:paraId="0D286230" w14:textId="77777777" w:rsidR="00AA051B" w:rsidRDefault="00AA051B" w:rsidP="00F96F9E">
      <w:pPr>
        <w:spacing w:after="120" w:line="240" w:lineRule="auto"/>
        <w:jc w:val="both"/>
        <w:rPr>
          <w:rFonts w:ascii="Times New Roman" w:eastAsia="Calibri" w:hAnsi="Times New Roman" w:cs="Times New Roman"/>
          <w:color w:val="000000" w:themeColor="text1"/>
          <w:sz w:val="24"/>
          <w:szCs w:val="24"/>
          <w:highlight w:val="yellow"/>
        </w:rPr>
      </w:pPr>
    </w:p>
    <w:p w14:paraId="61815026" w14:textId="53FD9976" w:rsidR="00FB476A" w:rsidRPr="00191ACB" w:rsidRDefault="00FB476A" w:rsidP="00A60A8C">
      <w:pPr>
        <w:spacing w:after="120" w:line="276" w:lineRule="auto"/>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 xml:space="preserve">Capacity, </w:t>
      </w:r>
      <w:r w:rsidR="00276386" w:rsidRPr="00191ACB">
        <w:rPr>
          <w:rFonts w:ascii="Times New Roman" w:eastAsia="Calibri" w:hAnsi="Times New Roman" w:cs="Times New Roman"/>
          <w:b/>
          <w:color w:val="000000" w:themeColor="text1"/>
          <w:sz w:val="24"/>
          <w:szCs w:val="24"/>
        </w:rPr>
        <w:t>F</w:t>
      </w:r>
      <w:r w:rsidRPr="00191ACB">
        <w:rPr>
          <w:rFonts w:ascii="Times New Roman" w:eastAsia="Calibri" w:hAnsi="Times New Roman" w:cs="Times New Roman"/>
          <w:b/>
          <w:color w:val="000000" w:themeColor="text1"/>
          <w:sz w:val="24"/>
          <w:szCs w:val="24"/>
        </w:rPr>
        <w:t xml:space="preserve">inancial and </w:t>
      </w:r>
      <w:r w:rsidR="00276386" w:rsidRPr="00191ACB">
        <w:rPr>
          <w:rFonts w:ascii="Times New Roman" w:eastAsia="Calibri" w:hAnsi="Times New Roman" w:cs="Times New Roman"/>
          <w:b/>
          <w:color w:val="000000" w:themeColor="text1"/>
          <w:sz w:val="24"/>
          <w:szCs w:val="24"/>
        </w:rPr>
        <w:t>T</w:t>
      </w:r>
      <w:r w:rsidRPr="00191ACB">
        <w:rPr>
          <w:rFonts w:ascii="Times New Roman" w:eastAsia="Calibri" w:hAnsi="Times New Roman" w:cs="Times New Roman"/>
          <w:b/>
          <w:color w:val="000000" w:themeColor="text1"/>
          <w:sz w:val="24"/>
          <w:szCs w:val="24"/>
        </w:rPr>
        <w:t>echnolog</w:t>
      </w:r>
      <w:r w:rsidR="000600F2" w:rsidRPr="00191ACB">
        <w:rPr>
          <w:rFonts w:ascii="Times New Roman" w:eastAsia="Calibri" w:hAnsi="Times New Roman" w:cs="Times New Roman"/>
          <w:b/>
          <w:color w:val="000000" w:themeColor="text1"/>
          <w:sz w:val="24"/>
          <w:szCs w:val="24"/>
        </w:rPr>
        <w:t>y Needs</w:t>
      </w:r>
    </w:p>
    <w:p w14:paraId="0AEE7747" w14:textId="5553654C" w:rsidR="004F4953" w:rsidRPr="00191ACB" w:rsidRDefault="00071F00" w:rsidP="00A60A8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Zambia received </w:t>
      </w:r>
      <w:r w:rsidR="000600F2" w:rsidRPr="00191ACB">
        <w:rPr>
          <w:rFonts w:ascii="Times New Roman" w:eastAsia="Calibri" w:hAnsi="Times New Roman" w:cs="Times New Roman"/>
          <w:color w:val="000000" w:themeColor="text1"/>
          <w:sz w:val="24"/>
          <w:szCs w:val="24"/>
        </w:rPr>
        <w:t xml:space="preserve">financial, technical and technological </w:t>
      </w:r>
      <w:r w:rsidRPr="00191ACB">
        <w:rPr>
          <w:rFonts w:ascii="Times New Roman" w:eastAsia="Calibri" w:hAnsi="Times New Roman" w:cs="Times New Roman"/>
          <w:color w:val="000000" w:themeColor="text1"/>
          <w:sz w:val="24"/>
          <w:szCs w:val="24"/>
        </w:rPr>
        <w:t xml:space="preserve">support from various cooperating partners as outlined in its Third National Communication (TNC) to the UNFCCC. </w:t>
      </w:r>
      <w:r w:rsidR="00FB476A" w:rsidRPr="00191ACB">
        <w:rPr>
          <w:rFonts w:ascii="Times New Roman" w:eastAsia="Calibri" w:hAnsi="Times New Roman" w:cs="Times New Roman"/>
          <w:color w:val="000000" w:themeColor="text1"/>
          <w:sz w:val="24"/>
          <w:szCs w:val="24"/>
        </w:rPr>
        <w:t xml:space="preserve">Other support received </w:t>
      </w:r>
      <w:r w:rsidRPr="00191ACB">
        <w:rPr>
          <w:rFonts w:ascii="Times New Roman" w:eastAsia="Calibri" w:hAnsi="Times New Roman" w:cs="Times New Roman"/>
          <w:color w:val="000000" w:themeColor="text1"/>
          <w:sz w:val="24"/>
          <w:szCs w:val="24"/>
        </w:rPr>
        <w:t>wa</w:t>
      </w:r>
      <w:r w:rsidR="00FB476A" w:rsidRPr="00191ACB">
        <w:rPr>
          <w:rFonts w:ascii="Times New Roman" w:eastAsia="Calibri" w:hAnsi="Times New Roman" w:cs="Times New Roman"/>
          <w:color w:val="000000" w:themeColor="text1"/>
          <w:sz w:val="24"/>
          <w:szCs w:val="24"/>
        </w:rPr>
        <w:t>s through the Nationally Determined Contributions Support Programme (NDC SP) which aim</w:t>
      </w:r>
      <w:r w:rsidRPr="00191ACB">
        <w:rPr>
          <w:rFonts w:ascii="Times New Roman" w:eastAsia="Calibri" w:hAnsi="Times New Roman" w:cs="Times New Roman"/>
          <w:color w:val="000000" w:themeColor="text1"/>
          <w:sz w:val="24"/>
          <w:szCs w:val="24"/>
        </w:rPr>
        <w:t>ed</w:t>
      </w:r>
      <w:r w:rsidR="00FB476A"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at</w:t>
      </w:r>
      <w:r w:rsidR="004F4953" w:rsidRPr="00191ACB">
        <w:rPr>
          <w:rFonts w:ascii="Times New Roman" w:eastAsia="Calibri" w:hAnsi="Times New Roman" w:cs="Times New Roman"/>
          <w:color w:val="000000" w:themeColor="text1"/>
          <w:sz w:val="24"/>
          <w:szCs w:val="24"/>
        </w:rPr>
        <w:t xml:space="preserve"> facilitating the</w:t>
      </w:r>
      <w:r w:rsidR="00FB476A" w:rsidRPr="00191ACB">
        <w:rPr>
          <w:rFonts w:ascii="Times New Roman" w:eastAsia="Calibri" w:hAnsi="Times New Roman" w:cs="Times New Roman"/>
          <w:color w:val="000000" w:themeColor="text1"/>
          <w:sz w:val="24"/>
          <w:szCs w:val="24"/>
        </w:rPr>
        <w:t xml:space="preserve"> implementation of</w:t>
      </w:r>
      <w:r w:rsidR="004F4953" w:rsidRPr="00191ACB">
        <w:rPr>
          <w:rFonts w:ascii="Times New Roman" w:eastAsia="Calibri" w:hAnsi="Times New Roman" w:cs="Times New Roman"/>
          <w:color w:val="000000" w:themeColor="text1"/>
          <w:sz w:val="24"/>
          <w:szCs w:val="24"/>
        </w:rPr>
        <w:t xml:space="preserve"> Zambia’s NDC and NDC partnership aimed at facilitating the revision of Zambia’s NDC</w:t>
      </w:r>
      <w:r w:rsidR="00FB476A" w:rsidRPr="00191ACB">
        <w:rPr>
          <w:rFonts w:ascii="Times New Roman" w:eastAsia="Calibri" w:hAnsi="Times New Roman" w:cs="Times New Roman"/>
          <w:color w:val="000000" w:themeColor="text1"/>
          <w:sz w:val="24"/>
          <w:szCs w:val="24"/>
        </w:rPr>
        <w:t xml:space="preserve">. </w:t>
      </w:r>
    </w:p>
    <w:p w14:paraId="38ECACBA" w14:textId="630E83E7" w:rsidR="00FB476A" w:rsidRPr="00191ACB" w:rsidRDefault="00FB476A" w:rsidP="00A60A8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lastRenderedPageBreak/>
        <w:t xml:space="preserve">The </w:t>
      </w:r>
      <w:r w:rsidR="004F4953" w:rsidRPr="00191ACB">
        <w:rPr>
          <w:rFonts w:ascii="Times New Roman" w:eastAsia="Calibri" w:hAnsi="Times New Roman" w:cs="Times New Roman"/>
          <w:color w:val="000000" w:themeColor="text1"/>
          <w:sz w:val="24"/>
          <w:szCs w:val="24"/>
        </w:rPr>
        <w:t xml:space="preserve">country has identified </w:t>
      </w:r>
      <w:r w:rsidRPr="00191ACB">
        <w:rPr>
          <w:rFonts w:ascii="Times New Roman" w:eastAsia="Calibri" w:hAnsi="Times New Roman" w:cs="Times New Roman"/>
          <w:color w:val="000000" w:themeColor="text1"/>
          <w:sz w:val="24"/>
          <w:szCs w:val="24"/>
        </w:rPr>
        <w:t xml:space="preserve">some capacity building needs </w:t>
      </w:r>
      <w:r w:rsidR="001462B5" w:rsidRPr="00191ACB">
        <w:rPr>
          <w:rFonts w:ascii="Times New Roman" w:eastAsia="Calibri" w:hAnsi="Times New Roman" w:cs="Times New Roman"/>
          <w:color w:val="000000" w:themeColor="text1"/>
          <w:sz w:val="24"/>
          <w:szCs w:val="24"/>
        </w:rPr>
        <w:t>in the areas of data collection under the GHG inventory</w:t>
      </w:r>
      <w:r w:rsidR="00DA0FB7" w:rsidRPr="00191ACB">
        <w:rPr>
          <w:rFonts w:ascii="Times New Roman" w:eastAsia="Calibri" w:hAnsi="Times New Roman" w:cs="Times New Roman"/>
          <w:color w:val="000000" w:themeColor="text1"/>
          <w:sz w:val="24"/>
          <w:szCs w:val="24"/>
        </w:rPr>
        <w:t>, data information systems, modeling, reporting and verification and data collection tools and equipment</w:t>
      </w:r>
      <w:r w:rsidR="004F4953" w:rsidRPr="00191ACB">
        <w:rPr>
          <w:rFonts w:ascii="Times New Roman" w:eastAsia="Calibri" w:hAnsi="Times New Roman" w:cs="Times New Roman"/>
          <w:color w:val="000000" w:themeColor="text1"/>
          <w:sz w:val="24"/>
          <w:szCs w:val="24"/>
        </w:rPr>
        <w:t>.</w:t>
      </w:r>
      <w:r w:rsidR="00BF4560" w:rsidRPr="00191ACB">
        <w:rPr>
          <w:rFonts w:ascii="Times New Roman" w:eastAsia="Calibri" w:hAnsi="Times New Roman" w:cs="Times New Roman"/>
          <w:color w:val="000000" w:themeColor="text1"/>
          <w:sz w:val="24"/>
          <w:szCs w:val="24"/>
        </w:rPr>
        <w:t xml:space="preserve"> Further,</w:t>
      </w:r>
      <w:r w:rsidR="004F4953" w:rsidRPr="00191ACB">
        <w:rPr>
          <w:rFonts w:ascii="Times New Roman" w:eastAsia="Calibri" w:hAnsi="Times New Roman" w:cs="Times New Roman"/>
          <w:color w:val="000000" w:themeColor="text1"/>
          <w:sz w:val="24"/>
          <w:szCs w:val="24"/>
        </w:rPr>
        <w:t xml:space="preserve"> </w:t>
      </w:r>
      <w:r w:rsidR="00BF4560" w:rsidRPr="00191ACB">
        <w:rPr>
          <w:rFonts w:ascii="Times New Roman" w:eastAsia="Calibri" w:hAnsi="Times New Roman" w:cs="Times New Roman"/>
          <w:color w:val="000000" w:themeColor="text1"/>
          <w:sz w:val="24"/>
          <w:szCs w:val="24"/>
        </w:rPr>
        <w:t>Zambia’s implementation of its NDC ambition requires substantial international support and leveraging on private sector-led initiatives.</w:t>
      </w:r>
    </w:p>
    <w:p w14:paraId="3FC793F0" w14:textId="537517E8" w:rsidR="00FB476A" w:rsidRPr="00191ACB" w:rsidRDefault="00FB476A" w:rsidP="00F96F9E">
      <w:pPr>
        <w:spacing w:after="120" w:line="240" w:lineRule="auto"/>
        <w:jc w:val="both"/>
        <w:rPr>
          <w:rFonts w:ascii="Times New Roman" w:hAnsi="Times New Roman" w:cs="Times New Roman"/>
          <w:color w:val="000000" w:themeColor="text1"/>
          <w:sz w:val="24"/>
          <w:szCs w:val="24"/>
        </w:rPr>
      </w:pPr>
    </w:p>
    <w:p w14:paraId="4E22FF90" w14:textId="0EFF4DD9" w:rsidR="00BC6CFF" w:rsidRPr="00191ACB" w:rsidRDefault="00BC6CFF" w:rsidP="00F96F9E">
      <w:pPr>
        <w:spacing w:after="120" w:line="240" w:lineRule="auto"/>
        <w:jc w:val="both"/>
        <w:rPr>
          <w:rFonts w:ascii="Times New Roman" w:hAnsi="Times New Roman" w:cs="Times New Roman"/>
          <w:color w:val="000000" w:themeColor="text1"/>
          <w:sz w:val="24"/>
          <w:szCs w:val="24"/>
        </w:rPr>
      </w:pPr>
    </w:p>
    <w:p w14:paraId="735A47DC" w14:textId="3DB9024F" w:rsidR="00BC6CFF" w:rsidRPr="00191ACB" w:rsidRDefault="00BC6CFF" w:rsidP="00F96F9E">
      <w:pPr>
        <w:spacing w:after="120" w:line="240" w:lineRule="auto"/>
        <w:jc w:val="both"/>
        <w:rPr>
          <w:rFonts w:ascii="Times New Roman" w:hAnsi="Times New Roman" w:cs="Times New Roman"/>
          <w:color w:val="000000" w:themeColor="text1"/>
          <w:sz w:val="24"/>
          <w:szCs w:val="24"/>
        </w:rPr>
      </w:pPr>
    </w:p>
    <w:p w14:paraId="3F785706" w14:textId="77777777" w:rsidR="00BC6CFF" w:rsidRPr="00191ACB" w:rsidRDefault="00BC6CFF" w:rsidP="00F96F9E">
      <w:pPr>
        <w:spacing w:after="120" w:line="240" w:lineRule="auto"/>
        <w:jc w:val="both"/>
        <w:rPr>
          <w:rFonts w:ascii="Times New Roman" w:hAnsi="Times New Roman" w:cs="Times New Roman"/>
          <w:color w:val="000000" w:themeColor="text1"/>
          <w:sz w:val="24"/>
          <w:szCs w:val="24"/>
        </w:rPr>
        <w:sectPr w:rsidR="00BC6CFF" w:rsidRPr="00191ACB" w:rsidSect="00BD52A9">
          <w:pgSz w:w="12240" w:h="15840"/>
          <w:pgMar w:top="1008" w:right="1008" w:bottom="1008" w:left="1440" w:header="720" w:footer="720" w:gutter="0"/>
          <w:pgNumType w:fmt="lowerRoman" w:start="1"/>
          <w:cols w:space="720"/>
          <w:titlePg/>
          <w:docGrid w:linePitch="299"/>
        </w:sectPr>
      </w:pPr>
    </w:p>
    <w:p w14:paraId="346506CD" w14:textId="0B349913" w:rsidR="00A307C3" w:rsidRPr="00191ACB" w:rsidRDefault="00A307C3" w:rsidP="00E435F6">
      <w:pPr>
        <w:pStyle w:val="Heading1"/>
        <w:numPr>
          <w:ilvl w:val="0"/>
          <w:numId w:val="50"/>
        </w:numPr>
        <w:rPr>
          <w:rFonts w:ascii="Times New Roman" w:hAnsi="Times New Roman" w:cs="Times New Roman"/>
          <w:b/>
          <w:bCs/>
          <w:color w:val="auto"/>
          <w:sz w:val="24"/>
          <w:szCs w:val="24"/>
        </w:rPr>
      </w:pPr>
      <w:bookmarkStart w:id="7" w:name="_Toc57902790"/>
      <w:r w:rsidRPr="00191ACB">
        <w:rPr>
          <w:rFonts w:ascii="Times New Roman" w:hAnsi="Times New Roman" w:cs="Times New Roman"/>
          <w:b/>
          <w:bCs/>
          <w:color w:val="auto"/>
          <w:sz w:val="24"/>
          <w:szCs w:val="24"/>
        </w:rPr>
        <w:lastRenderedPageBreak/>
        <w:t>INTRODUCTION</w:t>
      </w:r>
      <w:bookmarkEnd w:id="7"/>
    </w:p>
    <w:p w14:paraId="7CC77731" w14:textId="77777777" w:rsidR="00D51275" w:rsidRPr="00191ACB" w:rsidRDefault="00D51275" w:rsidP="00D51275">
      <w:pPr>
        <w:rPr>
          <w:rFonts w:ascii="Times New Roman" w:hAnsi="Times New Roman" w:cs="Times New Roman"/>
          <w:sz w:val="24"/>
          <w:szCs w:val="24"/>
        </w:rPr>
      </w:pPr>
    </w:p>
    <w:p w14:paraId="538FACA1" w14:textId="46C9E546" w:rsidR="00A307C3" w:rsidRPr="00191ACB" w:rsidRDefault="00A307C3" w:rsidP="00A60A8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This report presents Zambia’s first Biennial Update Report (BUR) to the United Nations Framework Convention on Climate Change (UNFCCC). The Convention was adopted by parties at the World Summit on Sustainable Development in 1992 and entered into force in 1994. Its objective is to stabilize greenhouse gas concentrations in the atmosphere to levels that would prevent dangerous anthropogenic interference with the climate syste</w:t>
      </w:r>
      <w:r w:rsidR="004F2377" w:rsidRPr="00191ACB">
        <w:rPr>
          <w:rFonts w:ascii="Times New Roman" w:eastAsia="Calibri" w:hAnsi="Times New Roman" w:cs="Times New Roman"/>
          <w:color w:val="000000" w:themeColor="text1"/>
          <w:sz w:val="24"/>
          <w:szCs w:val="24"/>
        </w:rPr>
        <w:t>m</w:t>
      </w:r>
      <w:r w:rsidRPr="00191ACB">
        <w:rPr>
          <w:rFonts w:ascii="Times New Roman" w:eastAsia="Calibri" w:hAnsi="Times New Roman" w:cs="Times New Roman"/>
          <w:color w:val="000000" w:themeColor="text1"/>
          <w:sz w:val="24"/>
          <w:szCs w:val="24"/>
        </w:rPr>
        <w:t>. As part of the global response to climate change, Zambia signed the UNFCCC on 11</w:t>
      </w:r>
      <w:r w:rsidRPr="00191ACB">
        <w:rPr>
          <w:rFonts w:ascii="Times New Roman" w:eastAsia="Calibri" w:hAnsi="Times New Roman" w:cs="Times New Roman"/>
          <w:color w:val="000000" w:themeColor="text1"/>
          <w:sz w:val="24"/>
          <w:szCs w:val="24"/>
          <w:vertAlign w:val="superscript"/>
        </w:rPr>
        <w:t>th</w:t>
      </w:r>
      <w:r w:rsidRPr="00191ACB">
        <w:rPr>
          <w:rFonts w:ascii="Times New Roman" w:eastAsia="Calibri" w:hAnsi="Times New Roman" w:cs="Times New Roman"/>
          <w:color w:val="000000" w:themeColor="text1"/>
          <w:sz w:val="24"/>
          <w:szCs w:val="24"/>
        </w:rPr>
        <w:t xml:space="preserve"> June 1992 and ratified it on the 28</w:t>
      </w:r>
      <w:r w:rsidRPr="00191ACB">
        <w:rPr>
          <w:rFonts w:ascii="Times New Roman" w:eastAsia="Calibri" w:hAnsi="Times New Roman" w:cs="Times New Roman"/>
          <w:color w:val="000000" w:themeColor="text1"/>
          <w:sz w:val="24"/>
          <w:szCs w:val="24"/>
          <w:vertAlign w:val="superscript"/>
        </w:rPr>
        <w:t>th</w:t>
      </w:r>
      <w:r w:rsidRPr="00191ACB">
        <w:rPr>
          <w:rFonts w:ascii="Times New Roman" w:eastAsia="Calibri" w:hAnsi="Times New Roman" w:cs="Times New Roman"/>
          <w:color w:val="000000" w:themeColor="text1"/>
          <w:sz w:val="24"/>
          <w:szCs w:val="24"/>
        </w:rPr>
        <w:t xml:space="preserve"> of May 1993. Zambia also ratified the Kyoto Protocol on 6</w:t>
      </w:r>
      <w:r w:rsidRPr="00191ACB">
        <w:rPr>
          <w:rFonts w:ascii="Times New Roman" w:eastAsia="Calibri" w:hAnsi="Times New Roman" w:cs="Times New Roman"/>
          <w:color w:val="000000" w:themeColor="text1"/>
          <w:sz w:val="24"/>
          <w:szCs w:val="24"/>
          <w:vertAlign w:val="superscript"/>
        </w:rPr>
        <w:t>th</w:t>
      </w:r>
      <w:r w:rsidRPr="00191ACB">
        <w:rPr>
          <w:rFonts w:ascii="Times New Roman" w:eastAsia="Calibri" w:hAnsi="Times New Roman" w:cs="Times New Roman"/>
          <w:color w:val="000000" w:themeColor="text1"/>
          <w:sz w:val="24"/>
          <w:szCs w:val="24"/>
        </w:rPr>
        <w:t xml:space="preserve"> July 2006. The Kyoto Protocol is an international </w:t>
      </w:r>
      <w:hyperlink r:id="rId21" w:tooltip="Treaty" w:history="1">
        <w:r w:rsidRPr="00191ACB">
          <w:rPr>
            <w:rFonts w:ascii="Times New Roman" w:eastAsia="Calibri" w:hAnsi="Times New Roman" w:cs="Times New Roman"/>
            <w:color w:val="000000" w:themeColor="text1"/>
            <w:sz w:val="24"/>
            <w:szCs w:val="24"/>
          </w:rPr>
          <w:t>treaty</w:t>
        </w:r>
      </w:hyperlink>
      <w:r w:rsidRPr="00191ACB">
        <w:rPr>
          <w:rFonts w:ascii="Times New Roman" w:eastAsia="Calibri" w:hAnsi="Times New Roman" w:cs="Times New Roman"/>
          <w:color w:val="000000" w:themeColor="text1"/>
          <w:sz w:val="24"/>
          <w:szCs w:val="24"/>
        </w:rPr>
        <w:t xml:space="preserve"> which extends the 1992 UNFCCC and commits state parties to reduce </w:t>
      </w:r>
      <w:hyperlink r:id="rId22" w:tooltip="Greenhouse gas" w:history="1">
        <w:r w:rsidRPr="00191ACB">
          <w:rPr>
            <w:rFonts w:ascii="Times New Roman" w:eastAsia="Calibri" w:hAnsi="Times New Roman" w:cs="Times New Roman"/>
            <w:color w:val="000000" w:themeColor="text1"/>
            <w:sz w:val="24"/>
            <w:szCs w:val="24"/>
          </w:rPr>
          <w:t>greenhouse gas</w:t>
        </w:r>
      </w:hyperlink>
      <w:r w:rsidRPr="00191ACB">
        <w:rPr>
          <w:rFonts w:ascii="Times New Roman" w:eastAsia="Calibri" w:hAnsi="Times New Roman" w:cs="Times New Roman"/>
          <w:color w:val="000000" w:themeColor="text1"/>
          <w:sz w:val="24"/>
          <w:szCs w:val="24"/>
        </w:rPr>
        <w:t xml:space="preserve"> emissions, based on the </w:t>
      </w:r>
      <w:hyperlink r:id="rId23" w:tooltip="Scientific opinion on climate change" w:history="1">
        <w:r w:rsidRPr="00191ACB">
          <w:rPr>
            <w:rFonts w:ascii="Times New Roman" w:eastAsia="Calibri" w:hAnsi="Times New Roman" w:cs="Times New Roman"/>
            <w:color w:val="000000" w:themeColor="text1"/>
            <w:sz w:val="24"/>
            <w:szCs w:val="24"/>
          </w:rPr>
          <w:t>scientific consensus</w:t>
        </w:r>
      </w:hyperlink>
      <w:r w:rsidRPr="00191ACB">
        <w:rPr>
          <w:rFonts w:ascii="Times New Roman" w:eastAsia="Calibri" w:hAnsi="Times New Roman" w:cs="Times New Roman"/>
          <w:color w:val="000000" w:themeColor="text1"/>
          <w:sz w:val="24"/>
          <w:szCs w:val="24"/>
        </w:rPr>
        <w:t xml:space="preserve"> that </w:t>
      </w:r>
      <w:hyperlink r:id="rId24" w:tooltip="Global warming" w:history="1">
        <w:r w:rsidRPr="00191ACB">
          <w:rPr>
            <w:rFonts w:ascii="Times New Roman" w:eastAsia="Calibri" w:hAnsi="Times New Roman" w:cs="Times New Roman"/>
            <w:color w:val="000000" w:themeColor="text1"/>
            <w:sz w:val="24"/>
            <w:szCs w:val="24"/>
          </w:rPr>
          <w:t>global warming</w:t>
        </w:r>
      </w:hyperlink>
      <w:r w:rsidRPr="00191ACB">
        <w:rPr>
          <w:rFonts w:ascii="Times New Roman" w:eastAsia="Calibri" w:hAnsi="Times New Roman" w:cs="Times New Roman"/>
          <w:color w:val="000000" w:themeColor="text1"/>
          <w:sz w:val="24"/>
          <w:szCs w:val="24"/>
        </w:rPr>
        <w:t xml:space="preserve"> is occurring and it is extremely likely that human-made </w:t>
      </w:r>
      <w:hyperlink r:id="rId25" w:tooltip="Carbon dioxide in Earth's atmosphere" w:history="1">
        <w:r w:rsidRPr="00191ACB">
          <w:rPr>
            <w:rFonts w:ascii="Times New Roman" w:eastAsia="Calibri" w:hAnsi="Times New Roman" w:cs="Times New Roman"/>
            <w:color w:val="000000" w:themeColor="text1"/>
            <w:sz w:val="24"/>
            <w:szCs w:val="24"/>
          </w:rPr>
          <w:t>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emissions</w:t>
        </w:r>
      </w:hyperlink>
      <w:r w:rsidRPr="00191ACB">
        <w:rPr>
          <w:rFonts w:ascii="Times New Roman" w:eastAsia="Calibri" w:hAnsi="Times New Roman" w:cs="Times New Roman"/>
          <w:color w:val="000000" w:themeColor="text1"/>
          <w:sz w:val="24"/>
          <w:szCs w:val="24"/>
        </w:rPr>
        <w:t xml:space="preserve"> have predominantly caused it.</w:t>
      </w:r>
    </w:p>
    <w:p w14:paraId="49DE7D4C" w14:textId="25806E3C" w:rsidR="00A307C3" w:rsidRPr="00191ACB" w:rsidRDefault="00540C26" w:rsidP="00A60A8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w:t>
      </w:r>
      <w:r w:rsidR="00A307C3" w:rsidRPr="00191ACB">
        <w:rPr>
          <w:rFonts w:ascii="Times New Roman" w:eastAsia="Calibri" w:hAnsi="Times New Roman" w:cs="Times New Roman"/>
          <w:color w:val="000000" w:themeColor="text1"/>
          <w:sz w:val="24"/>
          <w:szCs w:val="24"/>
        </w:rPr>
        <w:t>Government of the Republic of Zambia</w:t>
      </w:r>
      <w:r w:rsidRPr="00191ACB">
        <w:rPr>
          <w:rFonts w:ascii="Times New Roman" w:eastAsia="Calibri" w:hAnsi="Times New Roman" w:cs="Times New Roman"/>
          <w:color w:val="000000" w:themeColor="text1"/>
          <w:sz w:val="24"/>
          <w:szCs w:val="24"/>
        </w:rPr>
        <w:t xml:space="preserve"> submitted its Nationally Determined Contribution (NDC) to the UNFCCC in 2015 and </w:t>
      </w:r>
      <w:r w:rsidR="00A307C3" w:rsidRPr="00191ACB">
        <w:rPr>
          <w:rFonts w:ascii="Times New Roman" w:eastAsia="Calibri" w:hAnsi="Times New Roman" w:cs="Times New Roman"/>
          <w:color w:val="000000" w:themeColor="text1"/>
          <w:sz w:val="24"/>
          <w:szCs w:val="24"/>
        </w:rPr>
        <w:t>ratified</w:t>
      </w:r>
      <w:r w:rsidRPr="00191ACB">
        <w:rPr>
          <w:rFonts w:ascii="Times New Roman" w:eastAsia="Calibri" w:hAnsi="Times New Roman" w:cs="Times New Roman"/>
          <w:color w:val="000000" w:themeColor="text1"/>
          <w:sz w:val="24"/>
          <w:szCs w:val="24"/>
        </w:rPr>
        <w:t xml:space="preserve"> the Paris Agreement</w:t>
      </w:r>
      <w:r w:rsidR="00A307C3" w:rsidRPr="00191ACB">
        <w:rPr>
          <w:rFonts w:ascii="Times New Roman" w:eastAsia="Calibri" w:hAnsi="Times New Roman" w:cs="Times New Roman"/>
          <w:color w:val="000000" w:themeColor="text1"/>
          <w:sz w:val="24"/>
          <w:szCs w:val="24"/>
        </w:rPr>
        <w:t xml:space="preserve"> on 10</w:t>
      </w:r>
      <w:r w:rsidR="00A307C3" w:rsidRPr="00191ACB">
        <w:rPr>
          <w:rFonts w:ascii="Times New Roman" w:eastAsia="Calibri" w:hAnsi="Times New Roman" w:cs="Times New Roman"/>
          <w:color w:val="000000" w:themeColor="text1"/>
          <w:sz w:val="24"/>
          <w:szCs w:val="24"/>
          <w:vertAlign w:val="superscript"/>
        </w:rPr>
        <w:t>th</w:t>
      </w:r>
      <w:r w:rsidR="00A307C3" w:rsidRPr="00191ACB">
        <w:rPr>
          <w:rFonts w:ascii="Times New Roman" w:eastAsia="Calibri" w:hAnsi="Times New Roman" w:cs="Times New Roman"/>
          <w:color w:val="000000" w:themeColor="text1"/>
          <w:sz w:val="24"/>
          <w:szCs w:val="24"/>
        </w:rPr>
        <w:t xml:space="preserve"> November 2016. The Paris Agreement seeks to hold the increase in the global average temperature to well below 2 °C above preindustrial levels and pursuing efforts to limit the temperature increase to 1.5 °C above preindustrial levels. </w:t>
      </w:r>
    </w:p>
    <w:p w14:paraId="77799A28" w14:textId="7F105121" w:rsidR="00A307C3" w:rsidRPr="00191ACB" w:rsidRDefault="00A307C3" w:rsidP="00A60A8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According to decision 2/CP.17, paragraph 41(a), Parties not included in Annex I to the Convention (non-Annex I Parties), consistently with their capabilities and the level of support provided for reporting, were to submit their first </w:t>
      </w:r>
      <w:r w:rsidR="00B00930" w:rsidRPr="00191ACB">
        <w:rPr>
          <w:rFonts w:ascii="Times New Roman" w:eastAsia="Calibri" w:hAnsi="Times New Roman" w:cs="Times New Roman"/>
          <w:color w:val="000000" w:themeColor="text1"/>
          <w:sz w:val="24"/>
          <w:szCs w:val="24"/>
        </w:rPr>
        <w:t xml:space="preserve">Biennial Update Report </w:t>
      </w:r>
      <w:r w:rsidRPr="00191ACB">
        <w:rPr>
          <w:rFonts w:ascii="Times New Roman" w:eastAsia="Calibri" w:hAnsi="Times New Roman" w:cs="Times New Roman"/>
          <w:color w:val="000000" w:themeColor="text1"/>
          <w:sz w:val="24"/>
          <w:szCs w:val="24"/>
        </w:rPr>
        <w:t xml:space="preserve">(BUR) by December 2014. Further, paragraph 41(f) of that decision states that non-Annex I Parties shall submit a BUR every two years, either as a summary of parts of their national communication in the year in which the national communication is submitted or as a stand-alone update report. As mandated, the </w:t>
      </w:r>
      <w:r w:rsidR="00B00930" w:rsidRPr="00191ACB">
        <w:rPr>
          <w:rFonts w:ascii="Times New Roman" w:eastAsia="Calibri" w:hAnsi="Times New Roman" w:cs="Times New Roman"/>
          <w:color w:val="000000" w:themeColor="text1"/>
          <w:sz w:val="24"/>
          <w:szCs w:val="24"/>
        </w:rPr>
        <w:t xml:space="preserve">Least Developed Country (LDC) </w:t>
      </w:r>
      <w:r w:rsidRPr="00191ACB">
        <w:rPr>
          <w:rFonts w:ascii="Times New Roman" w:eastAsia="Calibri" w:hAnsi="Times New Roman" w:cs="Times New Roman"/>
          <w:color w:val="000000" w:themeColor="text1"/>
          <w:sz w:val="24"/>
          <w:szCs w:val="24"/>
        </w:rPr>
        <w:t xml:space="preserve">Parties and </w:t>
      </w:r>
      <w:r w:rsidR="00B00930" w:rsidRPr="00191ACB">
        <w:rPr>
          <w:rFonts w:ascii="Times New Roman" w:eastAsia="Calibri" w:hAnsi="Times New Roman" w:cs="Times New Roman"/>
          <w:color w:val="000000" w:themeColor="text1"/>
          <w:sz w:val="24"/>
          <w:szCs w:val="24"/>
        </w:rPr>
        <w:t>Small Island Developing S</w:t>
      </w:r>
      <w:r w:rsidRPr="00191ACB">
        <w:rPr>
          <w:rFonts w:ascii="Times New Roman" w:eastAsia="Calibri" w:hAnsi="Times New Roman" w:cs="Times New Roman"/>
          <w:color w:val="000000" w:themeColor="text1"/>
          <w:sz w:val="24"/>
          <w:szCs w:val="24"/>
        </w:rPr>
        <w:t xml:space="preserve">tates </w:t>
      </w:r>
      <w:r w:rsidR="00B00930" w:rsidRPr="00191ACB">
        <w:rPr>
          <w:rFonts w:ascii="Times New Roman" w:eastAsia="Calibri" w:hAnsi="Times New Roman" w:cs="Times New Roman"/>
          <w:color w:val="000000" w:themeColor="text1"/>
          <w:sz w:val="24"/>
          <w:szCs w:val="24"/>
        </w:rPr>
        <w:t xml:space="preserve">(SIDs) </w:t>
      </w:r>
      <w:r w:rsidRPr="00191ACB">
        <w:rPr>
          <w:rFonts w:ascii="Times New Roman" w:eastAsia="Calibri" w:hAnsi="Times New Roman" w:cs="Times New Roman"/>
          <w:color w:val="000000" w:themeColor="text1"/>
          <w:sz w:val="24"/>
          <w:szCs w:val="24"/>
        </w:rPr>
        <w:t xml:space="preserve">may submit BURs at their discretion. BURs are intended to provide updates on actions undertaken by a Party to implement the Convention. </w:t>
      </w:r>
    </w:p>
    <w:p w14:paraId="20A9B928" w14:textId="0D0E92E6" w:rsidR="0017785E" w:rsidRPr="00191ACB" w:rsidRDefault="00A307C3" w:rsidP="00A60A8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BUR is prepared on the basis of guidelines contained in annex III to decision 2/CP.17</w:t>
      </w:r>
      <w:r w:rsidR="00285A8A" w:rsidRPr="00191ACB">
        <w:rPr>
          <w:rFonts w:ascii="Times New Roman" w:eastAsia="Calibri" w:hAnsi="Times New Roman" w:cs="Times New Roman"/>
          <w:color w:val="000000" w:themeColor="text1"/>
          <w:sz w:val="24"/>
          <w:szCs w:val="24"/>
        </w:rPr>
        <w:t xml:space="preserve"> </w:t>
      </w:r>
      <w:r w:rsidR="0017785E" w:rsidRPr="00191ACB">
        <w:rPr>
          <w:rFonts w:ascii="Times New Roman" w:eastAsia="Calibri" w:hAnsi="Times New Roman" w:cs="Times New Roman"/>
          <w:color w:val="000000" w:themeColor="text1"/>
          <w:sz w:val="24"/>
          <w:szCs w:val="24"/>
        </w:rPr>
        <w:t xml:space="preserve">and </w:t>
      </w:r>
      <w:r w:rsidR="00285A8A" w:rsidRPr="00191ACB">
        <w:rPr>
          <w:rFonts w:ascii="Times New Roman" w:eastAsia="Calibri" w:hAnsi="Times New Roman" w:cs="Times New Roman"/>
          <w:color w:val="000000" w:themeColor="text1"/>
          <w:sz w:val="24"/>
          <w:szCs w:val="24"/>
        </w:rPr>
        <w:t>in accordance with Decision 1/CP.16, paragraph 60 (c) of the Convention</w:t>
      </w:r>
      <w:r w:rsidRPr="00191ACB">
        <w:rPr>
          <w:rFonts w:ascii="Times New Roman" w:eastAsia="Calibri" w:hAnsi="Times New Roman" w:cs="Times New Roman"/>
          <w:color w:val="000000" w:themeColor="text1"/>
          <w:sz w:val="24"/>
          <w:szCs w:val="24"/>
        </w:rPr>
        <w:t>. The report provides the status of Zambia’s greenhouse gas emissions and removals by sinks, as well as on the actions to reduce emissions or enhance sinks</w:t>
      </w:r>
      <w:r w:rsidR="00285A8A"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and support needed and received to implement the</w:t>
      </w:r>
      <w:r w:rsidR="00285A8A" w:rsidRPr="00191ACB">
        <w:rPr>
          <w:rFonts w:ascii="Times New Roman" w:eastAsia="Calibri" w:hAnsi="Times New Roman" w:cs="Times New Roman"/>
          <w:color w:val="000000" w:themeColor="text1"/>
          <w:sz w:val="24"/>
          <w:szCs w:val="24"/>
        </w:rPr>
        <w:t xml:space="preserve"> said</w:t>
      </w:r>
      <w:r w:rsidRPr="00191ACB">
        <w:rPr>
          <w:rFonts w:ascii="Times New Roman" w:eastAsia="Calibri" w:hAnsi="Times New Roman" w:cs="Times New Roman"/>
          <w:color w:val="000000" w:themeColor="text1"/>
          <w:sz w:val="24"/>
          <w:szCs w:val="24"/>
        </w:rPr>
        <w:t xml:space="preserve"> actions. </w:t>
      </w:r>
    </w:p>
    <w:p w14:paraId="03262E84" w14:textId="28B36683" w:rsidR="0017785E" w:rsidRPr="00191ACB" w:rsidRDefault="0017785E" w:rsidP="00A60A8C">
      <w:pPr>
        <w:tabs>
          <w:tab w:val="right" w:pos="9792"/>
        </w:tabs>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br w:type="page"/>
      </w:r>
    </w:p>
    <w:p w14:paraId="519E5BEE" w14:textId="523DACDE" w:rsidR="00A6379A" w:rsidRPr="00191ACB" w:rsidRDefault="00A6379A" w:rsidP="00E435F6">
      <w:pPr>
        <w:pStyle w:val="Heading1"/>
        <w:numPr>
          <w:ilvl w:val="0"/>
          <w:numId w:val="36"/>
        </w:numPr>
        <w:spacing w:after="120" w:line="240" w:lineRule="auto"/>
        <w:rPr>
          <w:rFonts w:ascii="Times New Roman" w:hAnsi="Times New Roman" w:cs="Times New Roman"/>
          <w:b/>
          <w:color w:val="000000" w:themeColor="text1"/>
          <w:sz w:val="24"/>
          <w:szCs w:val="24"/>
        </w:rPr>
      </w:pPr>
      <w:bookmarkStart w:id="8" w:name="_Toc57902791"/>
      <w:r w:rsidRPr="00191ACB">
        <w:rPr>
          <w:rFonts w:ascii="Times New Roman" w:hAnsi="Times New Roman" w:cs="Times New Roman"/>
          <w:b/>
          <w:color w:val="000000" w:themeColor="text1"/>
          <w:sz w:val="24"/>
          <w:szCs w:val="24"/>
        </w:rPr>
        <w:lastRenderedPageBreak/>
        <w:t>NATIONAL CIRCUMSTANCES</w:t>
      </w:r>
      <w:bookmarkEnd w:id="8"/>
    </w:p>
    <w:p w14:paraId="418021CC" w14:textId="4E220FB7" w:rsidR="005C019B" w:rsidRPr="00191ACB" w:rsidRDefault="005C019B" w:rsidP="00A60A8C">
      <w:pPr>
        <w:spacing w:line="276" w:lineRule="auto"/>
        <w:jc w:val="both"/>
        <w:rPr>
          <w:rFonts w:ascii="Times New Roman" w:hAnsi="Times New Roman" w:cs="Times New Roman"/>
          <w:sz w:val="24"/>
          <w:szCs w:val="24"/>
        </w:rPr>
      </w:pPr>
      <w:r w:rsidRPr="00191ACB">
        <w:rPr>
          <w:rFonts w:ascii="Times New Roman" w:hAnsi="Times New Roman" w:cs="Times New Roman"/>
          <w:color w:val="000000" w:themeColor="text1"/>
          <w:sz w:val="24"/>
          <w:szCs w:val="24"/>
        </w:rPr>
        <w:t>This section provides an update of the changing national circumstances that are relevant to climate change in Zambia. It also gives the country’s socio-economic development perspectives and priorities including policy, legal framework and institutional arrangement relevant to climate change</w:t>
      </w:r>
      <w:r w:rsidRPr="00191ACB">
        <w:rPr>
          <w:rFonts w:ascii="Times New Roman" w:hAnsi="Times New Roman" w:cs="Times New Roman"/>
          <w:sz w:val="24"/>
          <w:szCs w:val="24"/>
        </w:rPr>
        <w:t xml:space="preserve">. </w:t>
      </w:r>
    </w:p>
    <w:p w14:paraId="4339A2A9" w14:textId="227BA36A" w:rsidR="00EB3A24" w:rsidRPr="00191ACB" w:rsidRDefault="00EB3A24" w:rsidP="00B916C3">
      <w:pPr>
        <w:pStyle w:val="Heading2"/>
        <w:numPr>
          <w:ilvl w:val="1"/>
          <w:numId w:val="36"/>
        </w:numPr>
        <w:spacing w:before="200" w:after="120" w:line="240" w:lineRule="auto"/>
        <w:ind w:left="567" w:hanging="567"/>
        <w:rPr>
          <w:rFonts w:ascii="Times New Roman" w:hAnsi="Times New Roman" w:cs="Times New Roman"/>
          <w:b/>
          <w:color w:val="000000" w:themeColor="text1"/>
          <w:sz w:val="24"/>
          <w:szCs w:val="24"/>
        </w:rPr>
      </w:pPr>
      <w:bookmarkStart w:id="9" w:name="_Toc57902792"/>
      <w:r w:rsidRPr="00191ACB">
        <w:rPr>
          <w:rFonts w:ascii="Times New Roman" w:hAnsi="Times New Roman" w:cs="Times New Roman"/>
          <w:b/>
          <w:color w:val="000000" w:themeColor="text1"/>
          <w:sz w:val="24"/>
          <w:szCs w:val="24"/>
        </w:rPr>
        <w:t xml:space="preserve">Geographical </w:t>
      </w:r>
      <w:r w:rsidR="00BF017E" w:rsidRPr="00191ACB">
        <w:rPr>
          <w:rFonts w:ascii="Times New Roman" w:hAnsi="Times New Roman" w:cs="Times New Roman"/>
          <w:b/>
          <w:color w:val="000000" w:themeColor="text1"/>
          <w:sz w:val="24"/>
          <w:szCs w:val="24"/>
        </w:rPr>
        <w:t>S</w:t>
      </w:r>
      <w:r w:rsidRPr="00191ACB">
        <w:rPr>
          <w:rFonts w:ascii="Times New Roman" w:hAnsi="Times New Roman" w:cs="Times New Roman"/>
          <w:b/>
          <w:color w:val="000000" w:themeColor="text1"/>
          <w:sz w:val="24"/>
          <w:szCs w:val="24"/>
        </w:rPr>
        <w:t>etting</w:t>
      </w:r>
      <w:bookmarkEnd w:id="9"/>
    </w:p>
    <w:p w14:paraId="15220823" w14:textId="0F5FEBD4" w:rsidR="009445F9" w:rsidRPr="00876D31" w:rsidRDefault="009445F9" w:rsidP="00B916C3">
      <w:pPr>
        <w:pStyle w:val="Heading3"/>
        <w:numPr>
          <w:ilvl w:val="2"/>
          <w:numId w:val="36"/>
        </w:numPr>
        <w:ind w:left="567" w:hanging="567"/>
        <w:rPr>
          <w:rFonts w:cs="Times New Roman"/>
          <w:color w:val="auto"/>
          <w:szCs w:val="24"/>
        </w:rPr>
      </w:pPr>
      <w:bookmarkStart w:id="10" w:name="_Toc57902793"/>
      <w:r w:rsidRPr="00876D31">
        <w:rPr>
          <w:rFonts w:cs="Times New Roman"/>
          <w:color w:val="auto"/>
          <w:szCs w:val="24"/>
        </w:rPr>
        <w:t xml:space="preserve">Physical </w:t>
      </w:r>
      <w:r w:rsidR="00BF017E" w:rsidRPr="00876D31">
        <w:rPr>
          <w:rFonts w:cs="Times New Roman"/>
          <w:color w:val="auto"/>
          <w:szCs w:val="24"/>
        </w:rPr>
        <w:t>Features</w:t>
      </w:r>
      <w:bookmarkEnd w:id="10"/>
    </w:p>
    <w:p w14:paraId="43860235" w14:textId="14E92B8C" w:rsidR="00521ABD" w:rsidRPr="00191ACB" w:rsidRDefault="002D4FFD" w:rsidP="00D5127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Zambia</w:t>
      </w:r>
      <w:r w:rsidR="00DC2036" w:rsidRPr="00191ACB">
        <w:rPr>
          <w:rFonts w:ascii="Times New Roman" w:hAnsi="Times New Roman" w:cs="Times New Roman"/>
          <w:color w:val="000000" w:themeColor="text1"/>
          <w:sz w:val="24"/>
          <w:szCs w:val="24"/>
        </w:rPr>
        <w:t xml:space="preserve"> is a land locked country lying </w:t>
      </w:r>
      <w:r w:rsidR="00521ABD" w:rsidRPr="00191ACB">
        <w:rPr>
          <w:rFonts w:ascii="Times New Roman" w:hAnsi="Times New Roman" w:cs="Times New Roman"/>
          <w:color w:val="000000" w:themeColor="text1"/>
          <w:sz w:val="24"/>
          <w:szCs w:val="24"/>
        </w:rPr>
        <w:t>between latitudes 10</w:t>
      </w:r>
      <w:r w:rsidR="00521ABD" w:rsidRPr="00191ACB">
        <w:rPr>
          <w:rFonts w:ascii="Times New Roman" w:hAnsi="Times New Roman" w:cs="Times New Roman"/>
          <w:color w:val="000000" w:themeColor="text1"/>
          <w:sz w:val="24"/>
          <w:szCs w:val="24"/>
          <w:vertAlign w:val="superscript"/>
        </w:rPr>
        <w:t>o</w:t>
      </w:r>
      <w:r w:rsidR="00521ABD" w:rsidRPr="00191ACB">
        <w:rPr>
          <w:rFonts w:ascii="Times New Roman" w:hAnsi="Times New Roman" w:cs="Times New Roman"/>
          <w:color w:val="000000" w:themeColor="text1"/>
          <w:sz w:val="24"/>
          <w:szCs w:val="24"/>
        </w:rPr>
        <w:t xml:space="preserve"> and 18</w:t>
      </w:r>
      <w:r w:rsidR="00521ABD" w:rsidRPr="00191ACB">
        <w:rPr>
          <w:rFonts w:ascii="Times New Roman" w:hAnsi="Times New Roman" w:cs="Times New Roman"/>
          <w:color w:val="000000" w:themeColor="text1"/>
          <w:sz w:val="24"/>
          <w:szCs w:val="24"/>
          <w:vertAlign w:val="superscript"/>
        </w:rPr>
        <w:t>o</w:t>
      </w:r>
      <w:r w:rsidR="00521ABD" w:rsidRPr="00191ACB">
        <w:rPr>
          <w:rFonts w:ascii="Times New Roman" w:hAnsi="Times New Roman" w:cs="Times New Roman"/>
          <w:color w:val="000000" w:themeColor="text1"/>
          <w:sz w:val="24"/>
          <w:szCs w:val="24"/>
        </w:rPr>
        <w:t xml:space="preserve"> South and longitudes 22</w:t>
      </w:r>
      <w:r w:rsidR="00521ABD" w:rsidRPr="00191ACB">
        <w:rPr>
          <w:rFonts w:ascii="Times New Roman" w:hAnsi="Times New Roman" w:cs="Times New Roman"/>
          <w:color w:val="000000" w:themeColor="text1"/>
          <w:sz w:val="24"/>
          <w:szCs w:val="24"/>
          <w:vertAlign w:val="superscript"/>
        </w:rPr>
        <w:t>o</w:t>
      </w:r>
      <w:r w:rsidR="00521ABD" w:rsidRPr="00191ACB">
        <w:rPr>
          <w:rFonts w:ascii="Times New Roman" w:hAnsi="Times New Roman" w:cs="Times New Roman"/>
          <w:color w:val="000000" w:themeColor="text1"/>
          <w:sz w:val="24"/>
          <w:szCs w:val="24"/>
        </w:rPr>
        <w:t xml:space="preserve"> and 33</w:t>
      </w:r>
      <w:r w:rsidR="00521ABD" w:rsidRPr="00191ACB">
        <w:rPr>
          <w:rFonts w:ascii="Times New Roman" w:hAnsi="Times New Roman" w:cs="Times New Roman"/>
          <w:color w:val="000000" w:themeColor="text1"/>
          <w:sz w:val="24"/>
          <w:szCs w:val="24"/>
          <w:vertAlign w:val="superscript"/>
        </w:rPr>
        <w:t>o</w:t>
      </w:r>
      <w:r w:rsidR="00521ABD" w:rsidRPr="00191ACB">
        <w:rPr>
          <w:rFonts w:ascii="Times New Roman" w:hAnsi="Times New Roman" w:cs="Times New Roman"/>
          <w:color w:val="000000" w:themeColor="text1"/>
          <w:sz w:val="24"/>
          <w:szCs w:val="24"/>
        </w:rPr>
        <w:t xml:space="preserve"> East</w:t>
      </w:r>
      <w:r w:rsidR="007D5858" w:rsidRPr="00191ACB">
        <w:rPr>
          <w:rFonts w:ascii="Times New Roman" w:hAnsi="Times New Roman" w:cs="Times New Roman"/>
          <w:color w:val="000000" w:themeColor="text1"/>
          <w:sz w:val="24"/>
          <w:szCs w:val="24"/>
        </w:rPr>
        <w:t xml:space="preserve"> of Greenwich Meridian</w:t>
      </w:r>
      <w:r w:rsidR="00521ABD"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w:t>
      </w:r>
      <w:r w:rsidR="00521ABD" w:rsidRPr="00191ACB">
        <w:rPr>
          <w:rFonts w:ascii="Times New Roman" w:hAnsi="Times New Roman" w:cs="Times New Roman"/>
          <w:color w:val="000000" w:themeColor="text1"/>
          <w:sz w:val="24"/>
          <w:szCs w:val="24"/>
        </w:rPr>
        <w:t>Its neighbours</w:t>
      </w:r>
      <w:r w:rsidR="00334885" w:rsidRPr="00191ACB">
        <w:rPr>
          <w:rFonts w:ascii="Times New Roman" w:hAnsi="Times New Roman" w:cs="Times New Roman"/>
          <w:color w:val="000000" w:themeColor="text1"/>
          <w:sz w:val="24"/>
          <w:szCs w:val="24"/>
        </w:rPr>
        <w:t xml:space="preserve"> are</w:t>
      </w:r>
      <w:r w:rsidR="00521ABD" w:rsidRPr="00191ACB">
        <w:rPr>
          <w:rFonts w:ascii="Times New Roman" w:hAnsi="Times New Roman" w:cs="Times New Roman"/>
          <w:color w:val="000000" w:themeColor="text1"/>
          <w:sz w:val="24"/>
          <w:szCs w:val="24"/>
        </w:rPr>
        <w:t xml:space="preserve"> D</w:t>
      </w:r>
      <w:r w:rsidR="005C019B" w:rsidRPr="00191ACB">
        <w:rPr>
          <w:rFonts w:ascii="Times New Roman" w:hAnsi="Times New Roman" w:cs="Times New Roman"/>
          <w:color w:val="000000" w:themeColor="text1"/>
          <w:sz w:val="24"/>
          <w:szCs w:val="24"/>
        </w:rPr>
        <w:t xml:space="preserve">emocratic </w:t>
      </w:r>
      <w:r w:rsidR="00521ABD" w:rsidRPr="00191ACB">
        <w:rPr>
          <w:rFonts w:ascii="Times New Roman" w:hAnsi="Times New Roman" w:cs="Times New Roman"/>
          <w:color w:val="000000" w:themeColor="text1"/>
          <w:sz w:val="24"/>
          <w:szCs w:val="24"/>
        </w:rPr>
        <w:t>R</w:t>
      </w:r>
      <w:r w:rsidR="005C019B" w:rsidRPr="00191ACB">
        <w:rPr>
          <w:rFonts w:ascii="Times New Roman" w:hAnsi="Times New Roman" w:cs="Times New Roman"/>
          <w:color w:val="000000" w:themeColor="text1"/>
          <w:sz w:val="24"/>
          <w:szCs w:val="24"/>
        </w:rPr>
        <w:t>epublic of Congo</w:t>
      </w:r>
      <w:r w:rsidR="00334885" w:rsidRPr="00191ACB">
        <w:rPr>
          <w:rFonts w:ascii="Times New Roman" w:hAnsi="Times New Roman" w:cs="Times New Roman"/>
          <w:color w:val="000000" w:themeColor="text1"/>
          <w:sz w:val="24"/>
          <w:szCs w:val="24"/>
        </w:rPr>
        <w:t xml:space="preserve">, </w:t>
      </w:r>
      <w:r w:rsidR="00521ABD" w:rsidRPr="00191ACB">
        <w:rPr>
          <w:rFonts w:ascii="Times New Roman" w:hAnsi="Times New Roman" w:cs="Times New Roman"/>
          <w:color w:val="000000" w:themeColor="text1"/>
          <w:sz w:val="24"/>
          <w:szCs w:val="24"/>
        </w:rPr>
        <w:t>Tanzania</w:t>
      </w:r>
      <w:r w:rsidR="00334885" w:rsidRPr="00191ACB">
        <w:rPr>
          <w:rFonts w:ascii="Times New Roman" w:hAnsi="Times New Roman" w:cs="Times New Roman"/>
          <w:color w:val="000000" w:themeColor="text1"/>
          <w:sz w:val="24"/>
          <w:szCs w:val="24"/>
        </w:rPr>
        <w:t>,</w:t>
      </w:r>
      <w:r w:rsidR="00521ABD" w:rsidRPr="00191ACB">
        <w:rPr>
          <w:rFonts w:ascii="Times New Roman" w:hAnsi="Times New Roman" w:cs="Times New Roman"/>
          <w:color w:val="000000" w:themeColor="text1"/>
          <w:sz w:val="24"/>
          <w:szCs w:val="24"/>
        </w:rPr>
        <w:t xml:space="preserve"> Malawi</w:t>
      </w:r>
      <w:r w:rsidR="00334885" w:rsidRPr="00191ACB">
        <w:rPr>
          <w:rFonts w:ascii="Times New Roman" w:hAnsi="Times New Roman" w:cs="Times New Roman"/>
          <w:color w:val="000000" w:themeColor="text1"/>
          <w:sz w:val="24"/>
          <w:szCs w:val="24"/>
        </w:rPr>
        <w:t>,</w:t>
      </w:r>
      <w:r w:rsidR="00521ABD" w:rsidRPr="00191ACB">
        <w:rPr>
          <w:rFonts w:ascii="Times New Roman" w:hAnsi="Times New Roman" w:cs="Times New Roman"/>
          <w:color w:val="000000" w:themeColor="text1"/>
          <w:sz w:val="24"/>
          <w:szCs w:val="24"/>
        </w:rPr>
        <w:t xml:space="preserve"> Mozambique</w:t>
      </w:r>
      <w:r w:rsidR="00334885" w:rsidRPr="00191ACB">
        <w:rPr>
          <w:rFonts w:ascii="Times New Roman" w:hAnsi="Times New Roman" w:cs="Times New Roman"/>
          <w:color w:val="000000" w:themeColor="text1"/>
          <w:sz w:val="24"/>
          <w:szCs w:val="24"/>
        </w:rPr>
        <w:t>,</w:t>
      </w:r>
      <w:r w:rsidR="00521ABD" w:rsidRPr="00191ACB">
        <w:rPr>
          <w:rFonts w:ascii="Times New Roman" w:hAnsi="Times New Roman" w:cs="Times New Roman"/>
          <w:color w:val="000000" w:themeColor="text1"/>
          <w:sz w:val="24"/>
          <w:szCs w:val="24"/>
        </w:rPr>
        <w:t xml:space="preserve"> Zimbabwe, Botswana</w:t>
      </w:r>
      <w:r w:rsidR="00334885" w:rsidRPr="00191ACB">
        <w:rPr>
          <w:rFonts w:ascii="Times New Roman" w:hAnsi="Times New Roman" w:cs="Times New Roman"/>
          <w:color w:val="000000" w:themeColor="text1"/>
          <w:sz w:val="24"/>
          <w:szCs w:val="24"/>
        </w:rPr>
        <w:t>,</w:t>
      </w:r>
      <w:r w:rsidR="00521ABD" w:rsidRPr="00191ACB">
        <w:rPr>
          <w:rFonts w:ascii="Times New Roman" w:hAnsi="Times New Roman" w:cs="Times New Roman"/>
          <w:color w:val="000000" w:themeColor="text1"/>
          <w:sz w:val="24"/>
          <w:szCs w:val="24"/>
        </w:rPr>
        <w:t xml:space="preserve"> Namibia and Angola</w:t>
      </w:r>
      <w:r w:rsidR="00334885" w:rsidRPr="00191ACB">
        <w:rPr>
          <w:rFonts w:ascii="Times New Roman" w:hAnsi="Times New Roman" w:cs="Times New Roman"/>
          <w:color w:val="000000" w:themeColor="text1"/>
          <w:sz w:val="24"/>
          <w:szCs w:val="24"/>
        </w:rPr>
        <w:t>.</w:t>
      </w:r>
      <w:r w:rsidR="009369F5" w:rsidRPr="00191ACB">
        <w:rPr>
          <w:rFonts w:ascii="Times New Roman" w:hAnsi="Times New Roman" w:cs="Times New Roman"/>
          <w:color w:val="000000" w:themeColor="text1"/>
          <w:sz w:val="24"/>
          <w:szCs w:val="24"/>
        </w:rPr>
        <w:t xml:space="preserve"> </w:t>
      </w:r>
      <w:r w:rsidR="00F815E8" w:rsidRPr="00191ACB">
        <w:rPr>
          <w:rFonts w:ascii="Times New Roman" w:hAnsi="Times New Roman" w:cs="Times New Roman"/>
          <w:color w:val="000000" w:themeColor="text1"/>
          <w:sz w:val="24"/>
          <w:szCs w:val="24"/>
        </w:rPr>
        <w:t xml:space="preserve">The country has </w:t>
      </w:r>
      <w:r w:rsidR="00521ABD" w:rsidRPr="00191ACB">
        <w:rPr>
          <w:rFonts w:ascii="Times New Roman" w:hAnsi="Times New Roman" w:cs="Times New Roman"/>
          <w:color w:val="000000" w:themeColor="text1"/>
          <w:sz w:val="24"/>
          <w:szCs w:val="24"/>
        </w:rPr>
        <w:t xml:space="preserve">a total area of 752,614 </w:t>
      </w:r>
      <w:r w:rsidR="009369F5" w:rsidRPr="00191ACB">
        <w:rPr>
          <w:rFonts w:ascii="Times New Roman" w:hAnsi="Times New Roman" w:cs="Times New Roman"/>
          <w:color w:val="000000" w:themeColor="text1"/>
          <w:sz w:val="24"/>
          <w:szCs w:val="24"/>
        </w:rPr>
        <w:t>km</w:t>
      </w:r>
      <w:r w:rsidR="009369F5" w:rsidRPr="00191ACB">
        <w:rPr>
          <w:rFonts w:ascii="Times New Roman" w:hAnsi="Times New Roman" w:cs="Times New Roman"/>
          <w:color w:val="000000" w:themeColor="text1"/>
          <w:sz w:val="24"/>
          <w:szCs w:val="24"/>
          <w:vertAlign w:val="superscript"/>
        </w:rPr>
        <w:t>2</w:t>
      </w:r>
      <w:r w:rsidR="00521ABD" w:rsidRPr="00191ACB">
        <w:rPr>
          <w:rFonts w:ascii="Times New Roman" w:hAnsi="Times New Roman" w:cs="Times New Roman"/>
          <w:color w:val="000000" w:themeColor="text1"/>
          <w:sz w:val="24"/>
          <w:szCs w:val="24"/>
        </w:rPr>
        <w:t xml:space="preserve"> comprising 5,078 </w:t>
      </w:r>
      <w:r w:rsidR="009369F5" w:rsidRPr="00191ACB">
        <w:rPr>
          <w:rFonts w:ascii="Times New Roman" w:hAnsi="Times New Roman" w:cs="Times New Roman"/>
          <w:color w:val="000000" w:themeColor="text1"/>
          <w:sz w:val="24"/>
          <w:szCs w:val="24"/>
        </w:rPr>
        <w:t>km</w:t>
      </w:r>
      <w:r w:rsidR="009369F5" w:rsidRPr="00191ACB">
        <w:rPr>
          <w:rFonts w:ascii="Times New Roman" w:hAnsi="Times New Roman" w:cs="Times New Roman"/>
          <w:color w:val="000000" w:themeColor="text1"/>
          <w:sz w:val="24"/>
          <w:szCs w:val="24"/>
          <w:vertAlign w:val="superscript"/>
        </w:rPr>
        <w:t>2</w:t>
      </w:r>
      <w:r w:rsidR="00521ABD" w:rsidRPr="00191ACB">
        <w:rPr>
          <w:rFonts w:ascii="Times New Roman" w:hAnsi="Times New Roman" w:cs="Times New Roman"/>
          <w:color w:val="000000" w:themeColor="text1"/>
          <w:sz w:val="24"/>
          <w:szCs w:val="24"/>
        </w:rPr>
        <w:t xml:space="preserve"> </w:t>
      </w:r>
      <w:r w:rsidR="008D3A94" w:rsidRPr="00191ACB">
        <w:rPr>
          <w:rFonts w:ascii="Times New Roman" w:hAnsi="Times New Roman" w:cs="Times New Roman"/>
          <w:color w:val="000000" w:themeColor="text1"/>
          <w:sz w:val="24"/>
          <w:szCs w:val="24"/>
        </w:rPr>
        <w:t xml:space="preserve">of water and </w:t>
      </w:r>
      <w:r w:rsidR="00521ABD" w:rsidRPr="00191ACB">
        <w:rPr>
          <w:rFonts w:ascii="Times New Roman" w:hAnsi="Times New Roman" w:cs="Times New Roman"/>
          <w:color w:val="000000" w:themeColor="text1"/>
          <w:sz w:val="24"/>
          <w:szCs w:val="24"/>
        </w:rPr>
        <w:t xml:space="preserve">747,536 </w:t>
      </w:r>
      <w:r w:rsidR="009369F5" w:rsidRPr="00191ACB">
        <w:rPr>
          <w:rFonts w:ascii="Times New Roman" w:hAnsi="Times New Roman" w:cs="Times New Roman"/>
          <w:color w:val="000000" w:themeColor="text1"/>
          <w:sz w:val="24"/>
          <w:szCs w:val="24"/>
        </w:rPr>
        <w:t>km</w:t>
      </w:r>
      <w:r w:rsidR="009369F5" w:rsidRPr="00191ACB">
        <w:rPr>
          <w:rFonts w:ascii="Times New Roman" w:hAnsi="Times New Roman" w:cs="Times New Roman"/>
          <w:color w:val="000000" w:themeColor="text1"/>
          <w:sz w:val="24"/>
          <w:szCs w:val="24"/>
          <w:vertAlign w:val="superscript"/>
        </w:rPr>
        <w:t>2</w:t>
      </w:r>
      <w:r w:rsidR="009369F5" w:rsidRPr="00191ACB">
        <w:rPr>
          <w:rFonts w:ascii="Times New Roman" w:hAnsi="Times New Roman" w:cs="Times New Roman"/>
          <w:color w:val="000000" w:themeColor="text1"/>
          <w:sz w:val="24"/>
          <w:szCs w:val="24"/>
        </w:rPr>
        <w:t xml:space="preserve"> </w:t>
      </w:r>
      <w:r w:rsidR="008D3A94" w:rsidRPr="00191ACB">
        <w:rPr>
          <w:rFonts w:ascii="Times New Roman" w:hAnsi="Times New Roman" w:cs="Times New Roman"/>
          <w:color w:val="000000" w:themeColor="text1"/>
          <w:sz w:val="24"/>
          <w:szCs w:val="24"/>
        </w:rPr>
        <w:t xml:space="preserve">of land </w:t>
      </w:r>
      <w:r w:rsidR="00521ABD" w:rsidRPr="00191ACB">
        <w:rPr>
          <w:rFonts w:ascii="Times New Roman" w:hAnsi="Times New Roman" w:cs="Times New Roman"/>
          <w:color w:val="000000" w:themeColor="text1"/>
          <w:sz w:val="24"/>
          <w:szCs w:val="24"/>
        </w:rPr>
        <w:t xml:space="preserve">(ILUA II, 2016). </w:t>
      </w:r>
      <w:r w:rsidR="004601E2" w:rsidRPr="00191ACB">
        <w:rPr>
          <w:rFonts w:ascii="Times New Roman" w:hAnsi="Times New Roman" w:cs="Times New Roman"/>
          <w:color w:val="000000" w:themeColor="text1"/>
          <w:sz w:val="24"/>
          <w:szCs w:val="24"/>
        </w:rPr>
        <w:t>Physical</w:t>
      </w:r>
      <w:r w:rsidRPr="00191ACB">
        <w:rPr>
          <w:rFonts w:ascii="Times New Roman" w:hAnsi="Times New Roman" w:cs="Times New Roman"/>
          <w:color w:val="000000" w:themeColor="text1"/>
          <w:sz w:val="24"/>
          <w:szCs w:val="24"/>
        </w:rPr>
        <w:t xml:space="preserve"> features of Zambia </w:t>
      </w:r>
      <w:r w:rsidR="004601E2" w:rsidRPr="00191ACB">
        <w:rPr>
          <w:rFonts w:ascii="Times New Roman" w:hAnsi="Times New Roman" w:cs="Times New Roman"/>
          <w:color w:val="000000" w:themeColor="text1"/>
          <w:sz w:val="24"/>
          <w:szCs w:val="24"/>
        </w:rPr>
        <w:t xml:space="preserve">as shown in </w:t>
      </w:r>
      <w:r w:rsidR="00BF017E" w:rsidRPr="00191ACB">
        <w:rPr>
          <w:rFonts w:ascii="Times New Roman" w:hAnsi="Times New Roman" w:cs="Times New Roman"/>
          <w:color w:val="000000" w:themeColor="text1"/>
          <w:sz w:val="24"/>
          <w:szCs w:val="24"/>
        </w:rPr>
        <w:t>F</w:t>
      </w:r>
      <w:r w:rsidR="004601E2" w:rsidRPr="00191ACB">
        <w:rPr>
          <w:rFonts w:ascii="Times New Roman" w:hAnsi="Times New Roman" w:cs="Times New Roman"/>
          <w:color w:val="000000" w:themeColor="text1"/>
          <w:sz w:val="24"/>
          <w:szCs w:val="24"/>
        </w:rPr>
        <w:t>igure</w:t>
      </w:r>
      <w:r w:rsidR="00BF017E" w:rsidRPr="00191ACB">
        <w:rPr>
          <w:rFonts w:ascii="Times New Roman" w:hAnsi="Times New Roman" w:cs="Times New Roman"/>
          <w:color w:val="000000" w:themeColor="text1"/>
          <w:sz w:val="24"/>
          <w:szCs w:val="24"/>
        </w:rPr>
        <w:t>2.</w:t>
      </w:r>
      <w:r w:rsidR="004601E2" w:rsidRPr="00191ACB">
        <w:rPr>
          <w:rFonts w:ascii="Times New Roman" w:hAnsi="Times New Roman" w:cs="Times New Roman"/>
          <w:color w:val="000000" w:themeColor="text1"/>
          <w:sz w:val="24"/>
          <w:szCs w:val="24"/>
        </w:rPr>
        <w:t>1</w:t>
      </w:r>
      <w:r w:rsidR="00521ABD" w:rsidRPr="00191ACB">
        <w:rPr>
          <w:rFonts w:ascii="Times New Roman" w:hAnsi="Times New Roman" w:cs="Times New Roman"/>
          <w:color w:val="000000" w:themeColor="text1"/>
          <w:sz w:val="24"/>
          <w:szCs w:val="24"/>
        </w:rPr>
        <w:t xml:space="preserve"> consist</w:t>
      </w:r>
      <w:r w:rsidR="004601E2" w:rsidRPr="00191ACB">
        <w:rPr>
          <w:rFonts w:ascii="Times New Roman" w:hAnsi="Times New Roman" w:cs="Times New Roman"/>
          <w:color w:val="000000" w:themeColor="text1"/>
          <w:sz w:val="24"/>
          <w:szCs w:val="24"/>
        </w:rPr>
        <w:t xml:space="preserve"> </w:t>
      </w:r>
      <w:r w:rsidR="00521ABD" w:rsidRPr="00191ACB">
        <w:rPr>
          <w:rFonts w:ascii="Times New Roman" w:hAnsi="Times New Roman" w:cs="Times New Roman"/>
          <w:color w:val="000000" w:themeColor="text1"/>
          <w:sz w:val="24"/>
          <w:szCs w:val="24"/>
        </w:rPr>
        <w:t>for the most part of a high plateau</w:t>
      </w:r>
      <w:r w:rsidR="00B229FB" w:rsidRPr="00191ACB">
        <w:rPr>
          <w:rFonts w:ascii="Times New Roman" w:hAnsi="Times New Roman" w:cs="Times New Roman"/>
          <w:color w:val="000000" w:themeColor="text1"/>
          <w:sz w:val="24"/>
          <w:szCs w:val="24"/>
        </w:rPr>
        <w:t>.</w:t>
      </w:r>
      <w:r w:rsidR="00521ABD" w:rsidRPr="00191ACB">
        <w:rPr>
          <w:rFonts w:ascii="Times New Roman" w:hAnsi="Times New Roman" w:cs="Times New Roman"/>
          <w:color w:val="000000" w:themeColor="text1"/>
          <w:sz w:val="24"/>
          <w:szCs w:val="24"/>
        </w:rPr>
        <w:t xml:space="preserve"> </w:t>
      </w:r>
      <w:r w:rsidR="00B229FB" w:rsidRPr="00191ACB">
        <w:rPr>
          <w:rFonts w:ascii="Times New Roman" w:hAnsi="Times New Roman" w:cs="Times New Roman"/>
          <w:color w:val="000000" w:themeColor="text1"/>
          <w:sz w:val="24"/>
          <w:szCs w:val="24"/>
        </w:rPr>
        <w:t>The plateau is broken by huge valleys of the Upper Zambezi and its major tributaries, of which the Kafue and Luangwa Rivers are the largest. A</w:t>
      </w:r>
      <w:r w:rsidR="00521ABD" w:rsidRPr="00191ACB">
        <w:rPr>
          <w:rFonts w:ascii="Times New Roman" w:hAnsi="Times New Roman" w:cs="Times New Roman"/>
          <w:color w:val="000000" w:themeColor="text1"/>
          <w:sz w:val="24"/>
          <w:szCs w:val="24"/>
        </w:rPr>
        <w:t>verage height of</w:t>
      </w:r>
      <w:r w:rsidR="00B229FB" w:rsidRPr="00191ACB">
        <w:rPr>
          <w:rFonts w:ascii="Times New Roman" w:hAnsi="Times New Roman" w:cs="Times New Roman"/>
          <w:color w:val="000000" w:themeColor="text1"/>
          <w:sz w:val="24"/>
          <w:szCs w:val="24"/>
        </w:rPr>
        <w:t xml:space="preserve"> the plateau is </w:t>
      </w:r>
      <w:r w:rsidR="00521ABD" w:rsidRPr="00191ACB">
        <w:rPr>
          <w:rFonts w:ascii="Times New Roman" w:hAnsi="Times New Roman" w:cs="Times New Roman"/>
          <w:color w:val="000000" w:themeColor="text1"/>
          <w:sz w:val="24"/>
          <w:szCs w:val="24"/>
        </w:rPr>
        <w:t xml:space="preserve">between 1060 and 1363 meters above sea level and isolated mountain ridges that rise to more than 1,829 meters with an occasional peak above 2,134 meters on the eastern border, called Nyika Plateau (World Atlas, 2015). Over most of the country the surface tends to be flat, broken by small hills. The level of the land </w:t>
      </w:r>
      <w:r w:rsidR="004601E2" w:rsidRPr="00191ACB">
        <w:rPr>
          <w:rFonts w:ascii="Times New Roman" w:hAnsi="Times New Roman" w:cs="Times New Roman"/>
          <w:color w:val="000000" w:themeColor="text1"/>
          <w:sz w:val="24"/>
          <w:szCs w:val="24"/>
        </w:rPr>
        <w:t xml:space="preserve">generally </w:t>
      </w:r>
      <w:r w:rsidR="00521ABD" w:rsidRPr="00191ACB">
        <w:rPr>
          <w:rFonts w:ascii="Times New Roman" w:hAnsi="Times New Roman" w:cs="Times New Roman"/>
          <w:color w:val="000000" w:themeColor="text1"/>
          <w:sz w:val="24"/>
          <w:szCs w:val="24"/>
        </w:rPr>
        <w:t xml:space="preserve">falls southward from the Congo </w:t>
      </w:r>
      <w:r w:rsidR="004601E2" w:rsidRPr="00191ACB">
        <w:rPr>
          <w:rFonts w:ascii="Times New Roman" w:hAnsi="Times New Roman" w:cs="Times New Roman"/>
          <w:color w:val="000000" w:themeColor="text1"/>
          <w:sz w:val="24"/>
          <w:szCs w:val="24"/>
        </w:rPr>
        <w:t>basin</w:t>
      </w:r>
      <w:r w:rsidR="00521ABD" w:rsidRPr="00191ACB">
        <w:rPr>
          <w:rFonts w:ascii="Times New Roman" w:hAnsi="Times New Roman" w:cs="Times New Roman"/>
          <w:color w:val="000000" w:themeColor="text1"/>
          <w:sz w:val="24"/>
          <w:szCs w:val="24"/>
        </w:rPr>
        <w:t xml:space="preserve"> /Zambezi </w:t>
      </w:r>
      <w:r w:rsidR="004601E2" w:rsidRPr="00191ACB">
        <w:rPr>
          <w:rFonts w:ascii="Times New Roman" w:hAnsi="Times New Roman" w:cs="Times New Roman"/>
          <w:color w:val="000000" w:themeColor="text1"/>
          <w:sz w:val="24"/>
          <w:szCs w:val="24"/>
        </w:rPr>
        <w:t xml:space="preserve">basin </w:t>
      </w:r>
      <w:r w:rsidR="00521ABD" w:rsidRPr="00191ACB">
        <w:rPr>
          <w:rFonts w:ascii="Times New Roman" w:hAnsi="Times New Roman" w:cs="Times New Roman"/>
          <w:color w:val="000000" w:themeColor="text1"/>
          <w:sz w:val="24"/>
          <w:szCs w:val="24"/>
        </w:rPr>
        <w:t xml:space="preserve">divide in the north towards the Zambezi depression in the South. </w:t>
      </w:r>
    </w:p>
    <w:p w14:paraId="76BFDA6D" w14:textId="347D4BD6" w:rsidR="00521ABD" w:rsidRPr="00191ACB" w:rsidRDefault="00521ABD" w:rsidP="00D5127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With the exception of the Northern and Luapula </w:t>
      </w:r>
      <w:r w:rsidR="00334885" w:rsidRPr="00191ACB">
        <w:rPr>
          <w:rFonts w:ascii="Times New Roman" w:hAnsi="Times New Roman" w:cs="Times New Roman"/>
          <w:color w:val="000000" w:themeColor="text1"/>
          <w:sz w:val="24"/>
          <w:szCs w:val="24"/>
        </w:rPr>
        <w:t>p</w:t>
      </w:r>
      <w:r w:rsidRPr="00191ACB">
        <w:rPr>
          <w:rFonts w:ascii="Times New Roman" w:hAnsi="Times New Roman" w:cs="Times New Roman"/>
          <w:color w:val="000000" w:themeColor="text1"/>
          <w:sz w:val="24"/>
          <w:szCs w:val="24"/>
        </w:rPr>
        <w:t>rovinces</w:t>
      </w:r>
      <w:r w:rsidR="005A0AD8" w:rsidRPr="00191ACB">
        <w:rPr>
          <w:rFonts w:ascii="Times New Roman" w:hAnsi="Times New Roman" w:cs="Times New Roman"/>
          <w:color w:val="000000" w:themeColor="text1"/>
          <w:sz w:val="24"/>
          <w:szCs w:val="24"/>
        </w:rPr>
        <w:t xml:space="preserve"> </w:t>
      </w:r>
      <w:r w:rsidR="008D4904" w:rsidRPr="00191ACB">
        <w:rPr>
          <w:rFonts w:ascii="Times New Roman" w:hAnsi="Times New Roman" w:cs="Times New Roman"/>
          <w:color w:val="000000" w:themeColor="text1"/>
          <w:sz w:val="24"/>
          <w:szCs w:val="24"/>
        </w:rPr>
        <w:t>(Figure</w:t>
      </w:r>
      <w:r w:rsidR="001F1535" w:rsidRPr="00191ACB">
        <w:rPr>
          <w:rFonts w:ascii="Times New Roman" w:hAnsi="Times New Roman" w:cs="Times New Roman"/>
          <w:color w:val="000000" w:themeColor="text1"/>
          <w:sz w:val="24"/>
          <w:szCs w:val="24"/>
        </w:rPr>
        <w:t xml:space="preserve"> 2.</w:t>
      </w:r>
      <w:r w:rsidR="008D4904" w:rsidRPr="00191ACB">
        <w:rPr>
          <w:rFonts w:ascii="Times New Roman" w:hAnsi="Times New Roman" w:cs="Times New Roman"/>
          <w:color w:val="000000" w:themeColor="text1"/>
          <w:sz w:val="24"/>
          <w:szCs w:val="24"/>
        </w:rPr>
        <w:t>1)</w:t>
      </w:r>
      <w:r w:rsidRPr="00191ACB">
        <w:rPr>
          <w:rFonts w:ascii="Times New Roman" w:hAnsi="Times New Roman" w:cs="Times New Roman"/>
          <w:color w:val="000000" w:themeColor="text1"/>
          <w:sz w:val="24"/>
          <w:szCs w:val="24"/>
        </w:rPr>
        <w:t xml:space="preserve"> which are part of the Congo </w:t>
      </w:r>
      <w:r w:rsidR="00594B93" w:rsidRPr="00191ACB">
        <w:rPr>
          <w:rFonts w:ascii="Times New Roman" w:hAnsi="Times New Roman" w:cs="Times New Roman"/>
          <w:color w:val="000000" w:themeColor="text1"/>
          <w:sz w:val="24"/>
          <w:szCs w:val="24"/>
        </w:rPr>
        <w:t xml:space="preserve">river </w:t>
      </w:r>
      <w:r w:rsidRPr="00191ACB">
        <w:rPr>
          <w:rFonts w:ascii="Times New Roman" w:hAnsi="Times New Roman" w:cs="Times New Roman"/>
          <w:color w:val="000000" w:themeColor="text1"/>
          <w:sz w:val="24"/>
          <w:szCs w:val="24"/>
        </w:rPr>
        <w:t xml:space="preserve">basin, Zambia lies on the watershed between the Congo </w:t>
      </w:r>
      <w:r w:rsidR="00594B93" w:rsidRPr="00191ACB">
        <w:rPr>
          <w:rFonts w:ascii="Times New Roman" w:hAnsi="Times New Roman" w:cs="Times New Roman"/>
          <w:color w:val="000000" w:themeColor="text1"/>
          <w:sz w:val="24"/>
          <w:szCs w:val="24"/>
        </w:rPr>
        <w:t xml:space="preserve">River </w:t>
      </w:r>
      <w:r w:rsidRPr="00191ACB">
        <w:rPr>
          <w:rFonts w:ascii="Times New Roman" w:hAnsi="Times New Roman" w:cs="Times New Roman"/>
          <w:color w:val="000000" w:themeColor="text1"/>
          <w:sz w:val="24"/>
          <w:szCs w:val="24"/>
        </w:rPr>
        <w:t>and Zambezi River systems. The three natural lakes of the country</w:t>
      </w:r>
      <w:r w:rsidR="00594B93" w:rsidRPr="00191ACB">
        <w:rPr>
          <w:rFonts w:ascii="Times New Roman" w:hAnsi="Times New Roman" w:cs="Times New Roman"/>
          <w:color w:val="000000" w:themeColor="text1"/>
          <w:sz w:val="24"/>
          <w:szCs w:val="24"/>
        </w:rPr>
        <w:t xml:space="preserve"> namely </w:t>
      </w:r>
      <w:r w:rsidRPr="00191ACB">
        <w:rPr>
          <w:rFonts w:ascii="Times New Roman" w:hAnsi="Times New Roman" w:cs="Times New Roman"/>
          <w:color w:val="000000" w:themeColor="text1"/>
          <w:sz w:val="24"/>
          <w:szCs w:val="24"/>
        </w:rPr>
        <w:t xml:space="preserve">Bangweulu, Mweru and the southern end of Lake Tanganyika are all in the north and are part of the headwaters of the </w:t>
      </w:r>
      <w:r w:rsidR="00594B93" w:rsidRPr="00191ACB">
        <w:rPr>
          <w:rFonts w:ascii="Times New Roman" w:hAnsi="Times New Roman" w:cs="Times New Roman"/>
          <w:color w:val="000000" w:themeColor="text1"/>
          <w:sz w:val="24"/>
          <w:szCs w:val="24"/>
        </w:rPr>
        <w:t>Congo</w:t>
      </w:r>
      <w:r w:rsidRPr="00191ACB">
        <w:rPr>
          <w:rFonts w:ascii="Times New Roman" w:hAnsi="Times New Roman" w:cs="Times New Roman"/>
          <w:color w:val="000000" w:themeColor="text1"/>
          <w:sz w:val="24"/>
          <w:szCs w:val="24"/>
        </w:rPr>
        <w:t xml:space="preserve"> River. Lake Bangweulu, with its swamps covers an area of about 9,842</w:t>
      </w:r>
      <w:r w:rsidR="00594B93" w:rsidRPr="00191ACB">
        <w:rPr>
          <w:rFonts w:ascii="Times New Roman" w:hAnsi="Times New Roman" w:cs="Times New Roman"/>
          <w:color w:val="000000" w:themeColor="text1"/>
          <w:sz w:val="24"/>
          <w:szCs w:val="24"/>
        </w:rPr>
        <w:t xml:space="preserve"> km</w:t>
      </w:r>
      <w:r w:rsidR="00594B93" w:rsidRPr="00191ACB">
        <w:rPr>
          <w:rFonts w:ascii="Times New Roman" w:hAnsi="Times New Roman" w:cs="Times New Roman"/>
          <w:color w:val="000000" w:themeColor="text1"/>
          <w:sz w:val="24"/>
          <w:szCs w:val="24"/>
          <w:vertAlign w:val="superscript"/>
        </w:rPr>
        <w:t>2</w:t>
      </w:r>
      <w:r w:rsidRPr="00191ACB">
        <w:rPr>
          <w:rFonts w:ascii="Times New Roman" w:hAnsi="Times New Roman" w:cs="Times New Roman"/>
          <w:color w:val="000000" w:themeColor="text1"/>
          <w:sz w:val="24"/>
          <w:szCs w:val="24"/>
        </w:rPr>
        <w:t>, is drained by the Luapula River (World Atlas, 2015). Along the southern border of the country stretches Lake Kariba</w:t>
      </w:r>
      <w:r w:rsidR="00334885" w:rsidRPr="00191ACB">
        <w:rPr>
          <w:rFonts w:ascii="Times New Roman" w:hAnsi="Times New Roman" w:cs="Times New Roman"/>
          <w:color w:val="000000" w:themeColor="text1"/>
          <w:sz w:val="24"/>
          <w:szCs w:val="24"/>
        </w:rPr>
        <w:t xml:space="preserve">, a </w:t>
      </w:r>
      <w:r w:rsidRPr="00191ACB">
        <w:rPr>
          <w:rFonts w:ascii="Times New Roman" w:hAnsi="Times New Roman" w:cs="Times New Roman"/>
          <w:color w:val="000000" w:themeColor="text1"/>
          <w:sz w:val="24"/>
          <w:szCs w:val="24"/>
        </w:rPr>
        <w:t>man-made</w:t>
      </w:r>
      <w:r w:rsidR="00334885" w:rsidRPr="00191ACB">
        <w:rPr>
          <w:rFonts w:ascii="Times New Roman" w:hAnsi="Times New Roman" w:cs="Times New Roman"/>
          <w:color w:val="000000" w:themeColor="text1"/>
          <w:sz w:val="24"/>
          <w:szCs w:val="24"/>
        </w:rPr>
        <w:t xml:space="preserve"> lake</w:t>
      </w:r>
      <w:r w:rsidR="00594B93" w:rsidRPr="00191ACB">
        <w:rPr>
          <w:rFonts w:ascii="Times New Roman" w:hAnsi="Times New Roman" w:cs="Times New Roman"/>
          <w:color w:val="000000" w:themeColor="text1"/>
          <w:sz w:val="24"/>
          <w:szCs w:val="24"/>
        </w:rPr>
        <w:t xml:space="preserve"> which</w:t>
      </w:r>
      <w:r w:rsidRPr="00191ACB">
        <w:rPr>
          <w:rFonts w:ascii="Times New Roman" w:hAnsi="Times New Roman" w:cs="Times New Roman"/>
          <w:color w:val="000000" w:themeColor="text1"/>
          <w:sz w:val="24"/>
          <w:szCs w:val="24"/>
        </w:rPr>
        <w:t xml:space="preserve"> is about 280 kilometers long and 40 kilometers at its widest point.</w:t>
      </w:r>
      <w:r w:rsidR="00F815E8" w:rsidRPr="00191ACB">
        <w:rPr>
          <w:rFonts w:ascii="Times New Roman" w:hAnsi="Times New Roman" w:cs="Times New Roman"/>
          <w:color w:val="000000" w:themeColor="text1"/>
          <w:sz w:val="24"/>
          <w:szCs w:val="24"/>
        </w:rPr>
        <w:t xml:space="preserve"> </w:t>
      </w:r>
    </w:p>
    <w:p w14:paraId="2AABEAC7" w14:textId="77777777" w:rsidR="00D51275" w:rsidRPr="00191ACB" w:rsidRDefault="00D51275" w:rsidP="00D51275">
      <w:pPr>
        <w:spacing w:after="120" w:line="276" w:lineRule="auto"/>
        <w:jc w:val="both"/>
        <w:rPr>
          <w:rFonts w:ascii="Times New Roman" w:hAnsi="Times New Roman" w:cs="Times New Roman"/>
          <w:color w:val="000000" w:themeColor="text1"/>
          <w:sz w:val="24"/>
          <w:szCs w:val="24"/>
        </w:rPr>
      </w:pPr>
    </w:p>
    <w:p w14:paraId="392B7EF6" w14:textId="77777777" w:rsidR="00F815E8" w:rsidRPr="00191ACB" w:rsidRDefault="00F815E8" w:rsidP="005E626A">
      <w:pPr>
        <w:spacing w:after="120" w:line="240" w:lineRule="auto"/>
        <w:jc w:val="both"/>
        <w:rPr>
          <w:rFonts w:ascii="Times New Roman" w:hAnsi="Times New Roman" w:cs="Times New Roman"/>
          <w:color w:val="000000" w:themeColor="text1"/>
          <w:sz w:val="24"/>
          <w:szCs w:val="24"/>
        </w:rPr>
      </w:pPr>
    </w:p>
    <w:p w14:paraId="4F286690" w14:textId="77777777" w:rsidR="00D51275" w:rsidRPr="00191ACB" w:rsidRDefault="008E2E5B" w:rsidP="00D51275">
      <w:pPr>
        <w:spacing w:after="0"/>
        <w:rPr>
          <w:rFonts w:ascii="Times New Roman" w:hAnsi="Times New Roman" w:cs="Times New Roman"/>
          <w:i/>
          <w:iCs/>
          <w:sz w:val="24"/>
          <w:szCs w:val="24"/>
        </w:rPr>
      </w:pPr>
      <w:r w:rsidRPr="00191ACB">
        <w:rPr>
          <w:rFonts w:ascii="Times New Roman" w:hAnsi="Times New Roman" w:cs="Times New Roman"/>
          <w:noProof/>
          <w:color w:val="000000" w:themeColor="text1"/>
          <w:sz w:val="24"/>
          <w:szCs w:val="24"/>
          <w:lang w:val="en-GB" w:eastAsia="en-GB"/>
        </w:rPr>
        <w:lastRenderedPageBreak/>
        <mc:AlternateContent>
          <mc:Choice Requires="wpg">
            <w:drawing>
              <wp:anchor distT="0" distB="0" distL="114300" distR="114300" simplePos="0" relativeHeight="251666944" behindDoc="0" locked="0" layoutInCell="1" allowOverlap="1" wp14:anchorId="01A20FD2" wp14:editId="76E318BC">
                <wp:simplePos x="0" y="0"/>
                <wp:positionH relativeFrom="column">
                  <wp:posOffset>4495800</wp:posOffset>
                </wp:positionH>
                <wp:positionV relativeFrom="paragraph">
                  <wp:posOffset>7620</wp:posOffset>
                </wp:positionV>
                <wp:extent cx="2028825" cy="1847850"/>
                <wp:effectExtent l="0" t="0" r="28575" b="19050"/>
                <wp:wrapNone/>
                <wp:docPr id="46" name="Group 46"/>
                <wp:cNvGraphicFramePr/>
                <a:graphic xmlns:a="http://schemas.openxmlformats.org/drawingml/2006/main">
                  <a:graphicData uri="http://schemas.microsoft.com/office/word/2010/wordprocessingGroup">
                    <wpg:wgp>
                      <wpg:cNvGrpSpPr/>
                      <wpg:grpSpPr>
                        <a:xfrm>
                          <a:off x="0" y="0"/>
                          <a:ext cx="2028825" cy="1847850"/>
                          <a:chOff x="0" y="0"/>
                          <a:chExt cx="2028825" cy="1847850"/>
                        </a:xfrm>
                      </wpg:grpSpPr>
                      <wps:wsp>
                        <wps:cNvPr id="9" name="Rectangle 9"/>
                        <wps:cNvSpPr/>
                        <wps:spPr>
                          <a:xfrm>
                            <a:off x="0" y="0"/>
                            <a:ext cx="2028825" cy="18478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C50F91E" w14:textId="2C0349C8" w:rsidR="00BE7199" w:rsidRDefault="00BE7199" w:rsidP="005E626A">
                              <w:pPr>
                                <w:jc w:val="center"/>
                              </w:pPr>
                              <w:r w:rsidRPr="00F928EC">
                                <w:rPr>
                                  <w:noProof/>
                                  <w:lang w:val="en-GB" w:eastAsia="en-GB"/>
                                </w:rPr>
                                <w:drawing>
                                  <wp:inline distT="0" distB="0" distL="0" distR="0" wp14:anchorId="1532443E" wp14:editId="3FF446BB">
                                    <wp:extent cx="1943100" cy="17227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43100" cy="172275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0" y="1266825"/>
                            <a:ext cx="885825" cy="5715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1980CE68" w14:textId="54DC40D2" w:rsidR="00BE7199" w:rsidRPr="005E626A" w:rsidRDefault="00BE7199" w:rsidP="005E626A">
                              <w:pPr>
                                <w:jc w:val="center"/>
                                <w:rPr>
                                  <w:sz w:val="16"/>
                                  <w:szCs w:val="16"/>
                                  <w:u w:val="single"/>
                                  <w14:shadow w14:blurRad="38100" w14:dist="19050" w14:dir="2700000" w14:sx="100000" w14:sy="100000" w14:kx="0" w14:ky="0" w14:algn="tl">
                                    <w14:schemeClr w14:val="dk1">
                                      <w14:alpha w14:val="60000"/>
                                    </w14:schemeClr>
                                  </w14:shadow>
                                  <w14:textOutline w14:w="9525" w14:cap="flat" w14:cmpd="sng" w14:algn="ctr">
                                    <w14:noFill/>
                                    <w14:prstDash w14:val="solid"/>
                                    <w14:round/>
                                  </w14:textOutline>
                                </w:rPr>
                              </w:pPr>
                              <w:r w:rsidRPr="005E626A">
                                <w:rPr>
                                  <w:sz w:val="16"/>
                                  <w:szCs w:val="16"/>
                                  <w:u w:val="single"/>
                                  <w14:shadow w14:blurRad="38100" w14:dist="19050" w14:dir="2700000" w14:sx="100000" w14:sy="100000" w14:kx="0" w14:ky="0" w14:algn="tl">
                                    <w14:schemeClr w14:val="dk1">
                                      <w14:alpha w14:val="60000"/>
                                    </w14:schemeClr>
                                  </w14:shadow>
                                  <w14:textOutline w14:w="9525" w14:cap="flat" w14:cmpd="sng" w14:algn="ctr">
                                    <w14:noFill/>
                                    <w14:prstDash w14:val="solid"/>
                                    <w14:round/>
                                  </w14:textOutline>
                                </w:rPr>
                                <w:t>Location of Zambia in Africa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1A20FD2" id="Group 46" o:spid="_x0000_s1027" style="position:absolute;margin-left:354pt;margin-top:.6pt;width:159.75pt;height:145.5pt;z-index:251666944" coordsize="20288,184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">
                <v:rect id="Rectangle 9" o:spid="_x0000_s1028" style="position:absolute;width:20288;height:18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" fillcolor="#5b9bd5 [3204]" strokecolor="#1f4d78 [1604]" strokeweight="1pt">
                  <v:textbox>
                    <w:txbxContent>
                      <w:p w14:paraId="4C50F91E" w14:textId="2C0349C8" w:rsidR="00BE7199" w:rsidRDefault="00BE7199" w:rsidP="005E626A">
                        <w:pPr>
                          <w:jc w:val="center"/>
                        </w:pPr>
                        <w:r w:rsidRPr="00F928EC">
                          <w:rPr>
                            <w:noProof/>
                            <w:lang w:val="en-GB" w:eastAsia="en-GB"/>
                          </w:rPr>
                          <w:drawing>
                            <wp:inline distT="0" distB="0" distL="0" distR="0" wp14:anchorId="1532443E" wp14:editId="3FF446BB">
                              <wp:extent cx="1943100" cy="17227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43100" cy="1722755"/>
                                      </a:xfrm>
                                      <a:prstGeom prst="rect">
                                        <a:avLst/>
                                      </a:prstGeom>
                                    </pic:spPr>
                                  </pic:pic>
                                </a:graphicData>
                              </a:graphic>
                            </wp:inline>
                          </w:drawing>
                        </w:r>
                      </w:p>
                    </w:txbxContent>
                  </v:textbox>
                </v:rect>
                <v:rect id="Rectangle 36" o:spid="_x0000_s1029" style="position:absolute;top:12668;width:8858;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" fillcolor="white [3201]" strokecolor="#70ad47 [3209]" strokeweight="1pt">
                  <v:textbox>
                    <w:txbxContent>
                      <w:p w14:paraId="1980CE68" w14:textId="54DC40D2" w:rsidR="00BE7199" w:rsidRPr="005E626A" w:rsidRDefault="00BE7199" w:rsidP="005E626A">
                        <w:pPr>
                          <w:jc w:val="center"/>
                          <w:rPr>
                            <w:sz w:val="16"/>
                            <w:szCs w:val="16"/>
                            <w:u w:val="single"/>
                            <w14:shadow w14:blurRad="38100" w14:dist="19050" w14:dir="2700000" w14:sx="100000" w14:sy="100000" w14:kx="0" w14:ky="0" w14:algn="tl">
                              <w14:schemeClr w14:val="dk1">
                                <w14:alpha w14:val="60000"/>
                              </w14:schemeClr>
                            </w14:shadow>
                            <w14:textOutline w14:w="9525" w14:cap="flat" w14:cmpd="sng" w14:algn="ctr">
                              <w14:noFill/>
                              <w14:prstDash w14:val="solid"/>
                              <w14:round/>
                            </w14:textOutline>
                          </w:rPr>
                        </w:pPr>
                        <w:r w:rsidRPr="005E626A">
                          <w:rPr>
                            <w:sz w:val="16"/>
                            <w:szCs w:val="16"/>
                            <w:u w:val="single"/>
                            <w14:shadow w14:blurRad="38100" w14:dist="19050" w14:dir="2700000" w14:sx="100000" w14:sy="100000" w14:kx="0" w14:ky="0" w14:algn="tl">
                              <w14:schemeClr w14:val="dk1">
                                <w14:alpha w14:val="60000"/>
                              </w14:schemeClr>
                            </w14:shadow>
                            <w14:textOutline w14:w="9525" w14:cap="flat" w14:cmpd="sng" w14:algn="ctr">
                              <w14:noFill/>
                              <w14:prstDash w14:val="solid"/>
                              <w14:round/>
                            </w14:textOutline>
                          </w:rPr>
                          <w:t>Location of Zambia in Africa</w:t>
                        </w:r>
                      </w:p>
                    </w:txbxContent>
                  </v:textbox>
                </v:rect>
              </v:group>
            </w:pict>
          </mc:Fallback>
        </mc:AlternateContent>
      </w:r>
      <w:r w:rsidR="00521ABD" w:rsidRPr="00191ACB">
        <w:rPr>
          <w:rFonts w:ascii="Times New Roman" w:hAnsi="Times New Roman" w:cs="Times New Roman"/>
          <w:noProof/>
          <w:color w:val="000000" w:themeColor="text1"/>
          <w:sz w:val="24"/>
          <w:szCs w:val="24"/>
          <w:lang w:val="en-GB" w:eastAsia="en-GB"/>
        </w:rPr>
        <w:drawing>
          <wp:inline distT="0" distB="0" distL="0" distR="0" wp14:anchorId="20C8416D" wp14:editId="5BA96211">
            <wp:extent cx="4779034" cy="3227705"/>
            <wp:effectExtent l="0" t="0" r="2540" b="0"/>
            <wp:docPr id="5" name="Picture 8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820666" cy="3255823"/>
                    </a:xfrm>
                    <a:prstGeom prst="rect">
                      <a:avLst/>
                    </a:prstGeom>
                    <a:noFill/>
                    <a:ln>
                      <a:noFill/>
                      <a:prstDash/>
                    </a:ln>
                  </pic:spPr>
                </pic:pic>
              </a:graphicData>
            </a:graphic>
          </wp:inline>
        </w:drawing>
      </w:r>
      <w:bookmarkStart w:id="11" w:name="_Toc27660636"/>
    </w:p>
    <w:p w14:paraId="60D5D47D" w14:textId="5DBFC81D" w:rsidR="00D8274F" w:rsidRPr="00191ACB" w:rsidRDefault="00D51275" w:rsidP="00D51275">
      <w:pPr>
        <w:pStyle w:val="Caption"/>
        <w:rPr>
          <w:b/>
          <w:bCs/>
          <w:i w:val="0"/>
          <w:iCs w:val="0"/>
          <w:color w:val="auto"/>
          <w:sz w:val="24"/>
          <w:szCs w:val="24"/>
        </w:rPr>
      </w:pPr>
      <w:bookmarkStart w:id="12" w:name="_Toc56583842"/>
      <w:bookmarkEnd w:id="11"/>
      <w:r w:rsidRPr="00191ACB">
        <w:rPr>
          <w:b/>
          <w:bCs/>
          <w:sz w:val="24"/>
          <w:szCs w:val="24"/>
        </w:rPr>
        <w:t xml:space="preserve">Figure </w:t>
      </w:r>
      <w:r w:rsidR="009D481C">
        <w:rPr>
          <w:b/>
          <w:bCs/>
          <w:sz w:val="24"/>
          <w:szCs w:val="24"/>
        </w:rPr>
        <w:fldChar w:fldCharType="begin"/>
      </w:r>
      <w:r w:rsidR="009D481C">
        <w:rPr>
          <w:b/>
          <w:bCs/>
          <w:sz w:val="24"/>
          <w:szCs w:val="24"/>
        </w:rPr>
        <w:instrText xml:space="preserve"> STYLEREF 1 \s </w:instrText>
      </w:r>
      <w:r w:rsidR="009D481C">
        <w:rPr>
          <w:b/>
          <w:bCs/>
          <w:sz w:val="24"/>
          <w:szCs w:val="24"/>
        </w:rPr>
        <w:fldChar w:fldCharType="separate"/>
      </w:r>
      <w:r w:rsidR="009D481C">
        <w:rPr>
          <w:b/>
          <w:bCs/>
          <w:noProof/>
          <w:sz w:val="24"/>
          <w:szCs w:val="24"/>
        </w:rPr>
        <w:t>2</w:t>
      </w:r>
      <w:r w:rsidR="009D481C">
        <w:rPr>
          <w:b/>
          <w:bCs/>
          <w:sz w:val="24"/>
          <w:szCs w:val="24"/>
        </w:rPr>
        <w:fldChar w:fldCharType="end"/>
      </w:r>
      <w:r w:rsidR="009D481C">
        <w:rPr>
          <w:b/>
          <w:bCs/>
          <w:sz w:val="24"/>
          <w:szCs w:val="24"/>
        </w:rPr>
        <w:t>.</w:t>
      </w:r>
      <w:r w:rsidR="009D481C">
        <w:rPr>
          <w:b/>
          <w:bCs/>
          <w:sz w:val="24"/>
          <w:szCs w:val="24"/>
        </w:rPr>
        <w:fldChar w:fldCharType="begin"/>
      </w:r>
      <w:r w:rsidR="009D481C">
        <w:rPr>
          <w:b/>
          <w:bCs/>
          <w:sz w:val="24"/>
          <w:szCs w:val="24"/>
        </w:rPr>
        <w:instrText xml:space="preserve"> SEQ Figure \* ARABIC \s 1 </w:instrText>
      </w:r>
      <w:r w:rsidR="009D481C">
        <w:rPr>
          <w:b/>
          <w:bCs/>
          <w:sz w:val="24"/>
          <w:szCs w:val="24"/>
        </w:rPr>
        <w:fldChar w:fldCharType="separate"/>
      </w:r>
      <w:r w:rsidR="009D481C">
        <w:rPr>
          <w:b/>
          <w:bCs/>
          <w:noProof/>
          <w:sz w:val="24"/>
          <w:szCs w:val="24"/>
        </w:rPr>
        <w:t>1</w:t>
      </w:r>
      <w:r w:rsidR="009D481C">
        <w:rPr>
          <w:b/>
          <w:bCs/>
          <w:sz w:val="24"/>
          <w:szCs w:val="24"/>
        </w:rPr>
        <w:fldChar w:fldCharType="end"/>
      </w:r>
      <w:r w:rsidRPr="00191ACB">
        <w:rPr>
          <w:b/>
          <w:bCs/>
          <w:sz w:val="24"/>
          <w:szCs w:val="24"/>
        </w:rPr>
        <w:t>:Physical Map of Zambia</w:t>
      </w:r>
      <w:bookmarkEnd w:id="12"/>
    </w:p>
    <w:p w14:paraId="7F7BE112" w14:textId="68E2D36C" w:rsidR="00372BE2" w:rsidRPr="00191ACB" w:rsidRDefault="00521ABD" w:rsidP="00D8274F">
      <w:pPr>
        <w:pStyle w:val="Caption"/>
        <w:rPr>
          <w:i w:val="0"/>
          <w:iCs w:val="0"/>
          <w:color w:val="auto"/>
          <w:sz w:val="24"/>
          <w:szCs w:val="24"/>
        </w:rPr>
      </w:pPr>
      <w:r w:rsidRPr="00191ACB">
        <w:rPr>
          <w:color w:val="000000" w:themeColor="text1"/>
          <w:sz w:val="24"/>
          <w:szCs w:val="24"/>
        </w:rPr>
        <w:t>Source: Adapted from Central Statistical Office, 2018.</w:t>
      </w:r>
    </w:p>
    <w:p w14:paraId="692F7C91" w14:textId="07D700BA" w:rsidR="00334885" w:rsidRPr="00191ACB" w:rsidRDefault="00334885" w:rsidP="009445F9">
      <w:pPr>
        <w:spacing w:after="0"/>
        <w:rPr>
          <w:rFonts w:ascii="Times New Roman" w:hAnsi="Times New Roman" w:cs="Times New Roman"/>
          <w:color w:val="000000" w:themeColor="text1"/>
          <w:sz w:val="24"/>
          <w:szCs w:val="24"/>
        </w:rPr>
      </w:pPr>
    </w:p>
    <w:p w14:paraId="569D0179" w14:textId="546207D0" w:rsidR="00EB3A24" w:rsidRPr="00876D31" w:rsidRDefault="00EB3A24" w:rsidP="00B916C3">
      <w:pPr>
        <w:pStyle w:val="Heading3"/>
        <w:numPr>
          <w:ilvl w:val="2"/>
          <w:numId w:val="36"/>
        </w:numPr>
        <w:ind w:left="567" w:hanging="567"/>
        <w:rPr>
          <w:rFonts w:cs="Times New Roman"/>
          <w:color w:val="auto"/>
          <w:szCs w:val="24"/>
        </w:rPr>
      </w:pPr>
      <w:bookmarkStart w:id="13" w:name="_Toc289414194"/>
      <w:bookmarkStart w:id="14" w:name="_Toc400119503"/>
      <w:bookmarkStart w:id="15" w:name="_Toc418464267"/>
      <w:bookmarkStart w:id="16" w:name="_Toc419428293"/>
      <w:bookmarkStart w:id="17" w:name="_Toc57902794"/>
      <w:r w:rsidRPr="00876D31">
        <w:rPr>
          <w:rFonts w:cs="Times New Roman"/>
          <w:color w:val="auto"/>
          <w:szCs w:val="24"/>
        </w:rPr>
        <w:t>Climate</w:t>
      </w:r>
      <w:bookmarkEnd w:id="13"/>
      <w:bookmarkEnd w:id="14"/>
      <w:bookmarkEnd w:id="15"/>
      <w:bookmarkEnd w:id="16"/>
      <w:bookmarkEnd w:id="17"/>
      <w:r w:rsidRPr="00876D31">
        <w:rPr>
          <w:rFonts w:cs="Times New Roman"/>
          <w:color w:val="auto"/>
          <w:szCs w:val="24"/>
        </w:rPr>
        <w:t xml:space="preserve"> </w:t>
      </w:r>
    </w:p>
    <w:p w14:paraId="604E5AAB" w14:textId="619B55A8" w:rsidR="00521B9F" w:rsidRPr="00191ACB" w:rsidRDefault="00521B9F" w:rsidP="00D5127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Zambia’s climate is humid subtropical in most parts of the country with areas of semi-arid climate in the Zambezi depression in the south of the country (SAHIMS, 2005). The hot humid and rainy season is from mid-November to March, and a dry season from April to mid-November (University of East Anglia, 2013). In the dry season, there's a cool period from mid-May to mid-August, and a progressively hotter period from September to mid-November. October is typically the hottest month of the year. </w:t>
      </w:r>
    </w:p>
    <w:p w14:paraId="0B39E979" w14:textId="5CC965DF" w:rsidR="00A92A4E" w:rsidRPr="00191ACB" w:rsidRDefault="00EC72F2" w:rsidP="00D5127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Most high temperatures occur in the valleys, and in the Western Region which is mainly sandy. Parts of northern Zambia, particularly Mbala district, experience lower maximum temperatures as they are at high altitudes. Extremely high temperatures have been recorded in the Zambezi valley. Livingstone, Sesheke and Mfuwe recorded temperature ranges as high as 41.6 °C to 42.4 °C (ZEO 4, 2017). The Zambia Meteorological Department (ZMD) has indicated that temperatures have increased by 1 to 2 degrees Celsius over a period of 75 years from 1940 to 2015 (ZMD, 2019). This provides evidence of a warming climate</w:t>
      </w:r>
      <w:r w:rsidR="007B123C" w:rsidRPr="00191ACB">
        <w:rPr>
          <w:rFonts w:ascii="Times New Roman" w:hAnsi="Times New Roman" w:cs="Times New Roman"/>
          <w:color w:val="000000" w:themeColor="text1"/>
          <w:sz w:val="24"/>
          <w:szCs w:val="24"/>
        </w:rPr>
        <w:t xml:space="preserve"> in Zambia</w:t>
      </w:r>
      <w:r w:rsidRPr="00191ACB">
        <w:rPr>
          <w:rFonts w:ascii="Times New Roman" w:hAnsi="Times New Roman" w:cs="Times New Roman"/>
          <w:color w:val="000000" w:themeColor="text1"/>
          <w:sz w:val="24"/>
          <w:szCs w:val="24"/>
        </w:rPr>
        <w:t>.</w:t>
      </w:r>
      <w:r w:rsidR="00D72CE8" w:rsidRPr="00191ACB">
        <w:rPr>
          <w:rFonts w:ascii="Times New Roman" w:hAnsi="Times New Roman" w:cs="Times New Roman"/>
          <w:color w:val="000000" w:themeColor="text1"/>
          <w:sz w:val="24"/>
          <w:szCs w:val="24"/>
        </w:rPr>
        <w:t xml:space="preserve"> </w:t>
      </w:r>
      <w:r w:rsidR="00A92A4E" w:rsidRPr="00191ACB">
        <w:rPr>
          <w:rFonts w:ascii="Times New Roman" w:hAnsi="Times New Roman" w:cs="Times New Roman"/>
          <w:color w:val="000000" w:themeColor="text1"/>
          <w:sz w:val="24"/>
          <w:szCs w:val="24"/>
        </w:rPr>
        <w:t>Wettest areas are th</w:t>
      </w:r>
      <w:r w:rsidR="00A85E37" w:rsidRPr="00191ACB">
        <w:rPr>
          <w:rFonts w:ascii="Times New Roman" w:hAnsi="Times New Roman" w:cs="Times New Roman"/>
          <w:color w:val="000000" w:themeColor="text1"/>
          <w:sz w:val="24"/>
          <w:szCs w:val="24"/>
        </w:rPr>
        <w:t xml:space="preserve">ose located </w:t>
      </w:r>
      <w:r w:rsidR="00A92A4E" w:rsidRPr="00191ACB">
        <w:rPr>
          <w:rFonts w:ascii="Times New Roman" w:hAnsi="Times New Roman" w:cs="Times New Roman"/>
          <w:color w:val="000000" w:themeColor="text1"/>
          <w:sz w:val="24"/>
          <w:szCs w:val="24"/>
        </w:rPr>
        <w:t>in Agro-ecological Region III, namely the North-Western</w:t>
      </w:r>
      <w:r w:rsidR="00A85E37" w:rsidRPr="00191ACB">
        <w:rPr>
          <w:rFonts w:ascii="Times New Roman" w:hAnsi="Times New Roman" w:cs="Times New Roman"/>
          <w:color w:val="000000" w:themeColor="text1"/>
          <w:sz w:val="24"/>
          <w:szCs w:val="24"/>
        </w:rPr>
        <w:t>,</w:t>
      </w:r>
      <w:r w:rsidR="00A92A4E" w:rsidRPr="00191ACB">
        <w:rPr>
          <w:rFonts w:ascii="Times New Roman" w:hAnsi="Times New Roman" w:cs="Times New Roman"/>
          <w:color w:val="000000" w:themeColor="text1"/>
          <w:sz w:val="24"/>
          <w:szCs w:val="24"/>
        </w:rPr>
        <w:t xml:space="preserve"> Copperbelt</w:t>
      </w:r>
      <w:r w:rsidR="00A85E37" w:rsidRPr="00191ACB">
        <w:rPr>
          <w:rFonts w:ascii="Times New Roman" w:hAnsi="Times New Roman" w:cs="Times New Roman"/>
          <w:color w:val="000000" w:themeColor="text1"/>
          <w:sz w:val="24"/>
          <w:szCs w:val="24"/>
        </w:rPr>
        <w:t xml:space="preserve"> </w:t>
      </w:r>
      <w:r w:rsidR="00A92A4E" w:rsidRPr="00191ACB">
        <w:rPr>
          <w:rFonts w:ascii="Times New Roman" w:hAnsi="Times New Roman" w:cs="Times New Roman"/>
          <w:color w:val="000000" w:themeColor="text1"/>
          <w:sz w:val="24"/>
          <w:szCs w:val="24"/>
        </w:rPr>
        <w:t>and the Northern Province</w:t>
      </w:r>
      <w:r w:rsidR="00A85E37" w:rsidRPr="00191ACB">
        <w:rPr>
          <w:rFonts w:ascii="Times New Roman" w:hAnsi="Times New Roman" w:cs="Times New Roman"/>
          <w:color w:val="000000" w:themeColor="text1"/>
          <w:sz w:val="24"/>
          <w:szCs w:val="24"/>
        </w:rPr>
        <w:t>s</w:t>
      </w:r>
      <w:r w:rsidR="00A92A4E" w:rsidRPr="00191ACB">
        <w:rPr>
          <w:rFonts w:ascii="Times New Roman" w:hAnsi="Times New Roman" w:cs="Times New Roman"/>
          <w:color w:val="000000" w:themeColor="text1"/>
          <w:sz w:val="24"/>
          <w:szCs w:val="24"/>
        </w:rPr>
        <w:t xml:space="preserve">, where precipitation exceeds 1,000 millimeters per year, and in some areas, it can reach 1,400 mm (ZMD, 2019). The most arid area is the South-West, </w:t>
      </w:r>
      <w:r w:rsidR="00A85E37" w:rsidRPr="00191ACB">
        <w:rPr>
          <w:rFonts w:ascii="Times New Roman" w:hAnsi="Times New Roman" w:cs="Times New Roman"/>
          <w:color w:val="000000" w:themeColor="text1"/>
          <w:sz w:val="24"/>
          <w:szCs w:val="24"/>
        </w:rPr>
        <w:t xml:space="preserve">in </w:t>
      </w:r>
      <w:r w:rsidR="00A92A4E" w:rsidRPr="00191ACB">
        <w:rPr>
          <w:rFonts w:ascii="Times New Roman" w:hAnsi="Times New Roman" w:cs="Times New Roman"/>
          <w:color w:val="000000" w:themeColor="text1"/>
          <w:sz w:val="24"/>
          <w:szCs w:val="24"/>
        </w:rPr>
        <w:t xml:space="preserve">the southern part of Western Province, </w:t>
      </w:r>
      <w:r w:rsidR="008F2E90" w:rsidRPr="00191ACB">
        <w:rPr>
          <w:rFonts w:ascii="Times New Roman" w:hAnsi="Times New Roman" w:cs="Times New Roman"/>
          <w:color w:val="000000" w:themeColor="text1"/>
          <w:sz w:val="24"/>
          <w:szCs w:val="24"/>
        </w:rPr>
        <w:t xml:space="preserve">where </w:t>
      </w:r>
      <w:r w:rsidR="00A92A4E" w:rsidRPr="00191ACB">
        <w:rPr>
          <w:rFonts w:ascii="Times New Roman" w:hAnsi="Times New Roman" w:cs="Times New Roman"/>
          <w:color w:val="000000" w:themeColor="text1"/>
          <w:sz w:val="24"/>
          <w:szCs w:val="24"/>
        </w:rPr>
        <w:t>the annual rainfall is around 600 mm or even a little below.</w:t>
      </w:r>
    </w:p>
    <w:p w14:paraId="72A23807" w14:textId="0F52252E" w:rsidR="00A92A4E" w:rsidRPr="00191ACB" w:rsidRDefault="008F2E90" w:rsidP="00D51275">
      <w:pPr>
        <w:pStyle w:val="NoSpacing"/>
        <w:spacing w:after="120" w:line="276" w:lineRule="auto"/>
        <w:jc w:val="both"/>
        <w:rPr>
          <w:rFonts w:ascii="Times New Roman" w:hAnsi="Times New Roman" w:cs="Times New Roman"/>
          <w:color w:val="000000" w:themeColor="text1"/>
          <w:sz w:val="24"/>
          <w:szCs w:val="24"/>
        </w:rPr>
      </w:pPr>
      <w:bookmarkStart w:id="18" w:name="_Hlk50929114"/>
      <w:r w:rsidRPr="00191ACB">
        <w:rPr>
          <w:rFonts w:ascii="Times New Roman" w:hAnsi="Times New Roman" w:cs="Times New Roman"/>
          <w:color w:val="000000" w:themeColor="text1"/>
          <w:sz w:val="24"/>
          <w:szCs w:val="24"/>
        </w:rPr>
        <w:lastRenderedPageBreak/>
        <w:t>Historical trends indicate that a</w:t>
      </w:r>
      <w:r w:rsidR="00A92A4E" w:rsidRPr="00191ACB">
        <w:rPr>
          <w:rFonts w:ascii="Times New Roman" w:hAnsi="Times New Roman" w:cs="Times New Roman"/>
          <w:color w:val="000000" w:themeColor="text1"/>
          <w:sz w:val="24"/>
          <w:szCs w:val="24"/>
        </w:rPr>
        <w:t xml:space="preserve"> large part of Zambia received rainfall of less than 800mm for the periods 1981 to 1990, 1991 to 2000 and 2010 to 2018 (ZMD, 2019). This was not very supportive to farming. The period 2000 to 2010 was relatively wet. Zambia was in drought stress for the period 1991 to 2000 and for the period 2011 to 2020. Zambia has </w:t>
      </w:r>
      <w:r w:rsidR="00C417BC" w:rsidRPr="00191ACB">
        <w:rPr>
          <w:rFonts w:ascii="Times New Roman" w:hAnsi="Times New Roman" w:cs="Times New Roman"/>
          <w:color w:val="000000" w:themeColor="text1"/>
          <w:sz w:val="24"/>
          <w:szCs w:val="24"/>
        </w:rPr>
        <w:t xml:space="preserve">significant </w:t>
      </w:r>
      <w:r w:rsidR="00A92A4E" w:rsidRPr="00191ACB">
        <w:rPr>
          <w:rFonts w:ascii="Times New Roman" w:hAnsi="Times New Roman" w:cs="Times New Roman"/>
          <w:color w:val="000000" w:themeColor="text1"/>
          <w:sz w:val="24"/>
          <w:szCs w:val="24"/>
        </w:rPr>
        <w:t>sunshine</w:t>
      </w:r>
      <w:r w:rsidR="002F4E50" w:rsidRPr="00191ACB">
        <w:rPr>
          <w:rFonts w:ascii="Times New Roman" w:hAnsi="Times New Roman" w:cs="Times New Roman"/>
          <w:color w:val="000000" w:themeColor="text1"/>
          <w:sz w:val="24"/>
          <w:szCs w:val="24"/>
        </w:rPr>
        <w:t xml:space="preserve"> averaging 2000 to 3000 hours of sunshine per year. Average irradiation is 5.5 kWh/m</w:t>
      </w:r>
      <w:r w:rsidR="002F4E50" w:rsidRPr="00191ACB">
        <w:rPr>
          <w:rFonts w:ascii="Times New Roman" w:hAnsi="Times New Roman" w:cs="Times New Roman"/>
          <w:color w:val="000000" w:themeColor="text1"/>
          <w:sz w:val="24"/>
          <w:szCs w:val="24"/>
          <w:vertAlign w:val="superscript"/>
        </w:rPr>
        <w:t>2</w:t>
      </w:r>
      <w:r w:rsidR="002F4E50" w:rsidRPr="00191ACB">
        <w:rPr>
          <w:rFonts w:ascii="Times New Roman" w:hAnsi="Times New Roman" w:cs="Times New Roman"/>
          <w:color w:val="000000" w:themeColor="text1"/>
          <w:sz w:val="24"/>
          <w:szCs w:val="24"/>
        </w:rPr>
        <w:t>/day with northern areas recording the highest solar irradiation of 2300 kWh/m</w:t>
      </w:r>
      <w:r w:rsidR="002F4E50" w:rsidRPr="00191ACB">
        <w:rPr>
          <w:rFonts w:ascii="Times New Roman" w:hAnsi="Times New Roman" w:cs="Times New Roman"/>
          <w:color w:val="000000" w:themeColor="text1"/>
          <w:sz w:val="24"/>
          <w:szCs w:val="24"/>
          <w:vertAlign w:val="superscript"/>
        </w:rPr>
        <w:t>2</w:t>
      </w:r>
      <w:r w:rsidR="002F4E50" w:rsidRPr="00191ACB">
        <w:rPr>
          <w:rFonts w:ascii="Times New Roman" w:hAnsi="Times New Roman" w:cs="Times New Roman"/>
          <w:color w:val="000000" w:themeColor="text1"/>
          <w:sz w:val="24"/>
          <w:szCs w:val="24"/>
        </w:rPr>
        <w:t xml:space="preserve">/day (GET.invest, 2020). </w:t>
      </w:r>
      <w:r w:rsidR="00ED101D" w:rsidRPr="00191ACB">
        <w:rPr>
          <w:rFonts w:ascii="Times New Roman" w:hAnsi="Times New Roman" w:cs="Times New Roman"/>
          <w:color w:val="000000" w:themeColor="text1"/>
          <w:sz w:val="24"/>
          <w:szCs w:val="24"/>
        </w:rPr>
        <w:t xml:space="preserve">Zambia </w:t>
      </w:r>
      <w:r w:rsidR="007B123C" w:rsidRPr="00191ACB">
        <w:rPr>
          <w:rFonts w:ascii="Times New Roman" w:hAnsi="Times New Roman" w:cs="Times New Roman"/>
          <w:color w:val="000000" w:themeColor="text1"/>
          <w:sz w:val="24"/>
          <w:szCs w:val="24"/>
        </w:rPr>
        <w:t>i</w:t>
      </w:r>
      <w:r w:rsidR="00ED101D" w:rsidRPr="00191ACB">
        <w:rPr>
          <w:rFonts w:ascii="Times New Roman" w:hAnsi="Times New Roman" w:cs="Times New Roman"/>
          <w:color w:val="000000" w:themeColor="text1"/>
          <w:sz w:val="24"/>
          <w:szCs w:val="24"/>
        </w:rPr>
        <w:t>s r</w:t>
      </w:r>
      <w:r w:rsidR="002F4E50" w:rsidRPr="00191ACB">
        <w:rPr>
          <w:rFonts w:ascii="Times New Roman" w:hAnsi="Times New Roman" w:cs="Times New Roman"/>
          <w:color w:val="000000" w:themeColor="text1"/>
          <w:sz w:val="24"/>
          <w:szCs w:val="24"/>
        </w:rPr>
        <w:t>e</w:t>
      </w:r>
      <w:r w:rsidR="00ED101D" w:rsidRPr="00191ACB">
        <w:rPr>
          <w:rFonts w:ascii="Times New Roman" w:hAnsi="Times New Roman" w:cs="Times New Roman"/>
          <w:color w:val="000000" w:themeColor="text1"/>
          <w:sz w:val="24"/>
          <w:szCs w:val="24"/>
        </w:rPr>
        <w:t xml:space="preserve">latively limited </w:t>
      </w:r>
      <w:r w:rsidR="007B123C" w:rsidRPr="00191ACB">
        <w:rPr>
          <w:rFonts w:ascii="Times New Roman" w:hAnsi="Times New Roman" w:cs="Times New Roman"/>
          <w:color w:val="000000" w:themeColor="text1"/>
          <w:sz w:val="24"/>
          <w:szCs w:val="24"/>
        </w:rPr>
        <w:t>to wind</w:t>
      </w:r>
      <w:r w:rsidR="00ED101D" w:rsidRPr="00191ACB">
        <w:rPr>
          <w:rFonts w:ascii="Times New Roman" w:hAnsi="Times New Roman" w:cs="Times New Roman"/>
          <w:color w:val="000000" w:themeColor="text1"/>
          <w:sz w:val="24"/>
          <w:szCs w:val="24"/>
        </w:rPr>
        <w:t xml:space="preserve"> speeds ranging from 0.1 to 8.2 m/s at heights ranging from 10m to 130m (Banda et al., 2019)</w:t>
      </w:r>
      <w:r w:rsidR="00C158D6" w:rsidRPr="00191ACB">
        <w:rPr>
          <w:rFonts w:ascii="Times New Roman" w:hAnsi="Times New Roman" w:cs="Times New Roman"/>
          <w:color w:val="000000" w:themeColor="text1"/>
          <w:sz w:val="24"/>
          <w:szCs w:val="24"/>
        </w:rPr>
        <w:t>.</w:t>
      </w:r>
    </w:p>
    <w:bookmarkEnd w:id="18"/>
    <w:p w14:paraId="02F8FBC6" w14:textId="77777777" w:rsidR="00ED101D" w:rsidRPr="00191ACB" w:rsidRDefault="00ED101D" w:rsidP="00D51275">
      <w:pPr>
        <w:pStyle w:val="NoSpacing"/>
        <w:spacing w:after="120" w:line="276" w:lineRule="auto"/>
        <w:rPr>
          <w:rFonts w:ascii="Times New Roman" w:hAnsi="Times New Roman" w:cs="Times New Roman"/>
          <w:color w:val="000000" w:themeColor="text1"/>
          <w:sz w:val="24"/>
          <w:szCs w:val="24"/>
        </w:rPr>
      </w:pPr>
    </w:p>
    <w:p w14:paraId="5551A161" w14:textId="33E4E04A" w:rsidR="009361B7" w:rsidRPr="00191ACB" w:rsidRDefault="009D75BF" w:rsidP="00B916C3">
      <w:pPr>
        <w:pStyle w:val="Heading2"/>
        <w:numPr>
          <w:ilvl w:val="1"/>
          <w:numId w:val="36"/>
        </w:numPr>
        <w:spacing w:before="200" w:after="120" w:line="240" w:lineRule="auto"/>
        <w:ind w:left="567" w:hanging="567"/>
        <w:rPr>
          <w:rFonts w:ascii="Times New Roman" w:hAnsi="Times New Roman" w:cs="Times New Roman"/>
          <w:b/>
          <w:color w:val="000000" w:themeColor="text1"/>
          <w:sz w:val="24"/>
          <w:szCs w:val="24"/>
        </w:rPr>
      </w:pPr>
      <w:bookmarkStart w:id="19" w:name="_Toc57902795"/>
      <w:r w:rsidRPr="00191ACB">
        <w:rPr>
          <w:rFonts w:ascii="Times New Roman" w:hAnsi="Times New Roman" w:cs="Times New Roman"/>
          <w:b/>
          <w:color w:val="000000" w:themeColor="text1"/>
          <w:sz w:val="24"/>
          <w:szCs w:val="24"/>
        </w:rPr>
        <w:t xml:space="preserve">Demography </w:t>
      </w:r>
      <w:r w:rsidR="00BF017E" w:rsidRPr="00191ACB">
        <w:rPr>
          <w:rFonts w:ascii="Times New Roman" w:hAnsi="Times New Roman" w:cs="Times New Roman"/>
          <w:b/>
          <w:color w:val="000000" w:themeColor="text1"/>
          <w:sz w:val="24"/>
          <w:szCs w:val="24"/>
        </w:rPr>
        <w:t>and Human Development</w:t>
      </w:r>
      <w:bookmarkEnd w:id="19"/>
    </w:p>
    <w:p w14:paraId="37A8E83F" w14:textId="4C00F550" w:rsidR="009D75BF" w:rsidRPr="00191ACB" w:rsidRDefault="009D75BF" w:rsidP="008938D9">
      <w:pPr>
        <w:pStyle w:val="Heading3"/>
        <w:numPr>
          <w:ilvl w:val="2"/>
          <w:numId w:val="36"/>
        </w:numPr>
        <w:ind w:left="851" w:hanging="851"/>
        <w:rPr>
          <w:bCs/>
          <w:color w:val="auto"/>
        </w:rPr>
      </w:pPr>
      <w:bookmarkStart w:id="20" w:name="_Toc57902796"/>
      <w:r w:rsidRPr="00876D31">
        <w:t>Population</w:t>
      </w:r>
      <w:bookmarkEnd w:id="20"/>
    </w:p>
    <w:p w14:paraId="0312146C" w14:textId="2C57B348" w:rsidR="008D4252" w:rsidRPr="00191ACB" w:rsidRDefault="008D4252" w:rsidP="006F645C">
      <w:pPr>
        <w:spacing w:after="0" w:line="276" w:lineRule="auto"/>
        <w:jc w:val="both"/>
        <w:rPr>
          <w:rFonts w:ascii="Times New Roman" w:eastAsia="Arial" w:hAnsi="Times New Roman" w:cs="Times New Roman"/>
          <w:color w:val="000000" w:themeColor="text1"/>
          <w:sz w:val="24"/>
          <w:szCs w:val="24"/>
          <w:lang w:val="en"/>
        </w:rPr>
      </w:pPr>
      <w:r w:rsidRPr="00191ACB">
        <w:rPr>
          <w:rFonts w:ascii="Times New Roman" w:eastAsia="Arial" w:hAnsi="Times New Roman" w:cs="Times New Roman"/>
          <w:color w:val="000000" w:themeColor="text1"/>
          <w:sz w:val="24"/>
          <w:szCs w:val="24"/>
          <w:lang w:val="en"/>
        </w:rPr>
        <w:t>The 2010 Census of Population and Housing of Zambia estimated the population at 13,092,666, representing a 32.5 percent increase compared to the 2000 population (</w:t>
      </w:r>
      <w:r w:rsidR="000F44A6" w:rsidRPr="00191ACB">
        <w:rPr>
          <w:rFonts w:ascii="Times New Roman" w:eastAsia="Arial" w:hAnsi="Times New Roman" w:cs="Times New Roman"/>
          <w:color w:val="000000" w:themeColor="text1"/>
          <w:sz w:val="24"/>
          <w:szCs w:val="24"/>
          <w:lang w:val="en"/>
        </w:rPr>
        <w:t>ZAMSTATS</w:t>
      </w:r>
      <w:r w:rsidRPr="00191ACB">
        <w:rPr>
          <w:rFonts w:ascii="Times New Roman" w:eastAsia="Arial" w:hAnsi="Times New Roman" w:cs="Times New Roman"/>
          <w:color w:val="000000" w:themeColor="text1"/>
          <w:sz w:val="24"/>
          <w:szCs w:val="24"/>
          <w:lang w:val="en"/>
        </w:rPr>
        <w:t>, 2010). The 2010 population was projected to grow at an average of 2.4 percent per annum in rural areas during the projection period 2011 to 2035, while the urban population was expected to grow at about 3.5 percent per annum during the same period (</w:t>
      </w:r>
      <w:r w:rsidR="000F44A6" w:rsidRPr="00191ACB">
        <w:rPr>
          <w:rFonts w:ascii="Times New Roman" w:eastAsia="Arial" w:hAnsi="Times New Roman" w:cs="Times New Roman"/>
          <w:color w:val="000000" w:themeColor="text1"/>
          <w:sz w:val="24"/>
          <w:szCs w:val="24"/>
          <w:lang w:val="en"/>
        </w:rPr>
        <w:t>ZAMSTATS</w:t>
      </w:r>
      <w:r w:rsidRPr="00191ACB">
        <w:rPr>
          <w:rFonts w:ascii="Times New Roman" w:eastAsia="Arial" w:hAnsi="Times New Roman" w:cs="Times New Roman"/>
          <w:color w:val="000000" w:themeColor="text1"/>
          <w:sz w:val="24"/>
          <w:szCs w:val="24"/>
          <w:lang w:val="en"/>
        </w:rPr>
        <w:t xml:space="preserve">, 2010). In 2010, the proportion of the population living in rural areas accounted for 60.5 percent as compared to the urban population which stood at 39.5 percent. The population density for Zambia increased from 13.1 persons per square kilometer in 2000 to 17.3 in 2010. The population and projections up to 2035 are shown in Table 2.1 and 2.2. </w:t>
      </w:r>
    </w:p>
    <w:p w14:paraId="0B742DEA" w14:textId="77777777" w:rsidR="008D4252" w:rsidRPr="00191ACB" w:rsidRDefault="008D4252" w:rsidP="005E626A">
      <w:pPr>
        <w:pStyle w:val="NoSpacing"/>
        <w:spacing w:after="120"/>
        <w:jc w:val="both"/>
        <w:rPr>
          <w:rFonts w:ascii="Times New Roman" w:hAnsi="Times New Roman" w:cs="Times New Roman"/>
          <w:color w:val="000000" w:themeColor="text1"/>
          <w:sz w:val="24"/>
          <w:szCs w:val="24"/>
        </w:rPr>
      </w:pPr>
    </w:p>
    <w:p w14:paraId="4A980792" w14:textId="60C29FC0" w:rsidR="008D4252" w:rsidRPr="00191ACB" w:rsidRDefault="00D51275" w:rsidP="00D51275">
      <w:pPr>
        <w:pStyle w:val="Caption"/>
        <w:rPr>
          <w:color w:val="000000" w:themeColor="text1"/>
          <w:sz w:val="24"/>
          <w:szCs w:val="24"/>
        </w:rPr>
      </w:pPr>
      <w:bookmarkStart w:id="21" w:name="_Toc56583754"/>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2</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w:t>
      </w:r>
      <w:r w:rsidR="00875942">
        <w:rPr>
          <w:sz w:val="24"/>
          <w:szCs w:val="24"/>
        </w:rPr>
        <w:fldChar w:fldCharType="end"/>
      </w:r>
      <w:r w:rsidRPr="00191ACB">
        <w:rPr>
          <w:sz w:val="24"/>
          <w:szCs w:val="24"/>
        </w:rPr>
        <w:t>:Population Size by Rural/Urban, Zambia 1990-2010</w:t>
      </w:r>
      <w:bookmarkEnd w:id="21"/>
    </w:p>
    <w:tbl>
      <w:tblPr>
        <w:tblW w:w="9214" w:type="dxa"/>
        <w:tblBorders>
          <w:top w:val="single" w:sz="8" w:space="0" w:color="000000"/>
          <w:left w:val="single" w:sz="4" w:space="0" w:color="000000"/>
          <w:bottom w:val="single" w:sz="8" w:space="0" w:color="000000"/>
          <w:right w:val="single" w:sz="4" w:space="0" w:color="000000"/>
          <w:insideH w:val="single" w:sz="4" w:space="0" w:color="C9C9C9"/>
          <w:insideV w:val="single" w:sz="4" w:space="0" w:color="C9C9C9"/>
        </w:tblBorders>
        <w:tblLayout w:type="fixed"/>
        <w:tblLook w:val="0000" w:firstRow="0" w:lastRow="0" w:firstColumn="0" w:lastColumn="0" w:noHBand="0" w:noVBand="0"/>
      </w:tblPr>
      <w:tblGrid>
        <w:gridCol w:w="1538"/>
        <w:gridCol w:w="1581"/>
        <w:gridCol w:w="1559"/>
        <w:gridCol w:w="1479"/>
        <w:gridCol w:w="1486"/>
        <w:gridCol w:w="1571"/>
      </w:tblGrid>
      <w:tr w:rsidR="008D4252" w:rsidRPr="00191ACB" w14:paraId="357619E0" w14:textId="77777777" w:rsidTr="00FF002A">
        <w:tc>
          <w:tcPr>
            <w:tcW w:w="1538" w:type="dxa"/>
          </w:tcPr>
          <w:p w14:paraId="33F36F3A"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Rural/Urban</w:t>
            </w:r>
          </w:p>
        </w:tc>
        <w:tc>
          <w:tcPr>
            <w:tcW w:w="1581" w:type="dxa"/>
          </w:tcPr>
          <w:p w14:paraId="1CFEE5B4"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1990 Population</w:t>
            </w:r>
          </w:p>
        </w:tc>
        <w:tc>
          <w:tcPr>
            <w:tcW w:w="1559" w:type="dxa"/>
          </w:tcPr>
          <w:p w14:paraId="79BEF7DD"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2000 Population</w:t>
            </w:r>
          </w:p>
        </w:tc>
        <w:tc>
          <w:tcPr>
            <w:tcW w:w="1479" w:type="dxa"/>
          </w:tcPr>
          <w:p w14:paraId="2E37D272"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Percentage change</w:t>
            </w:r>
          </w:p>
        </w:tc>
        <w:tc>
          <w:tcPr>
            <w:tcW w:w="1486" w:type="dxa"/>
          </w:tcPr>
          <w:p w14:paraId="2E912E51"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2010 Population</w:t>
            </w:r>
          </w:p>
        </w:tc>
        <w:tc>
          <w:tcPr>
            <w:tcW w:w="1571" w:type="dxa"/>
          </w:tcPr>
          <w:p w14:paraId="12AA972B"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Percentage change</w:t>
            </w:r>
          </w:p>
        </w:tc>
      </w:tr>
      <w:tr w:rsidR="008D4252" w:rsidRPr="00191ACB" w14:paraId="11364402" w14:textId="77777777" w:rsidTr="00FF002A">
        <w:tc>
          <w:tcPr>
            <w:tcW w:w="1538" w:type="dxa"/>
          </w:tcPr>
          <w:p w14:paraId="0ECB6445"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Zambia</w:t>
            </w:r>
          </w:p>
        </w:tc>
        <w:tc>
          <w:tcPr>
            <w:tcW w:w="1581" w:type="dxa"/>
          </w:tcPr>
          <w:p w14:paraId="2BD25FE4"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7,383,097</w:t>
            </w:r>
          </w:p>
        </w:tc>
        <w:tc>
          <w:tcPr>
            <w:tcW w:w="1559" w:type="dxa"/>
          </w:tcPr>
          <w:p w14:paraId="40B589D7"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9,885,591</w:t>
            </w:r>
          </w:p>
        </w:tc>
        <w:tc>
          <w:tcPr>
            <w:tcW w:w="1479" w:type="dxa"/>
          </w:tcPr>
          <w:p w14:paraId="0F75D90C"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33.9</w:t>
            </w:r>
          </w:p>
        </w:tc>
        <w:tc>
          <w:tcPr>
            <w:tcW w:w="1486" w:type="dxa"/>
          </w:tcPr>
          <w:p w14:paraId="37144FF7"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13,092,666</w:t>
            </w:r>
          </w:p>
        </w:tc>
        <w:tc>
          <w:tcPr>
            <w:tcW w:w="1571" w:type="dxa"/>
          </w:tcPr>
          <w:p w14:paraId="214C8FD3"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32.4</w:t>
            </w:r>
          </w:p>
        </w:tc>
      </w:tr>
      <w:tr w:rsidR="008D4252" w:rsidRPr="00191ACB" w14:paraId="7650C622" w14:textId="77777777" w:rsidTr="00FF002A">
        <w:tc>
          <w:tcPr>
            <w:tcW w:w="1538" w:type="dxa"/>
          </w:tcPr>
          <w:p w14:paraId="69DBB699"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Rural</w:t>
            </w:r>
          </w:p>
        </w:tc>
        <w:tc>
          <w:tcPr>
            <w:tcW w:w="1581" w:type="dxa"/>
          </w:tcPr>
          <w:p w14:paraId="2CF8FC6D"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4,477,814</w:t>
            </w:r>
          </w:p>
        </w:tc>
        <w:tc>
          <w:tcPr>
            <w:tcW w:w="1559" w:type="dxa"/>
          </w:tcPr>
          <w:p w14:paraId="66F8AA33"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6,458,729</w:t>
            </w:r>
          </w:p>
        </w:tc>
        <w:tc>
          <w:tcPr>
            <w:tcW w:w="1479" w:type="dxa"/>
          </w:tcPr>
          <w:p w14:paraId="6CA6671A"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44.2</w:t>
            </w:r>
          </w:p>
        </w:tc>
        <w:tc>
          <w:tcPr>
            <w:tcW w:w="1486" w:type="dxa"/>
          </w:tcPr>
          <w:p w14:paraId="46CE44F5"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7,919,216</w:t>
            </w:r>
          </w:p>
        </w:tc>
        <w:tc>
          <w:tcPr>
            <w:tcW w:w="1571" w:type="dxa"/>
          </w:tcPr>
          <w:p w14:paraId="72385639"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22.6</w:t>
            </w:r>
          </w:p>
        </w:tc>
      </w:tr>
      <w:tr w:rsidR="008D4252" w:rsidRPr="00191ACB" w14:paraId="275C5495" w14:textId="77777777" w:rsidTr="00FF002A">
        <w:tc>
          <w:tcPr>
            <w:tcW w:w="1538" w:type="dxa"/>
          </w:tcPr>
          <w:p w14:paraId="13CE0941"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Urban</w:t>
            </w:r>
          </w:p>
        </w:tc>
        <w:tc>
          <w:tcPr>
            <w:tcW w:w="1581" w:type="dxa"/>
          </w:tcPr>
          <w:p w14:paraId="6245C2AD"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2,905,283</w:t>
            </w:r>
          </w:p>
        </w:tc>
        <w:tc>
          <w:tcPr>
            <w:tcW w:w="1559" w:type="dxa"/>
          </w:tcPr>
          <w:p w14:paraId="294A4C4D"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3,426,862</w:t>
            </w:r>
          </w:p>
        </w:tc>
        <w:tc>
          <w:tcPr>
            <w:tcW w:w="1479" w:type="dxa"/>
          </w:tcPr>
          <w:p w14:paraId="225DFD91"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17.9</w:t>
            </w:r>
          </w:p>
        </w:tc>
        <w:tc>
          <w:tcPr>
            <w:tcW w:w="1486" w:type="dxa"/>
          </w:tcPr>
          <w:p w14:paraId="0AD5641E"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5,173,450</w:t>
            </w:r>
          </w:p>
        </w:tc>
        <w:tc>
          <w:tcPr>
            <w:tcW w:w="1571" w:type="dxa"/>
          </w:tcPr>
          <w:p w14:paraId="376E8E78"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51.0</w:t>
            </w:r>
          </w:p>
        </w:tc>
      </w:tr>
    </w:tbl>
    <w:p w14:paraId="0B1C7D07" w14:textId="77777777" w:rsidR="008D4252" w:rsidRPr="00191ACB" w:rsidRDefault="008D4252" w:rsidP="008D4252">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Sources: Censuses of Population and Housing, 1990, 2000 and 2010</w:t>
      </w:r>
    </w:p>
    <w:p w14:paraId="529D45AE" w14:textId="77777777" w:rsidR="000C1EDE" w:rsidRPr="00191ACB" w:rsidRDefault="000C1EDE" w:rsidP="005E626A">
      <w:pPr>
        <w:pStyle w:val="NoSpacing"/>
        <w:spacing w:after="120"/>
        <w:jc w:val="both"/>
        <w:rPr>
          <w:rFonts w:ascii="Times New Roman" w:hAnsi="Times New Roman" w:cs="Times New Roman"/>
          <w:color w:val="000000" w:themeColor="text1"/>
          <w:sz w:val="24"/>
          <w:szCs w:val="24"/>
        </w:rPr>
      </w:pPr>
    </w:p>
    <w:p w14:paraId="03845EC8" w14:textId="4706309D" w:rsidR="002C3802" w:rsidRPr="00191ACB" w:rsidRDefault="00D51275" w:rsidP="00D51275">
      <w:pPr>
        <w:pStyle w:val="Caption"/>
        <w:rPr>
          <w:color w:val="000000" w:themeColor="text1"/>
          <w:sz w:val="24"/>
          <w:szCs w:val="24"/>
        </w:rPr>
      </w:pPr>
      <w:bookmarkStart w:id="22" w:name="_Toc56583755"/>
      <w:bookmarkStart w:id="23" w:name="_Toc23026559"/>
      <w:bookmarkStart w:id="24" w:name="_Toc23029897"/>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2</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w:t>
      </w:r>
      <w:r w:rsidR="00875942">
        <w:rPr>
          <w:sz w:val="24"/>
          <w:szCs w:val="24"/>
        </w:rPr>
        <w:fldChar w:fldCharType="end"/>
      </w:r>
      <w:r w:rsidRPr="00191ACB">
        <w:rPr>
          <w:sz w:val="24"/>
          <w:szCs w:val="24"/>
        </w:rPr>
        <w:t>:Zambia, Population Projection (2011-2015)</w:t>
      </w:r>
      <w:bookmarkEnd w:id="22"/>
    </w:p>
    <w:tbl>
      <w:tblPr>
        <w:tblW w:w="9214" w:type="dxa"/>
        <w:tblInd w:w="108" w:type="dxa"/>
        <w:tblCellMar>
          <w:left w:w="10" w:type="dxa"/>
          <w:right w:w="10" w:type="dxa"/>
        </w:tblCellMar>
        <w:tblLook w:val="04A0" w:firstRow="1" w:lastRow="0" w:firstColumn="1" w:lastColumn="0" w:noHBand="0" w:noVBand="1"/>
      </w:tblPr>
      <w:tblGrid>
        <w:gridCol w:w="1429"/>
        <w:gridCol w:w="1296"/>
        <w:gridCol w:w="1296"/>
        <w:gridCol w:w="1296"/>
        <w:gridCol w:w="1296"/>
        <w:gridCol w:w="1296"/>
        <w:gridCol w:w="1305"/>
      </w:tblGrid>
      <w:tr w:rsidR="002C3802" w:rsidRPr="00191ACB" w14:paraId="6FAF2BDF" w14:textId="77777777" w:rsidTr="008E6ED9">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bookmarkEnd w:id="23"/>
          <w:bookmarkEnd w:id="24"/>
          <w:p w14:paraId="0834D5BB"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Year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F82DD0"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2011</w:t>
            </w:r>
          </w:p>
        </w:tc>
        <w:tc>
          <w:tcPr>
            <w:tcW w:w="12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027E52"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2015</w:t>
            </w:r>
          </w:p>
        </w:tc>
        <w:tc>
          <w:tcPr>
            <w:tcW w:w="12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4F013"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2020</w:t>
            </w:r>
          </w:p>
        </w:tc>
        <w:tc>
          <w:tcPr>
            <w:tcW w:w="12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6ACC09"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2025</w:t>
            </w:r>
          </w:p>
        </w:tc>
        <w:tc>
          <w:tcPr>
            <w:tcW w:w="12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26BE2"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2030</w:t>
            </w: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91852F"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2035</w:t>
            </w:r>
          </w:p>
        </w:tc>
      </w:tr>
      <w:tr w:rsidR="002C3802" w:rsidRPr="00191ACB" w14:paraId="3E415633" w14:textId="77777777" w:rsidTr="008E6ED9">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32F503"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Population Zambia</w:t>
            </w:r>
          </w:p>
        </w:tc>
        <w:tc>
          <w:tcPr>
            <w:tcW w:w="12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EE3640"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13,718,722</w:t>
            </w:r>
          </w:p>
        </w:tc>
        <w:tc>
          <w:tcPr>
            <w:tcW w:w="12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A41E01"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15,473,905</w:t>
            </w:r>
          </w:p>
        </w:tc>
        <w:tc>
          <w:tcPr>
            <w:tcW w:w="12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1FBD70"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17,885,422</w:t>
            </w:r>
          </w:p>
        </w:tc>
        <w:tc>
          <w:tcPr>
            <w:tcW w:w="12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B370EB"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20,574,138</w:t>
            </w:r>
          </w:p>
        </w:tc>
        <w:tc>
          <w:tcPr>
            <w:tcW w:w="12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FFAB54"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23,576,214</w:t>
            </w: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CAC0D" w14:textId="77777777" w:rsidR="002C3802" w:rsidRPr="00191ACB" w:rsidRDefault="002C3802" w:rsidP="008E6ED9">
            <w:pPr>
              <w:spacing w:after="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26,923,658</w:t>
            </w:r>
          </w:p>
        </w:tc>
      </w:tr>
    </w:tbl>
    <w:p w14:paraId="6B94B672" w14:textId="0FA50557" w:rsidR="002C3802" w:rsidRPr="00191ACB" w:rsidRDefault="002C3802" w:rsidP="002C3802">
      <w:pPr>
        <w:spacing w:after="0" w:line="240" w:lineRule="auto"/>
        <w:jc w:val="both"/>
        <w:rPr>
          <w:rFonts w:ascii="Times New Roman" w:hAnsi="Times New Roman" w:cs="Times New Roman"/>
          <w:b/>
          <w:bCs/>
          <w:i/>
          <w:iCs/>
          <w:color w:val="000000" w:themeColor="text1"/>
          <w:sz w:val="24"/>
          <w:szCs w:val="24"/>
        </w:rPr>
      </w:pPr>
      <w:r w:rsidRPr="00191ACB">
        <w:rPr>
          <w:rFonts w:ascii="Times New Roman" w:hAnsi="Times New Roman" w:cs="Times New Roman"/>
          <w:b/>
          <w:bCs/>
          <w:i/>
          <w:iCs/>
          <w:color w:val="000000" w:themeColor="text1"/>
          <w:sz w:val="24"/>
          <w:szCs w:val="24"/>
        </w:rPr>
        <w:t xml:space="preserve">Source: </w:t>
      </w:r>
      <w:r w:rsidR="000F44A6" w:rsidRPr="00191ACB">
        <w:rPr>
          <w:rFonts w:ascii="Times New Roman" w:hAnsi="Times New Roman" w:cs="Times New Roman"/>
          <w:b/>
          <w:bCs/>
          <w:i/>
          <w:iCs/>
          <w:color w:val="000000" w:themeColor="text1"/>
          <w:sz w:val="24"/>
          <w:szCs w:val="24"/>
        </w:rPr>
        <w:t>ZAMSTATS</w:t>
      </w:r>
      <w:r w:rsidRPr="00191ACB">
        <w:rPr>
          <w:rFonts w:ascii="Times New Roman" w:hAnsi="Times New Roman" w:cs="Times New Roman"/>
          <w:b/>
          <w:bCs/>
          <w:i/>
          <w:iCs/>
          <w:color w:val="000000" w:themeColor="text1"/>
          <w:sz w:val="24"/>
          <w:szCs w:val="24"/>
        </w:rPr>
        <w:t>, 2012 and Zambia Population and Demographic Projections, 2011-2035</w:t>
      </w:r>
    </w:p>
    <w:p w14:paraId="65E282D7" w14:textId="43281E0A" w:rsidR="00EB3A24" w:rsidRPr="00191ACB" w:rsidRDefault="00EB3A24" w:rsidP="005E626A">
      <w:pPr>
        <w:pStyle w:val="NoSpacing"/>
        <w:spacing w:after="120"/>
        <w:jc w:val="both"/>
        <w:rPr>
          <w:rFonts w:ascii="Times New Roman" w:hAnsi="Times New Roman" w:cs="Times New Roman"/>
          <w:color w:val="000000" w:themeColor="text1"/>
          <w:sz w:val="24"/>
          <w:szCs w:val="24"/>
        </w:rPr>
      </w:pPr>
    </w:p>
    <w:p w14:paraId="63836217" w14:textId="20405034" w:rsidR="00EB3A24" w:rsidRPr="00191ACB" w:rsidRDefault="00EB3A24" w:rsidP="00A60A8C">
      <w:pPr>
        <w:pStyle w:val="NoSpacing"/>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population density for Zambia increased from 13.1 persons per square kilometer in 2000 to 17.4 in 2010 representing an increase of 4.3 persons per square kilomet</w:t>
      </w:r>
      <w:r w:rsidR="009D75BF" w:rsidRPr="00191ACB">
        <w:rPr>
          <w:rFonts w:ascii="Times New Roman" w:hAnsi="Times New Roman" w:cs="Times New Roman"/>
          <w:color w:val="000000" w:themeColor="text1"/>
          <w:sz w:val="24"/>
          <w:szCs w:val="24"/>
        </w:rPr>
        <w:t>re</w:t>
      </w:r>
      <w:r w:rsidRPr="00191ACB">
        <w:rPr>
          <w:rFonts w:ascii="Times New Roman" w:hAnsi="Times New Roman" w:cs="Times New Roman"/>
          <w:color w:val="000000" w:themeColor="text1"/>
          <w:sz w:val="24"/>
          <w:szCs w:val="24"/>
        </w:rPr>
        <w:t>. Zambia has a young population with 45.3 percent being below 15 years of age. The population between the ages of 15 and 24 years is equivalent to 20.8 percent with the elder population above 65 years constitutes 2.6 percent of the total population (</w:t>
      </w:r>
      <w:r w:rsidR="000F44A6" w:rsidRPr="00191ACB">
        <w:rPr>
          <w:rFonts w:ascii="Times New Roman" w:hAnsi="Times New Roman" w:cs="Times New Roman"/>
          <w:color w:val="000000" w:themeColor="text1"/>
          <w:sz w:val="24"/>
          <w:szCs w:val="24"/>
        </w:rPr>
        <w:t>ZAMSTATS</w:t>
      </w:r>
      <w:r w:rsidRPr="00191ACB">
        <w:rPr>
          <w:rFonts w:ascii="Times New Roman" w:hAnsi="Times New Roman" w:cs="Times New Roman"/>
          <w:color w:val="000000" w:themeColor="text1"/>
          <w:sz w:val="24"/>
          <w:szCs w:val="24"/>
        </w:rPr>
        <w:t xml:space="preserve">, 2012). </w:t>
      </w:r>
      <w:r w:rsidR="00150FCE" w:rsidRPr="00191ACB">
        <w:rPr>
          <w:rFonts w:ascii="Times New Roman" w:hAnsi="Times New Roman" w:cs="Times New Roman"/>
          <w:color w:val="000000" w:themeColor="text1"/>
          <w:sz w:val="24"/>
          <w:szCs w:val="24"/>
        </w:rPr>
        <w:t xml:space="preserve">The Overall Dependency Ratio was 92.5 persons aged 0-14 and 65 years and above per 100 persons aged between 15-64 years. Child Dependency Ratio was 87.4 while </w:t>
      </w:r>
      <w:r w:rsidR="00150FCE" w:rsidRPr="00191ACB">
        <w:rPr>
          <w:rFonts w:ascii="Times New Roman" w:hAnsi="Times New Roman" w:cs="Times New Roman"/>
          <w:color w:val="000000" w:themeColor="text1"/>
          <w:sz w:val="24"/>
          <w:szCs w:val="24"/>
        </w:rPr>
        <w:lastRenderedPageBreak/>
        <w:t xml:space="preserve">Aged Dependency Ratio was 5.1. </w:t>
      </w:r>
      <w:r w:rsidRPr="00191ACB">
        <w:rPr>
          <w:rFonts w:ascii="Times New Roman" w:hAnsi="Times New Roman" w:cs="Times New Roman"/>
          <w:color w:val="000000" w:themeColor="text1"/>
          <w:sz w:val="24"/>
          <w:szCs w:val="24"/>
        </w:rPr>
        <w:t>The prevalence of HIV and AIDS has had a significant impact on the population of Zambia with a rate of 21.6 percent of adults living with HIV and AIDS in 2001 reducing to 14.3 percent in 2007. From 1990 to 2011 the rate of new infections more than halved in the Zambian adult population (15 years and older), to 0.96 percent in males and to 1.25 percent amongst females</w:t>
      </w:r>
      <w:r w:rsidR="00C80AA3" w:rsidRPr="00191ACB">
        <w:rPr>
          <w:rFonts w:ascii="Times New Roman" w:hAnsi="Times New Roman" w:cs="Times New Roman"/>
          <w:color w:val="000000" w:themeColor="text1"/>
          <w:sz w:val="24"/>
          <w:szCs w:val="24"/>
        </w:rPr>
        <w:t xml:space="preserve"> (UNDP, 2013)</w:t>
      </w:r>
      <w:r w:rsidRPr="00191ACB">
        <w:rPr>
          <w:rFonts w:ascii="Times New Roman" w:hAnsi="Times New Roman" w:cs="Times New Roman"/>
          <w:color w:val="000000" w:themeColor="text1"/>
          <w:sz w:val="24"/>
          <w:szCs w:val="24"/>
        </w:rPr>
        <w:t xml:space="preserve">. </w:t>
      </w:r>
    </w:p>
    <w:p w14:paraId="503ADB8B" w14:textId="1E71DE64" w:rsidR="006F645C" w:rsidRPr="00876D31" w:rsidRDefault="006F645C" w:rsidP="008938D9">
      <w:pPr>
        <w:pStyle w:val="Heading3"/>
        <w:numPr>
          <w:ilvl w:val="2"/>
          <w:numId w:val="36"/>
        </w:numPr>
        <w:ind w:left="851" w:hanging="851"/>
        <w:rPr>
          <w:rFonts w:cs="Times New Roman"/>
          <w:b w:val="0"/>
          <w:color w:val="000000" w:themeColor="text1"/>
          <w:szCs w:val="24"/>
        </w:rPr>
      </w:pPr>
      <w:bookmarkStart w:id="25" w:name="_Toc57902797"/>
      <w:r w:rsidRPr="008938D9">
        <w:t>Zambia</w:t>
      </w:r>
      <w:r w:rsidRPr="00876D31">
        <w:rPr>
          <w:rFonts w:cs="Times New Roman"/>
          <w:b w:val="0"/>
          <w:color w:val="000000" w:themeColor="text1"/>
          <w:szCs w:val="24"/>
        </w:rPr>
        <w:t xml:space="preserve"> </w:t>
      </w:r>
      <w:r w:rsidRPr="008938D9">
        <w:t>Governance</w:t>
      </w:r>
      <w:bookmarkEnd w:id="25"/>
    </w:p>
    <w:p w14:paraId="1B3D723E" w14:textId="77777777" w:rsidR="006F645C" w:rsidRPr="00191ACB" w:rsidRDefault="006F645C" w:rsidP="00A60A8C">
      <w:pPr>
        <w:spacing w:after="0" w:line="276" w:lineRule="auto"/>
        <w:jc w:val="both"/>
        <w:rPr>
          <w:rFonts w:ascii="Times New Roman" w:eastAsia="Arial" w:hAnsi="Times New Roman" w:cs="Times New Roman"/>
          <w:color w:val="000000" w:themeColor="text1"/>
          <w:sz w:val="24"/>
          <w:szCs w:val="24"/>
          <w:lang w:val="en"/>
        </w:rPr>
      </w:pPr>
      <w:r w:rsidRPr="00191ACB">
        <w:rPr>
          <w:rFonts w:ascii="Times New Roman" w:eastAsia="Arial" w:hAnsi="Times New Roman" w:cs="Times New Roman"/>
          <w:color w:val="000000" w:themeColor="text1"/>
          <w:sz w:val="24"/>
          <w:szCs w:val="24"/>
          <w:lang w:val="en"/>
        </w:rPr>
        <w:t>Zambia is a multi-party democracy with a distinct separation of powers between the three arms of Government; the Executive, Legislature and Judiciary. The Executive is headed by the President of the Republic, the Legislature by the Speaker of the National Assembly while the Judiciary is headed by the Chief Justice. The Legislature makes laws, the Executive enforces them and the Judiciary applies them to specific cases arising out of breach of laws.</w:t>
      </w:r>
    </w:p>
    <w:p w14:paraId="1F547903" w14:textId="77777777" w:rsidR="006F645C" w:rsidRPr="00191ACB" w:rsidRDefault="006F645C" w:rsidP="00A60A8C">
      <w:pPr>
        <w:spacing w:after="0" w:line="276" w:lineRule="auto"/>
        <w:jc w:val="both"/>
        <w:rPr>
          <w:rFonts w:ascii="Times New Roman" w:eastAsia="Arial" w:hAnsi="Times New Roman" w:cs="Times New Roman"/>
          <w:color w:val="000000" w:themeColor="text1"/>
          <w:sz w:val="24"/>
          <w:szCs w:val="24"/>
          <w:lang w:val="en"/>
        </w:rPr>
      </w:pPr>
    </w:p>
    <w:p w14:paraId="06B31C52" w14:textId="77777777" w:rsidR="006F645C" w:rsidRPr="00191ACB" w:rsidRDefault="006F645C" w:rsidP="00A60A8C">
      <w:pPr>
        <w:spacing w:after="0" w:line="276" w:lineRule="auto"/>
        <w:jc w:val="both"/>
        <w:rPr>
          <w:rFonts w:ascii="Times New Roman" w:eastAsia="Arial" w:hAnsi="Times New Roman" w:cs="Times New Roman"/>
          <w:color w:val="000000" w:themeColor="text1"/>
          <w:sz w:val="24"/>
          <w:szCs w:val="24"/>
          <w:lang w:val="en"/>
        </w:rPr>
      </w:pPr>
      <w:r w:rsidRPr="00191ACB">
        <w:rPr>
          <w:rFonts w:ascii="Times New Roman" w:eastAsia="Arial" w:hAnsi="Times New Roman" w:cs="Times New Roman"/>
          <w:color w:val="000000" w:themeColor="text1"/>
          <w:sz w:val="24"/>
          <w:szCs w:val="24"/>
          <w:lang w:val="en"/>
        </w:rPr>
        <w:t>The Central Government operates through sub national structures at provincial, district and ward levels. Each Province is headed by a Provincial Minister, while the Permanent Secretary is the administrative head. In the districts, the District Commissioner is the administrative head. At ward level, the government is headed by a Councilor (National Assembly of Zambia, 2018).  It is worth noting that the provincial and district coordination committees are the established structures through which the Central Government governs the country at provincial and district levels.</w:t>
      </w:r>
    </w:p>
    <w:p w14:paraId="3DA81692" w14:textId="77777777" w:rsidR="009D75BF" w:rsidRPr="00191ACB" w:rsidRDefault="009D75BF" w:rsidP="00A60A8C">
      <w:pPr>
        <w:pStyle w:val="NoSpacing"/>
        <w:spacing w:after="120" w:line="276" w:lineRule="auto"/>
        <w:jc w:val="both"/>
        <w:rPr>
          <w:rFonts w:ascii="Times New Roman" w:hAnsi="Times New Roman" w:cs="Times New Roman"/>
          <w:color w:val="000000" w:themeColor="text1"/>
          <w:sz w:val="24"/>
          <w:szCs w:val="24"/>
        </w:rPr>
      </w:pPr>
    </w:p>
    <w:p w14:paraId="7476A5EB" w14:textId="423BFD7B" w:rsidR="00150FCE" w:rsidRPr="00A60A8C" w:rsidRDefault="005E37D8" w:rsidP="00B916C3">
      <w:pPr>
        <w:pStyle w:val="Heading3"/>
        <w:numPr>
          <w:ilvl w:val="2"/>
          <w:numId w:val="36"/>
        </w:numPr>
        <w:ind w:left="851" w:hanging="851"/>
        <w:rPr>
          <w:rFonts w:cs="Times New Roman"/>
          <w:bCs/>
          <w:color w:val="auto"/>
          <w:szCs w:val="24"/>
        </w:rPr>
      </w:pPr>
      <w:bookmarkStart w:id="26" w:name="_Toc57902798"/>
      <w:r w:rsidRPr="002B1C4A">
        <w:t>The</w:t>
      </w:r>
      <w:r w:rsidRPr="00A60A8C">
        <w:rPr>
          <w:rFonts w:cs="Times New Roman"/>
          <w:bCs/>
          <w:color w:val="auto"/>
          <w:szCs w:val="24"/>
        </w:rPr>
        <w:t xml:space="preserve"> </w:t>
      </w:r>
      <w:r w:rsidR="006F645C" w:rsidRPr="002B1C4A">
        <w:t>State</w:t>
      </w:r>
      <w:r w:rsidR="006F645C" w:rsidRPr="00A60A8C">
        <w:rPr>
          <w:rFonts w:cs="Times New Roman"/>
          <w:bCs/>
          <w:color w:val="auto"/>
          <w:szCs w:val="24"/>
        </w:rPr>
        <w:t xml:space="preserve"> of </w:t>
      </w:r>
      <w:r w:rsidR="006F645C" w:rsidRPr="002B1C4A">
        <w:t>Human</w:t>
      </w:r>
      <w:r w:rsidR="006F645C" w:rsidRPr="00A60A8C">
        <w:rPr>
          <w:rFonts w:cs="Times New Roman"/>
          <w:bCs/>
          <w:color w:val="auto"/>
          <w:szCs w:val="24"/>
        </w:rPr>
        <w:t xml:space="preserve"> </w:t>
      </w:r>
      <w:r w:rsidR="006F645C" w:rsidRPr="002B1C4A">
        <w:t>Development</w:t>
      </w:r>
      <w:r w:rsidR="006F645C" w:rsidRPr="00A60A8C">
        <w:rPr>
          <w:rFonts w:cs="Times New Roman"/>
          <w:bCs/>
          <w:color w:val="auto"/>
          <w:szCs w:val="24"/>
        </w:rPr>
        <w:t xml:space="preserve"> in </w:t>
      </w:r>
      <w:r w:rsidRPr="00A60A8C">
        <w:rPr>
          <w:rFonts w:cs="Times New Roman"/>
          <w:bCs/>
          <w:color w:val="auto"/>
          <w:szCs w:val="24"/>
        </w:rPr>
        <w:t>Zambia</w:t>
      </w:r>
      <w:bookmarkEnd w:id="26"/>
    </w:p>
    <w:p w14:paraId="46D22C45" w14:textId="07A3D5A3" w:rsidR="005E37D8" w:rsidRPr="00191ACB" w:rsidRDefault="005E37D8" w:rsidP="002B1C4A">
      <w:pPr>
        <w:pStyle w:val="Heading4"/>
        <w:numPr>
          <w:ilvl w:val="3"/>
          <w:numId w:val="36"/>
        </w:numPr>
        <w:ind w:left="851" w:hanging="851"/>
      </w:pPr>
      <w:r w:rsidRPr="00191ACB">
        <w:t>Income inequality</w:t>
      </w:r>
      <w:r w:rsidR="007F0699" w:rsidRPr="00191ACB">
        <w:t xml:space="preserve"> and poverty</w:t>
      </w:r>
    </w:p>
    <w:p w14:paraId="7F9556EC" w14:textId="7632A0D7" w:rsidR="005E37D8" w:rsidRPr="00191ACB" w:rsidRDefault="005E37D8"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Zambia</w:t>
      </w:r>
      <w:r w:rsidR="00EE5DAB" w:rsidRPr="00191ACB">
        <w:rPr>
          <w:rFonts w:ascii="Times New Roman" w:hAnsi="Times New Roman" w:cs="Times New Roman"/>
          <w:color w:val="000000" w:themeColor="text1"/>
          <w:sz w:val="24"/>
          <w:szCs w:val="24"/>
        </w:rPr>
        <w:t>’s overall</w:t>
      </w:r>
      <w:r w:rsidRPr="00191ACB">
        <w:rPr>
          <w:rFonts w:ascii="Times New Roman" w:hAnsi="Times New Roman" w:cs="Times New Roman"/>
          <w:color w:val="000000" w:themeColor="text1"/>
          <w:sz w:val="24"/>
          <w:szCs w:val="24"/>
        </w:rPr>
        <w:t xml:space="preserve"> Gini Coefficient was 0.69 in 2015 indicating a high incidence of inequality in income distribution (LCMS, 2015). In urban areas the Gini Coefficient was at 0.61 while in rural areas it was 0.60. There was an increase in the overall income inequality from 0.65 in 2010 to 0.69 in 2015. In the rural areas, the level of income inequality remained relatively the same at 0.60 while in urban areas there was a minimal increase in income inequality from 0.60 in 2010 to 0.61 in 2015. The LCMS report further indicates that the poorest 50 percent of households in Zambia accounted for only 7.3 percent of total income while the richest 10 percent of the households accounted for 56 percent of total income in 2015.</w:t>
      </w:r>
      <w:r w:rsidR="002B5E27" w:rsidRPr="00191ACB">
        <w:rPr>
          <w:rFonts w:ascii="Times New Roman" w:hAnsi="Times New Roman" w:cs="Times New Roman"/>
          <w:color w:val="000000" w:themeColor="text1"/>
          <w:sz w:val="24"/>
          <w:szCs w:val="24"/>
        </w:rPr>
        <w:t xml:space="preserve"> Most recent data are for the year 2015.</w:t>
      </w:r>
    </w:p>
    <w:p w14:paraId="6BB23BE0" w14:textId="0F6FB322" w:rsidR="007F0699" w:rsidRPr="00191ACB" w:rsidRDefault="007F0699"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One of the major challenges Zambia faces is how to reduce poverty and economic inequality among the population (LCMS, 2006 and 2010, and LCMS, 2015). </w:t>
      </w:r>
      <w:r w:rsidR="00AA41C5" w:rsidRPr="00191ACB">
        <w:rPr>
          <w:rFonts w:ascii="Times New Roman" w:hAnsi="Times New Roman" w:cs="Times New Roman"/>
          <w:color w:val="000000" w:themeColor="text1"/>
          <w:sz w:val="24"/>
          <w:szCs w:val="24"/>
        </w:rPr>
        <w:t>P</w:t>
      </w:r>
      <w:r w:rsidRPr="00191ACB">
        <w:rPr>
          <w:rFonts w:ascii="Times New Roman" w:hAnsi="Times New Roman" w:cs="Times New Roman"/>
          <w:color w:val="000000" w:themeColor="text1"/>
          <w:sz w:val="24"/>
          <w:szCs w:val="24"/>
        </w:rPr>
        <w:t xml:space="preserve">overty has remained so high despite GDP growth because the growth was exclusive (benefiting those well-off already) and not inclusive (not reaching the poorest households) (World Bank, 2018). At national level, the incidence of poverty remained high at 62.8, 60.5 and 54.4 percent in 2006, </w:t>
      </w:r>
      <w:r w:rsidR="008E6ED9" w:rsidRPr="00191ACB">
        <w:rPr>
          <w:rFonts w:ascii="Times New Roman" w:hAnsi="Times New Roman" w:cs="Times New Roman"/>
          <w:color w:val="000000" w:themeColor="text1"/>
          <w:sz w:val="24"/>
          <w:szCs w:val="24"/>
        </w:rPr>
        <w:t xml:space="preserve">2010 </w:t>
      </w:r>
      <w:r w:rsidRPr="00191ACB">
        <w:rPr>
          <w:rFonts w:ascii="Times New Roman" w:hAnsi="Times New Roman" w:cs="Times New Roman"/>
          <w:color w:val="000000" w:themeColor="text1"/>
          <w:sz w:val="24"/>
          <w:szCs w:val="24"/>
        </w:rPr>
        <w:t xml:space="preserve">and 2015 respectively (LCMS, 2006 and LCMS, 2010, and LCMS, 2015). Analysis by rural-urban reveals that poverty in Zambia has continued to be more of a rural than an urban phenomenon. </w:t>
      </w:r>
      <w:r w:rsidR="008E6ED9" w:rsidRPr="00191ACB">
        <w:rPr>
          <w:rFonts w:ascii="Times New Roman" w:hAnsi="Times New Roman" w:cs="Times New Roman"/>
          <w:color w:val="000000" w:themeColor="text1"/>
          <w:sz w:val="24"/>
          <w:szCs w:val="24"/>
        </w:rPr>
        <w:t xml:space="preserve">In 2006 about 80.3 percent of rural people </w:t>
      </w:r>
      <w:r w:rsidR="00AA41C5" w:rsidRPr="00191ACB">
        <w:rPr>
          <w:rFonts w:ascii="Times New Roman" w:hAnsi="Times New Roman" w:cs="Times New Roman"/>
          <w:color w:val="000000" w:themeColor="text1"/>
          <w:sz w:val="24"/>
          <w:szCs w:val="24"/>
        </w:rPr>
        <w:t xml:space="preserve">were poor </w:t>
      </w:r>
      <w:r w:rsidR="008E6ED9" w:rsidRPr="00191ACB">
        <w:rPr>
          <w:rFonts w:ascii="Times New Roman" w:hAnsi="Times New Roman" w:cs="Times New Roman"/>
          <w:color w:val="000000" w:themeColor="text1"/>
          <w:sz w:val="24"/>
          <w:szCs w:val="24"/>
        </w:rPr>
        <w:t xml:space="preserve">whereas only 29.7 percent of the urban people were poor in that year. Similarly, in 2015 about 76.6 percent </w:t>
      </w:r>
      <w:r w:rsidR="00AA41C5" w:rsidRPr="00191ACB">
        <w:rPr>
          <w:rFonts w:ascii="Times New Roman" w:hAnsi="Times New Roman" w:cs="Times New Roman"/>
          <w:color w:val="000000" w:themeColor="text1"/>
          <w:sz w:val="24"/>
          <w:szCs w:val="24"/>
        </w:rPr>
        <w:t xml:space="preserve">of rural people </w:t>
      </w:r>
      <w:r w:rsidR="008E6ED9" w:rsidRPr="00191ACB">
        <w:rPr>
          <w:rFonts w:ascii="Times New Roman" w:hAnsi="Times New Roman" w:cs="Times New Roman"/>
          <w:color w:val="000000" w:themeColor="text1"/>
          <w:sz w:val="24"/>
          <w:szCs w:val="24"/>
        </w:rPr>
        <w:t xml:space="preserve">were poor </w:t>
      </w:r>
      <w:r w:rsidR="00AA41C5" w:rsidRPr="00191ACB">
        <w:rPr>
          <w:rFonts w:ascii="Times New Roman" w:hAnsi="Times New Roman" w:cs="Times New Roman"/>
          <w:color w:val="000000" w:themeColor="text1"/>
          <w:sz w:val="24"/>
          <w:szCs w:val="24"/>
        </w:rPr>
        <w:t xml:space="preserve">compared to 23.4 percent of the urban people that were poor in that </w:t>
      </w:r>
      <w:r w:rsidR="00AA41C5" w:rsidRPr="00191ACB">
        <w:rPr>
          <w:rFonts w:ascii="Times New Roman" w:hAnsi="Times New Roman" w:cs="Times New Roman"/>
          <w:color w:val="000000" w:themeColor="text1"/>
          <w:sz w:val="24"/>
          <w:szCs w:val="24"/>
        </w:rPr>
        <w:lastRenderedPageBreak/>
        <w:t xml:space="preserve">year. </w:t>
      </w:r>
      <w:r w:rsidR="00F067D6" w:rsidRPr="00191ACB">
        <w:rPr>
          <w:rFonts w:ascii="Times New Roman" w:hAnsi="Times New Roman" w:cs="Times New Roman"/>
          <w:color w:val="000000" w:themeColor="text1"/>
          <w:sz w:val="24"/>
          <w:szCs w:val="24"/>
        </w:rPr>
        <w:t xml:space="preserve">At national level, female headed households had higher levels of poverty at 56.7 percent compared to those headed by their male counterparts at 53.8 percent. </w:t>
      </w:r>
      <w:r w:rsidRPr="00191ACB">
        <w:rPr>
          <w:rFonts w:ascii="Times New Roman" w:hAnsi="Times New Roman" w:cs="Times New Roman"/>
          <w:color w:val="000000" w:themeColor="text1"/>
          <w:sz w:val="24"/>
          <w:szCs w:val="24"/>
        </w:rPr>
        <w:t>The majority of the rural poor were afflicted by extreme levels of poverty compared to their urban counterparts. Extreme poverty implies failure to meet the cost of the basic food basket (LCMS, 2015).</w:t>
      </w:r>
    </w:p>
    <w:p w14:paraId="06E86830" w14:textId="77777777" w:rsidR="00BE0D7C" w:rsidRPr="00191ACB" w:rsidRDefault="00BE0D7C" w:rsidP="005E626A">
      <w:pPr>
        <w:spacing w:after="120" w:line="240" w:lineRule="auto"/>
        <w:jc w:val="both"/>
        <w:rPr>
          <w:rFonts w:ascii="Times New Roman" w:hAnsi="Times New Roman" w:cs="Times New Roman"/>
          <w:color w:val="000000" w:themeColor="text1"/>
          <w:sz w:val="24"/>
          <w:szCs w:val="24"/>
        </w:rPr>
      </w:pPr>
    </w:p>
    <w:p w14:paraId="3DA5D6A9" w14:textId="7AC564B6" w:rsidR="00EE5DAB" w:rsidRPr="00191ACB" w:rsidRDefault="00EE5DAB" w:rsidP="002B1C4A">
      <w:pPr>
        <w:pStyle w:val="Heading4"/>
        <w:numPr>
          <w:ilvl w:val="3"/>
          <w:numId w:val="36"/>
        </w:numPr>
        <w:ind w:left="851" w:hanging="851"/>
        <w:rPr>
          <w:rFonts w:cs="Times New Roman"/>
          <w:b w:val="0"/>
          <w:bCs/>
        </w:rPr>
      </w:pPr>
      <w:r w:rsidRPr="002B1C4A">
        <w:t>Zambia’s</w:t>
      </w:r>
      <w:r w:rsidRPr="00191ACB">
        <w:rPr>
          <w:rFonts w:cs="Times New Roman"/>
          <w:b w:val="0"/>
          <w:bCs/>
        </w:rPr>
        <w:t xml:space="preserve"> </w:t>
      </w:r>
      <w:r w:rsidR="002B1C4A" w:rsidRPr="002B1C4A">
        <w:t>Human</w:t>
      </w:r>
      <w:r w:rsidR="002B1C4A" w:rsidRPr="00191ACB">
        <w:rPr>
          <w:rFonts w:cs="Times New Roman"/>
          <w:b w:val="0"/>
          <w:bCs/>
        </w:rPr>
        <w:t xml:space="preserve"> </w:t>
      </w:r>
      <w:r w:rsidR="002B1C4A" w:rsidRPr="002B1C4A">
        <w:t>Development</w:t>
      </w:r>
      <w:r w:rsidR="002B1C4A" w:rsidRPr="00191ACB">
        <w:rPr>
          <w:rFonts w:cs="Times New Roman"/>
          <w:b w:val="0"/>
          <w:bCs/>
        </w:rPr>
        <w:t xml:space="preserve"> </w:t>
      </w:r>
      <w:r w:rsidR="002B1C4A" w:rsidRPr="002B1C4A">
        <w:t>Index</w:t>
      </w:r>
      <w:r w:rsidRPr="00191ACB">
        <w:rPr>
          <w:rFonts w:cs="Times New Roman"/>
          <w:b w:val="0"/>
          <w:bCs/>
        </w:rPr>
        <w:t xml:space="preserve"> </w:t>
      </w:r>
      <w:r w:rsidR="002B1C4A" w:rsidRPr="002B1C4A">
        <w:rPr>
          <w:rFonts w:cs="Times New Roman"/>
        </w:rPr>
        <w:t>T</w:t>
      </w:r>
      <w:r w:rsidRPr="002B1C4A">
        <w:t>rends</w:t>
      </w:r>
    </w:p>
    <w:p w14:paraId="194B1422" w14:textId="77777777" w:rsidR="00BF017E" w:rsidRPr="00191ACB" w:rsidRDefault="00BF017E" w:rsidP="005E626A">
      <w:pPr>
        <w:spacing w:after="120" w:line="240" w:lineRule="auto"/>
        <w:jc w:val="both"/>
        <w:rPr>
          <w:rFonts w:ascii="Times New Roman" w:hAnsi="Times New Roman" w:cs="Times New Roman"/>
          <w:color w:val="000000" w:themeColor="text1"/>
          <w:sz w:val="24"/>
          <w:szCs w:val="24"/>
        </w:rPr>
      </w:pPr>
      <w:bookmarkStart w:id="27" w:name="_Hlk37698166"/>
    </w:p>
    <w:p w14:paraId="21BE5B04" w14:textId="45423DD6" w:rsidR="005E37D8" w:rsidRPr="00191ACB" w:rsidRDefault="005E37D8"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Zambia's</w:t>
      </w:r>
      <w:r w:rsidR="00EE5DAB" w:rsidRPr="00191ACB">
        <w:rPr>
          <w:rFonts w:ascii="Times New Roman" w:hAnsi="Times New Roman" w:cs="Times New Roman"/>
          <w:color w:val="000000" w:themeColor="text1"/>
          <w:sz w:val="24"/>
          <w:szCs w:val="24"/>
        </w:rPr>
        <w:t xml:space="preserve"> Human Development Index (</w:t>
      </w:r>
      <w:r w:rsidRPr="00191ACB">
        <w:rPr>
          <w:rFonts w:ascii="Times New Roman" w:hAnsi="Times New Roman" w:cs="Times New Roman"/>
          <w:color w:val="000000" w:themeColor="text1"/>
          <w:sz w:val="24"/>
          <w:szCs w:val="24"/>
        </w:rPr>
        <w:t>HDI</w:t>
      </w:r>
      <w:r w:rsidR="00EE5DAB"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value for 201</w:t>
      </w:r>
      <w:r w:rsidR="00D16C40" w:rsidRPr="00191ACB">
        <w:rPr>
          <w:rFonts w:ascii="Times New Roman" w:hAnsi="Times New Roman" w:cs="Times New Roman"/>
          <w:color w:val="000000" w:themeColor="text1"/>
          <w:sz w:val="24"/>
          <w:szCs w:val="24"/>
        </w:rPr>
        <w:t>8</w:t>
      </w:r>
      <w:r w:rsidRPr="00191ACB">
        <w:rPr>
          <w:rFonts w:ascii="Times New Roman" w:hAnsi="Times New Roman" w:cs="Times New Roman"/>
          <w:color w:val="000000" w:themeColor="text1"/>
          <w:sz w:val="24"/>
          <w:szCs w:val="24"/>
        </w:rPr>
        <w:t xml:space="preserve"> was 0.5</w:t>
      </w:r>
      <w:r w:rsidR="00D16C40" w:rsidRPr="00191ACB">
        <w:rPr>
          <w:rFonts w:ascii="Times New Roman" w:hAnsi="Times New Roman" w:cs="Times New Roman"/>
          <w:color w:val="000000" w:themeColor="text1"/>
          <w:sz w:val="24"/>
          <w:szCs w:val="24"/>
        </w:rPr>
        <w:t>91</w:t>
      </w:r>
      <w:r w:rsidRPr="00191ACB">
        <w:rPr>
          <w:rFonts w:ascii="Times New Roman" w:hAnsi="Times New Roman" w:cs="Times New Roman"/>
          <w:color w:val="000000" w:themeColor="text1"/>
          <w:sz w:val="24"/>
          <w:szCs w:val="24"/>
        </w:rPr>
        <w:t>, which placed the country in the medium human development category, and ranked it 1</w:t>
      </w:r>
      <w:r w:rsidR="00D16C40" w:rsidRPr="00191ACB">
        <w:rPr>
          <w:rFonts w:ascii="Times New Roman" w:hAnsi="Times New Roman" w:cs="Times New Roman"/>
          <w:color w:val="000000" w:themeColor="text1"/>
          <w:sz w:val="24"/>
          <w:szCs w:val="24"/>
        </w:rPr>
        <w:t>43</w:t>
      </w:r>
      <w:r w:rsidR="00D16C40" w:rsidRPr="00191ACB">
        <w:rPr>
          <w:rFonts w:ascii="Times New Roman" w:hAnsi="Times New Roman" w:cs="Times New Roman"/>
          <w:color w:val="000000" w:themeColor="text1"/>
          <w:sz w:val="24"/>
          <w:szCs w:val="24"/>
          <w:vertAlign w:val="superscript"/>
        </w:rPr>
        <w:t>rd</w:t>
      </w:r>
      <w:r w:rsidR="00D16C40"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out of 18</w:t>
      </w:r>
      <w:r w:rsidR="00D16C40" w:rsidRPr="00191ACB">
        <w:rPr>
          <w:rFonts w:ascii="Times New Roman" w:hAnsi="Times New Roman" w:cs="Times New Roman"/>
          <w:color w:val="000000" w:themeColor="text1"/>
          <w:sz w:val="24"/>
          <w:szCs w:val="24"/>
        </w:rPr>
        <w:t>9</w:t>
      </w:r>
      <w:r w:rsidRPr="00191ACB">
        <w:rPr>
          <w:rFonts w:ascii="Times New Roman" w:hAnsi="Times New Roman" w:cs="Times New Roman"/>
          <w:color w:val="000000" w:themeColor="text1"/>
          <w:sz w:val="24"/>
          <w:szCs w:val="24"/>
        </w:rPr>
        <w:t xml:space="preserve"> countries and territories (UNDP, 201</w:t>
      </w:r>
      <w:r w:rsidR="00D16C40" w:rsidRPr="00191ACB">
        <w:rPr>
          <w:rFonts w:ascii="Times New Roman" w:hAnsi="Times New Roman" w:cs="Times New Roman"/>
          <w:color w:val="000000" w:themeColor="text1"/>
          <w:sz w:val="24"/>
          <w:szCs w:val="24"/>
        </w:rPr>
        <w:t>9</w:t>
      </w:r>
      <w:r w:rsidRPr="00191ACB">
        <w:rPr>
          <w:rFonts w:ascii="Times New Roman" w:hAnsi="Times New Roman" w:cs="Times New Roman"/>
          <w:color w:val="000000" w:themeColor="text1"/>
          <w:sz w:val="24"/>
          <w:szCs w:val="24"/>
        </w:rPr>
        <w:t xml:space="preserve">). Overall, Zambia's HDI increased by </w:t>
      </w:r>
      <w:r w:rsidR="00212B19" w:rsidRPr="00191ACB">
        <w:rPr>
          <w:rFonts w:ascii="Times New Roman" w:hAnsi="Times New Roman" w:cs="Times New Roman"/>
          <w:color w:val="000000" w:themeColor="text1"/>
          <w:sz w:val="24"/>
          <w:szCs w:val="24"/>
        </w:rPr>
        <w:t>39.39</w:t>
      </w:r>
      <w:r w:rsidRPr="00191ACB">
        <w:rPr>
          <w:rFonts w:ascii="Times New Roman" w:hAnsi="Times New Roman" w:cs="Times New Roman"/>
          <w:color w:val="000000" w:themeColor="text1"/>
          <w:sz w:val="24"/>
          <w:szCs w:val="24"/>
        </w:rPr>
        <w:t xml:space="preserve"> per cent from 19</w:t>
      </w:r>
      <w:r w:rsidR="00212B19" w:rsidRPr="00191ACB">
        <w:rPr>
          <w:rFonts w:ascii="Times New Roman" w:hAnsi="Times New Roman" w:cs="Times New Roman"/>
          <w:color w:val="000000" w:themeColor="text1"/>
          <w:sz w:val="24"/>
          <w:szCs w:val="24"/>
        </w:rPr>
        <w:t>9</w:t>
      </w:r>
      <w:r w:rsidRPr="00191ACB">
        <w:rPr>
          <w:rFonts w:ascii="Times New Roman" w:hAnsi="Times New Roman" w:cs="Times New Roman"/>
          <w:color w:val="000000" w:themeColor="text1"/>
          <w:sz w:val="24"/>
          <w:szCs w:val="24"/>
        </w:rPr>
        <w:t>0 to 201</w:t>
      </w:r>
      <w:r w:rsidR="00212B19" w:rsidRPr="00191ACB">
        <w:rPr>
          <w:rFonts w:ascii="Times New Roman" w:hAnsi="Times New Roman" w:cs="Times New Roman"/>
          <w:color w:val="000000" w:themeColor="text1"/>
          <w:sz w:val="24"/>
          <w:szCs w:val="24"/>
        </w:rPr>
        <w:t>8</w:t>
      </w:r>
      <w:r w:rsidRPr="00191ACB">
        <w:rPr>
          <w:rFonts w:ascii="Times New Roman" w:hAnsi="Times New Roman" w:cs="Times New Roman"/>
          <w:color w:val="000000" w:themeColor="text1"/>
          <w:sz w:val="24"/>
          <w:szCs w:val="24"/>
        </w:rPr>
        <w:t xml:space="preserve"> (Table</w:t>
      </w:r>
      <w:r w:rsidR="00BF017E" w:rsidRPr="00191ACB">
        <w:rPr>
          <w:rFonts w:ascii="Times New Roman" w:hAnsi="Times New Roman" w:cs="Times New Roman"/>
          <w:color w:val="000000" w:themeColor="text1"/>
          <w:sz w:val="24"/>
          <w:szCs w:val="24"/>
        </w:rPr>
        <w:t xml:space="preserve"> 2.3</w:t>
      </w:r>
      <w:r w:rsidRPr="00191ACB">
        <w:rPr>
          <w:rFonts w:ascii="Times New Roman" w:hAnsi="Times New Roman" w:cs="Times New Roman"/>
          <w:color w:val="000000" w:themeColor="text1"/>
          <w:sz w:val="24"/>
          <w:szCs w:val="24"/>
        </w:rPr>
        <w:t>). The indicators that supported this growth included citizens' life expectancy at birth, years of schooling and GNI per capita. Per capita GNI increased by 6</w:t>
      </w:r>
      <w:r w:rsidR="00212B19" w:rsidRPr="00191ACB">
        <w:rPr>
          <w:rFonts w:ascii="Times New Roman" w:hAnsi="Times New Roman" w:cs="Times New Roman"/>
          <w:color w:val="000000" w:themeColor="text1"/>
          <w:sz w:val="24"/>
          <w:szCs w:val="24"/>
        </w:rPr>
        <w:t>7</w:t>
      </w:r>
      <w:r w:rsidRPr="00191ACB">
        <w:rPr>
          <w:rFonts w:ascii="Times New Roman" w:hAnsi="Times New Roman" w:cs="Times New Roman"/>
          <w:color w:val="000000" w:themeColor="text1"/>
          <w:sz w:val="24"/>
          <w:szCs w:val="24"/>
        </w:rPr>
        <w:t>.</w:t>
      </w:r>
      <w:r w:rsidR="00212B19" w:rsidRPr="00191ACB">
        <w:rPr>
          <w:rFonts w:ascii="Times New Roman" w:hAnsi="Times New Roman" w:cs="Times New Roman"/>
          <w:color w:val="000000" w:themeColor="text1"/>
          <w:sz w:val="24"/>
          <w:szCs w:val="24"/>
        </w:rPr>
        <w:t>4</w:t>
      </w:r>
      <w:r w:rsidRPr="00191ACB">
        <w:rPr>
          <w:rFonts w:ascii="Times New Roman" w:hAnsi="Times New Roman" w:cs="Times New Roman"/>
          <w:color w:val="000000" w:themeColor="text1"/>
          <w:sz w:val="24"/>
          <w:szCs w:val="24"/>
        </w:rPr>
        <w:t xml:space="preserve"> percent between 19</w:t>
      </w:r>
      <w:r w:rsidR="00212B19" w:rsidRPr="00191ACB">
        <w:rPr>
          <w:rFonts w:ascii="Times New Roman" w:hAnsi="Times New Roman" w:cs="Times New Roman"/>
          <w:color w:val="000000" w:themeColor="text1"/>
          <w:sz w:val="24"/>
          <w:szCs w:val="24"/>
        </w:rPr>
        <w:t>9</w:t>
      </w:r>
      <w:r w:rsidRPr="00191ACB">
        <w:rPr>
          <w:rFonts w:ascii="Times New Roman" w:hAnsi="Times New Roman" w:cs="Times New Roman"/>
          <w:color w:val="000000" w:themeColor="text1"/>
          <w:sz w:val="24"/>
          <w:szCs w:val="24"/>
        </w:rPr>
        <w:t>0 and 201</w:t>
      </w:r>
      <w:r w:rsidR="00212B19" w:rsidRPr="00191ACB">
        <w:rPr>
          <w:rFonts w:ascii="Times New Roman" w:hAnsi="Times New Roman" w:cs="Times New Roman"/>
          <w:color w:val="000000" w:themeColor="text1"/>
          <w:sz w:val="24"/>
          <w:szCs w:val="24"/>
        </w:rPr>
        <w:t>8</w:t>
      </w:r>
      <w:r w:rsidRPr="00191ACB">
        <w:rPr>
          <w:rFonts w:ascii="Times New Roman" w:hAnsi="Times New Roman" w:cs="Times New Roman"/>
          <w:color w:val="000000" w:themeColor="text1"/>
          <w:sz w:val="24"/>
          <w:szCs w:val="24"/>
        </w:rPr>
        <w:t xml:space="preserve">. </w:t>
      </w:r>
    </w:p>
    <w:p w14:paraId="574A501A" w14:textId="1584B62D" w:rsidR="005E37D8" w:rsidRPr="00191ACB" w:rsidRDefault="005E37D8"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Though, there was steady and positive economic growth over the assessment period, the conversion rate regarding welfare gains to the poor was inadequate. Factors that impacted on the expected welfare gains include inequalities in life expectancy, education and skills and incomes, differentiated by sex and geographical location (UNDP, 201</w:t>
      </w:r>
      <w:r w:rsidR="00E235CC" w:rsidRPr="00191ACB">
        <w:rPr>
          <w:rFonts w:ascii="Times New Roman" w:hAnsi="Times New Roman" w:cs="Times New Roman"/>
          <w:color w:val="000000" w:themeColor="text1"/>
          <w:sz w:val="24"/>
          <w:szCs w:val="24"/>
        </w:rPr>
        <w:t>9</w:t>
      </w:r>
      <w:r w:rsidRPr="00191ACB">
        <w:rPr>
          <w:rFonts w:ascii="Times New Roman" w:hAnsi="Times New Roman" w:cs="Times New Roman"/>
          <w:color w:val="000000" w:themeColor="text1"/>
          <w:sz w:val="24"/>
          <w:szCs w:val="24"/>
        </w:rPr>
        <w:t>).</w:t>
      </w:r>
      <w:r w:rsidR="00C32E9A" w:rsidRPr="00191ACB">
        <w:rPr>
          <w:rFonts w:ascii="Times New Roman" w:hAnsi="Times New Roman" w:cs="Times New Roman"/>
          <w:color w:val="000000" w:themeColor="text1"/>
          <w:sz w:val="24"/>
          <w:szCs w:val="24"/>
        </w:rPr>
        <w:t xml:space="preserve"> </w:t>
      </w:r>
      <w:r w:rsidR="007E2F87" w:rsidRPr="00191ACB">
        <w:rPr>
          <w:rFonts w:ascii="Times New Roman" w:hAnsi="Times New Roman" w:cs="Times New Roman"/>
          <w:color w:val="000000" w:themeColor="text1"/>
          <w:sz w:val="24"/>
          <w:szCs w:val="24"/>
        </w:rPr>
        <w:t xml:space="preserve">Zambia </w:t>
      </w:r>
      <w:r w:rsidR="0012097C" w:rsidRPr="00191ACB">
        <w:rPr>
          <w:rFonts w:ascii="Times New Roman" w:hAnsi="Times New Roman" w:cs="Times New Roman"/>
          <w:color w:val="000000" w:themeColor="text1"/>
          <w:sz w:val="24"/>
          <w:szCs w:val="24"/>
        </w:rPr>
        <w:t>had</w:t>
      </w:r>
      <w:r w:rsidR="007E2F87" w:rsidRPr="00191ACB">
        <w:rPr>
          <w:rFonts w:ascii="Times New Roman" w:hAnsi="Times New Roman" w:cs="Times New Roman"/>
          <w:color w:val="000000" w:themeColor="text1"/>
          <w:sz w:val="24"/>
          <w:szCs w:val="24"/>
        </w:rPr>
        <w:t xml:space="preserve"> a medium equality in HDI achievements between women and men in 2018</w:t>
      </w:r>
      <w:r w:rsidR="002C71A0" w:rsidRPr="00191ACB">
        <w:rPr>
          <w:rFonts w:ascii="Times New Roman" w:hAnsi="Times New Roman" w:cs="Times New Roman"/>
          <w:color w:val="000000" w:themeColor="text1"/>
          <w:sz w:val="24"/>
          <w:szCs w:val="24"/>
        </w:rPr>
        <w:t xml:space="preserve"> (UNDP, 2019)</w:t>
      </w:r>
      <w:r w:rsidR="007E2F87" w:rsidRPr="00191ACB">
        <w:rPr>
          <w:rFonts w:ascii="Times New Roman" w:hAnsi="Times New Roman" w:cs="Times New Roman"/>
          <w:color w:val="000000" w:themeColor="text1"/>
          <w:sz w:val="24"/>
          <w:szCs w:val="24"/>
        </w:rPr>
        <w:t>.</w:t>
      </w:r>
    </w:p>
    <w:p w14:paraId="1F4D9046" w14:textId="0DC0C404" w:rsidR="00BF017E" w:rsidRPr="00191ACB" w:rsidRDefault="00BF017E" w:rsidP="006E152D">
      <w:pPr>
        <w:spacing w:after="120" w:line="240" w:lineRule="auto"/>
        <w:jc w:val="both"/>
        <w:rPr>
          <w:rFonts w:ascii="Times New Roman" w:hAnsi="Times New Roman" w:cs="Times New Roman"/>
          <w:color w:val="000000" w:themeColor="text1"/>
          <w:sz w:val="24"/>
          <w:szCs w:val="24"/>
        </w:rPr>
      </w:pPr>
    </w:p>
    <w:p w14:paraId="44F59B93" w14:textId="062C4A35" w:rsidR="00E21404" w:rsidRPr="00191ACB" w:rsidRDefault="00BF017E" w:rsidP="00BF017E">
      <w:pPr>
        <w:pStyle w:val="Caption"/>
        <w:rPr>
          <w:b/>
          <w:bCs/>
          <w:color w:val="000000" w:themeColor="text1"/>
          <w:sz w:val="24"/>
          <w:szCs w:val="24"/>
        </w:rPr>
      </w:pPr>
      <w:bookmarkStart w:id="28" w:name="_Toc56583756"/>
      <w:r w:rsidRPr="00191ACB">
        <w:rPr>
          <w:b/>
          <w:bCs/>
          <w:sz w:val="24"/>
          <w:szCs w:val="24"/>
        </w:rPr>
        <w:t xml:space="preserve">Table </w:t>
      </w:r>
      <w:r w:rsidR="00875942">
        <w:rPr>
          <w:b/>
          <w:bCs/>
          <w:sz w:val="24"/>
          <w:szCs w:val="24"/>
        </w:rPr>
        <w:fldChar w:fldCharType="begin"/>
      </w:r>
      <w:r w:rsidR="00875942">
        <w:rPr>
          <w:b/>
          <w:bCs/>
          <w:sz w:val="24"/>
          <w:szCs w:val="24"/>
        </w:rPr>
        <w:instrText xml:space="preserve"> STYLEREF 1 \s </w:instrText>
      </w:r>
      <w:r w:rsidR="00875942">
        <w:rPr>
          <w:b/>
          <w:bCs/>
          <w:sz w:val="24"/>
          <w:szCs w:val="24"/>
        </w:rPr>
        <w:fldChar w:fldCharType="separate"/>
      </w:r>
      <w:r w:rsidR="00875942">
        <w:rPr>
          <w:b/>
          <w:bCs/>
          <w:noProof/>
          <w:sz w:val="24"/>
          <w:szCs w:val="24"/>
        </w:rPr>
        <w:t>2</w:t>
      </w:r>
      <w:r w:rsidR="00875942">
        <w:rPr>
          <w:b/>
          <w:bCs/>
          <w:sz w:val="24"/>
          <w:szCs w:val="24"/>
        </w:rPr>
        <w:fldChar w:fldCharType="end"/>
      </w:r>
      <w:r w:rsidR="00875942">
        <w:rPr>
          <w:b/>
          <w:bCs/>
          <w:sz w:val="24"/>
          <w:szCs w:val="24"/>
        </w:rPr>
        <w:t>.</w:t>
      </w:r>
      <w:r w:rsidR="00875942">
        <w:rPr>
          <w:b/>
          <w:bCs/>
          <w:sz w:val="24"/>
          <w:szCs w:val="24"/>
        </w:rPr>
        <w:fldChar w:fldCharType="begin"/>
      </w:r>
      <w:r w:rsidR="00875942">
        <w:rPr>
          <w:b/>
          <w:bCs/>
          <w:sz w:val="24"/>
          <w:szCs w:val="24"/>
        </w:rPr>
        <w:instrText xml:space="preserve"> SEQ Table \* ARABIC \s 1 </w:instrText>
      </w:r>
      <w:r w:rsidR="00875942">
        <w:rPr>
          <w:b/>
          <w:bCs/>
          <w:sz w:val="24"/>
          <w:szCs w:val="24"/>
        </w:rPr>
        <w:fldChar w:fldCharType="separate"/>
      </w:r>
      <w:r w:rsidR="00875942">
        <w:rPr>
          <w:b/>
          <w:bCs/>
          <w:noProof/>
          <w:sz w:val="24"/>
          <w:szCs w:val="24"/>
        </w:rPr>
        <w:t>3</w:t>
      </w:r>
      <w:r w:rsidR="00875942">
        <w:rPr>
          <w:b/>
          <w:bCs/>
          <w:sz w:val="24"/>
          <w:szCs w:val="24"/>
        </w:rPr>
        <w:fldChar w:fldCharType="end"/>
      </w:r>
      <w:r w:rsidRPr="00191ACB">
        <w:rPr>
          <w:b/>
          <w:bCs/>
          <w:sz w:val="24"/>
          <w:szCs w:val="24"/>
        </w:rPr>
        <w:t>:Zambia's HDI trends 1990 - 2018</w:t>
      </w:r>
      <w:bookmarkEnd w:id="28"/>
    </w:p>
    <w:bookmarkEnd w:id="27"/>
    <w:tbl>
      <w:tblPr>
        <w:tblStyle w:val="TableGrid"/>
        <w:tblW w:w="0" w:type="auto"/>
        <w:tblLook w:val="04A0" w:firstRow="1" w:lastRow="0" w:firstColumn="1" w:lastColumn="0" w:noHBand="0" w:noVBand="1"/>
      </w:tblPr>
      <w:tblGrid>
        <w:gridCol w:w="1271"/>
        <w:gridCol w:w="1701"/>
        <w:gridCol w:w="2126"/>
        <w:gridCol w:w="1560"/>
        <w:gridCol w:w="1842"/>
        <w:gridCol w:w="1282"/>
      </w:tblGrid>
      <w:tr w:rsidR="00976442" w:rsidRPr="00191ACB" w14:paraId="69BCB2EA" w14:textId="77777777" w:rsidTr="00BE0D7C">
        <w:tc>
          <w:tcPr>
            <w:tcW w:w="1271" w:type="dxa"/>
          </w:tcPr>
          <w:p w14:paraId="5A1411E8" w14:textId="2ABE6DFB" w:rsidR="005156FA" w:rsidRPr="00191ACB" w:rsidRDefault="005156FA" w:rsidP="005156FA">
            <w:pPr>
              <w:pStyle w:val="NoSpacing"/>
              <w:jc w:val="both"/>
              <w:rPr>
                <w:rFonts w:ascii="Times New Roman" w:hAnsi="Times New Roman" w:cs="Times New Roman"/>
                <w:color w:val="000000" w:themeColor="text1"/>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EFFD490" w14:textId="11B32A51"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Life expectancy at birth</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14:paraId="478A65A3" w14:textId="216B0FB0"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Expected years of schooling</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236A0970" w14:textId="23459780"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Mean years of schooling</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14:paraId="35F8E4C1" w14:textId="3FD1C4B2"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GNI per capita (2011 PPP$)</w:t>
            </w:r>
          </w:p>
        </w:tc>
        <w:tc>
          <w:tcPr>
            <w:tcW w:w="1282" w:type="dxa"/>
            <w:tcBorders>
              <w:top w:val="single" w:sz="4" w:space="0" w:color="000000"/>
              <w:left w:val="single" w:sz="4" w:space="0" w:color="000000"/>
              <w:bottom w:val="single" w:sz="4" w:space="0" w:color="000000"/>
              <w:right w:val="single" w:sz="4" w:space="0" w:color="000000"/>
            </w:tcBorders>
            <w:shd w:val="clear" w:color="auto" w:fill="auto"/>
          </w:tcPr>
          <w:p w14:paraId="286C9C80" w14:textId="6D73A72B"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HDI value</w:t>
            </w:r>
          </w:p>
        </w:tc>
      </w:tr>
      <w:tr w:rsidR="00976442" w:rsidRPr="00191ACB" w14:paraId="4A67FC01" w14:textId="77777777" w:rsidTr="00BE0D7C">
        <w:tc>
          <w:tcPr>
            <w:tcW w:w="1271" w:type="dxa"/>
          </w:tcPr>
          <w:p w14:paraId="0728A1BD" w14:textId="06606BD1"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1990</w:t>
            </w:r>
          </w:p>
        </w:tc>
        <w:tc>
          <w:tcPr>
            <w:tcW w:w="1701" w:type="dxa"/>
          </w:tcPr>
          <w:p w14:paraId="3CD18443" w14:textId="1CAFF3D1"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49.2</w:t>
            </w:r>
          </w:p>
        </w:tc>
        <w:tc>
          <w:tcPr>
            <w:tcW w:w="2126" w:type="dxa"/>
          </w:tcPr>
          <w:p w14:paraId="4CCBC572" w14:textId="625ABB0E"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7.5</w:t>
            </w:r>
          </w:p>
        </w:tc>
        <w:tc>
          <w:tcPr>
            <w:tcW w:w="1560" w:type="dxa"/>
          </w:tcPr>
          <w:p w14:paraId="40628EB7" w14:textId="56B63366"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4.7</w:t>
            </w:r>
          </w:p>
        </w:tc>
        <w:tc>
          <w:tcPr>
            <w:tcW w:w="1842" w:type="dxa"/>
          </w:tcPr>
          <w:p w14:paraId="2009D654" w14:textId="3A0391D0"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2,140</w:t>
            </w:r>
          </w:p>
        </w:tc>
        <w:tc>
          <w:tcPr>
            <w:tcW w:w="1282" w:type="dxa"/>
          </w:tcPr>
          <w:p w14:paraId="347011CF" w14:textId="35FDBB8B"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0.424</w:t>
            </w:r>
          </w:p>
        </w:tc>
      </w:tr>
      <w:tr w:rsidR="00976442" w:rsidRPr="00191ACB" w14:paraId="7015B2AE" w14:textId="77777777" w:rsidTr="00BE0D7C">
        <w:tc>
          <w:tcPr>
            <w:tcW w:w="1271" w:type="dxa"/>
          </w:tcPr>
          <w:p w14:paraId="123B88FC" w14:textId="51694FB6"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1995</w:t>
            </w:r>
          </w:p>
        </w:tc>
        <w:tc>
          <w:tcPr>
            <w:tcW w:w="1701" w:type="dxa"/>
          </w:tcPr>
          <w:p w14:paraId="1102DE20" w14:textId="04470833"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44.2</w:t>
            </w:r>
          </w:p>
        </w:tc>
        <w:tc>
          <w:tcPr>
            <w:tcW w:w="2126" w:type="dxa"/>
          </w:tcPr>
          <w:p w14:paraId="36103C68" w14:textId="47B07486"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8.7</w:t>
            </w:r>
          </w:p>
        </w:tc>
        <w:tc>
          <w:tcPr>
            <w:tcW w:w="1560" w:type="dxa"/>
          </w:tcPr>
          <w:p w14:paraId="27EA1FE6" w14:textId="1F46F48C"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6.0</w:t>
            </w:r>
          </w:p>
        </w:tc>
        <w:tc>
          <w:tcPr>
            <w:tcW w:w="1842" w:type="dxa"/>
          </w:tcPr>
          <w:p w14:paraId="5BD68448" w14:textId="716CEA80"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1,909</w:t>
            </w:r>
          </w:p>
        </w:tc>
        <w:tc>
          <w:tcPr>
            <w:tcW w:w="1282" w:type="dxa"/>
          </w:tcPr>
          <w:p w14:paraId="4F9DB42B" w14:textId="7A6D3498"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0.419</w:t>
            </w:r>
          </w:p>
        </w:tc>
      </w:tr>
      <w:tr w:rsidR="00976442" w:rsidRPr="00191ACB" w14:paraId="41E54AC3" w14:textId="77777777" w:rsidTr="00BE0D7C">
        <w:tc>
          <w:tcPr>
            <w:tcW w:w="1271" w:type="dxa"/>
          </w:tcPr>
          <w:p w14:paraId="0B74ADFB" w14:textId="624F5379"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2000</w:t>
            </w:r>
          </w:p>
        </w:tc>
        <w:tc>
          <w:tcPr>
            <w:tcW w:w="1701" w:type="dxa"/>
          </w:tcPr>
          <w:p w14:paraId="164337E6" w14:textId="4F8A0729"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44.0</w:t>
            </w:r>
          </w:p>
        </w:tc>
        <w:tc>
          <w:tcPr>
            <w:tcW w:w="2126" w:type="dxa"/>
          </w:tcPr>
          <w:p w14:paraId="2BC4317F" w14:textId="0E294B8B"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9.8</w:t>
            </w:r>
          </w:p>
        </w:tc>
        <w:tc>
          <w:tcPr>
            <w:tcW w:w="1560" w:type="dxa"/>
          </w:tcPr>
          <w:p w14:paraId="20AB9ECB" w14:textId="2C19C416"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5.9</w:t>
            </w:r>
          </w:p>
        </w:tc>
        <w:tc>
          <w:tcPr>
            <w:tcW w:w="1842" w:type="dxa"/>
          </w:tcPr>
          <w:p w14:paraId="72F79A6C" w14:textId="312578C2"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2,034</w:t>
            </w:r>
          </w:p>
        </w:tc>
        <w:tc>
          <w:tcPr>
            <w:tcW w:w="1282" w:type="dxa"/>
          </w:tcPr>
          <w:p w14:paraId="1FEC28C8" w14:textId="059681D9"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0.428</w:t>
            </w:r>
          </w:p>
        </w:tc>
      </w:tr>
      <w:tr w:rsidR="00976442" w:rsidRPr="00191ACB" w14:paraId="12EA9161" w14:textId="77777777" w:rsidTr="00BE0D7C">
        <w:tc>
          <w:tcPr>
            <w:tcW w:w="1271" w:type="dxa"/>
          </w:tcPr>
          <w:p w14:paraId="1471E6F8" w14:textId="5121EAD2"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2005</w:t>
            </w:r>
          </w:p>
        </w:tc>
        <w:tc>
          <w:tcPr>
            <w:tcW w:w="1701" w:type="dxa"/>
          </w:tcPr>
          <w:p w14:paraId="70B6808C" w14:textId="78152284"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48.5</w:t>
            </w:r>
          </w:p>
        </w:tc>
        <w:tc>
          <w:tcPr>
            <w:tcW w:w="2126" w:type="dxa"/>
          </w:tcPr>
          <w:p w14:paraId="246E6D80" w14:textId="3E2DF60F"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10.9 </w:t>
            </w:r>
          </w:p>
        </w:tc>
        <w:tc>
          <w:tcPr>
            <w:tcW w:w="1560" w:type="dxa"/>
          </w:tcPr>
          <w:p w14:paraId="3B6B9E0B" w14:textId="24F67564"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6.3</w:t>
            </w:r>
          </w:p>
        </w:tc>
        <w:tc>
          <w:tcPr>
            <w:tcW w:w="1842" w:type="dxa"/>
          </w:tcPr>
          <w:p w14:paraId="2A9ADDF8" w14:textId="1838FFCC"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2,332</w:t>
            </w:r>
          </w:p>
        </w:tc>
        <w:tc>
          <w:tcPr>
            <w:tcW w:w="1282" w:type="dxa"/>
          </w:tcPr>
          <w:p w14:paraId="124241FF" w14:textId="4C00D2AF" w:rsidR="005156FA" w:rsidRPr="00191ACB" w:rsidRDefault="002B30E3"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0.475</w:t>
            </w:r>
          </w:p>
        </w:tc>
      </w:tr>
      <w:tr w:rsidR="00976442" w:rsidRPr="00191ACB" w14:paraId="25C2C040" w14:textId="77777777" w:rsidTr="00BE0D7C">
        <w:tc>
          <w:tcPr>
            <w:tcW w:w="1271" w:type="dxa"/>
          </w:tcPr>
          <w:p w14:paraId="4BD8037D" w14:textId="3E4E669B"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2010</w:t>
            </w:r>
          </w:p>
        </w:tc>
        <w:tc>
          <w:tcPr>
            <w:tcW w:w="1701" w:type="dxa"/>
          </w:tcPr>
          <w:p w14:paraId="390AB6AA" w14:textId="6C0F1706" w:rsidR="005156FA" w:rsidRPr="00191ACB" w:rsidRDefault="00A0605F"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55.7</w:t>
            </w:r>
          </w:p>
        </w:tc>
        <w:tc>
          <w:tcPr>
            <w:tcW w:w="2126" w:type="dxa"/>
          </w:tcPr>
          <w:p w14:paraId="6B0E72F1" w14:textId="0DC07C36" w:rsidR="005156FA" w:rsidRPr="00191ACB" w:rsidRDefault="00A0605F"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11.0</w:t>
            </w:r>
          </w:p>
        </w:tc>
        <w:tc>
          <w:tcPr>
            <w:tcW w:w="1560" w:type="dxa"/>
          </w:tcPr>
          <w:p w14:paraId="245C89EE" w14:textId="2DC84D8C" w:rsidR="005156FA" w:rsidRPr="00191ACB" w:rsidRDefault="00A0605F"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6.6</w:t>
            </w:r>
          </w:p>
        </w:tc>
        <w:tc>
          <w:tcPr>
            <w:tcW w:w="1842" w:type="dxa"/>
          </w:tcPr>
          <w:p w14:paraId="0D24250A" w14:textId="400E08DB" w:rsidR="005156FA" w:rsidRPr="00191ACB" w:rsidRDefault="00A0605F"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3,114</w:t>
            </w:r>
          </w:p>
        </w:tc>
        <w:tc>
          <w:tcPr>
            <w:tcW w:w="1282" w:type="dxa"/>
          </w:tcPr>
          <w:p w14:paraId="3EAD9F3D" w14:textId="75769F02" w:rsidR="005156FA" w:rsidRPr="00191ACB" w:rsidRDefault="00A0605F"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0.531</w:t>
            </w:r>
          </w:p>
        </w:tc>
      </w:tr>
      <w:tr w:rsidR="00976442" w:rsidRPr="00191ACB" w14:paraId="2474E195" w14:textId="77777777" w:rsidTr="00BE0D7C">
        <w:tc>
          <w:tcPr>
            <w:tcW w:w="1271" w:type="dxa"/>
          </w:tcPr>
          <w:p w14:paraId="3B562FF7" w14:textId="16DB7ECE"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2015</w:t>
            </w:r>
          </w:p>
        </w:tc>
        <w:tc>
          <w:tcPr>
            <w:tcW w:w="1701" w:type="dxa"/>
          </w:tcPr>
          <w:p w14:paraId="747AF2F7" w14:textId="16727673" w:rsidR="005156FA" w:rsidRPr="00191ACB" w:rsidRDefault="00C61442" w:rsidP="00C61442">
            <w:pPr>
              <w:jc w:val="both"/>
              <w:rPr>
                <w:rFonts w:ascii="Times New Roman" w:eastAsia="Arial" w:hAnsi="Times New Roman" w:cs="Times New Roman"/>
                <w:color w:val="000000" w:themeColor="text1"/>
                <w:sz w:val="24"/>
                <w:szCs w:val="24"/>
                <w:lang w:val="en"/>
              </w:rPr>
            </w:pPr>
            <w:r w:rsidRPr="00191ACB">
              <w:rPr>
                <w:rFonts w:ascii="Times New Roman" w:eastAsia="Arial" w:hAnsi="Times New Roman" w:cs="Times New Roman"/>
                <w:color w:val="000000" w:themeColor="text1"/>
                <w:sz w:val="24"/>
                <w:szCs w:val="24"/>
                <w:lang w:val="en"/>
              </w:rPr>
              <w:t>61.7</w:t>
            </w:r>
          </w:p>
        </w:tc>
        <w:tc>
          <w:tcPr>
            <w:tcW w:w="2126" w:type="dxa"/>
          </w:tcPr>
          <w:p w14:paraId="2BC7DE93" w14:textId="1CEE25EA" w:rsidR="005156FA" w:rsidRPr="00191ACB" w:rsidRDefault="00C61442" w:rsidP="00C61442">
            <w:pPr>
              <w:jc w:val="both"/>
              <w:rPr>
                <w:rFonts w:ascii="Times New Roman" w:eastAsia="Arial" w:hAnsi="Times New Roman" w:cs="Times New Roman"/>
                <w:color w:val="000000" w:themeColor="text1"/>
                <w:sz w:val="24"/>
                <w:szCs w:val="24"/>
                <w:lang w:val="en"/>
              </w:rPr>
            </w:pPr>
            <w:r w:rsidRPr="00191ACB">
              <w:rPr>
                <w:rFonts w:ascii="Times New Roman" w:eastAsia="Arial" w:hAnsi="Times New Roman" w:cs="Times New Roman"/>
                <w:color w:val="000000" w:themeColor="text1"/>
                <w:sz w:val="24"/>
                <w:szCs w:val="24"/>
                <w:lang w:val="en"/>
              </w:rPr>
              <w:t>10.9</w:t>
            </w:r>
          </w:p>
        </w:tc>
        <w:tc>
          <w:tcPr>
            <w:tcW w:w="1560" w:type="dxa"/>
          </w:tcPr>
          <w:p w14:paraId="2DB27629" w14:textId="682B20B1" w:rsidR="005156FA" w:rsidRPr="00191ACB" w:rsidRDefault="00C61442" w:rsidP="00C61442">
            <w:pPr>
              <w:jc w:val="both"/>
              <w:rPr>
                <w:rFonts w:ascii="Times New Roman" w:eastAsia="Arial" w:hAnsi="Times New Roman" w:cs="Times New Roman"/>
                <w:color w:val="000000" w:themeColor="text1"/>
                <w:sz w:val="24"/>
                <w:szCs w:val="24"/>
                <w:lang w:val="en"/>
              </w:rPr>
            </w:pPr>
            <w:r w:rsidRPr="00191ACB">
              <w:rPr>
                <w:rFonts w:ascii="Times New Roman" w:eastAsia="Arial" w:hAnsi="Times New Roman" w:cs="Times New Roman"/>
                <w:color w:val="000000" w:themeColor="text1"/>
                <w:sz w:val="24"/>
                <w:szCs w:val="24"/>
                <w:lang w:val="en"/>
              </w:rPr>
              <w:t>6.8</w:t>
            </w:r>
          </w:p>
        </w:tc>
        <w:tc>
          <w:tcPr>
            <w:tcW w:w="1842" w:type="dxa"/>
          </w:tcPr>
          <w:p w14:paraId="326BC4AF" w14:textId="51470654" w:rsidR="005156FA" w:rsidRPr="00191ACB" w:rsidRDefault="00C61442" w:rsidP="00C61442">
            <w:pPr>
              <w:jc w:val="both"/>
              <w:rPr>
                <w:rFonts w:ascii="Times New Roman" w:eastAsia="Arial" w:hAnsi="Times New Roman" w:cs="Times New Roman"/>
                <w:color w:val="000000" w:themeColor="text1"/>
                <w:sz w:val="24"/>
                <w:szCs w:val="24"/>
                <w:lang w:val="en"/>
              </w:rPr>
            </w:pPr>
            <w:r w:rsidRPr="00191ACB">
              <w:rPr>
                <w:rFonts w:ascii="Times New Roman" w:eastAsia="Arial" w:hAnsi="Times New Roman" w:cs="Times New Roman"/>
                <w:color w:val="000000" w:themeColor="text1"/>
                <w:sz w:val="24"/>
                <w:szCs w:val="24"/>
                <w:lang w:val="en"/>
              </w:rPr>
              <w:t>3,617</w:t>
            </w:r>
          </w:p>
        </w:tc>
        <w:tc>
          <w:tcPr>
            <w:tcW w:w="1282" w:type="dxa"/>
          </w:tcPr>
          <w:p w14:paraId="6B65337B" w14:textId="2CCAAE3E" w:rsidR="005156FA" w:rsidRPr="00191ACB" w:rsidRDefault="00C61442" w:rsidP="00C61442">
            <w:pPr>
              <w:jc w:val="both"/>
              <w:rPr>
                <w:rFonts w:ascii="Times New Roman" w:eastAsia="Arial" w:hAnsi="Times New Roman" w:cs="Times New Roman"/>
                <w:color w:val="000000" w:themeColor="text1"/>
                <w:sz w:val="24"/>
                <w:szCs w:val="24"/>
                <w:lang w:val="en"/>
              </w:rPr>
            </w:pPr>
            <w:r w:rsidRPr="00191ACB">
              <w:rPr>
                <w:rFonts w:ascii="Times New Roman" w:eastAsia="Arial" w:hAnsi="Times New Roman" w:cs="Times New Roman"/>
                <w:color w:val="000000" w:themeColor="text1"/>
                <w:sz w:val="24"/>
                <w:szCs w:val="24"/>
                <w:lang w:val="en"/>
              </w:rPr>
              <w:t>0.570</w:t>
            </w:r>
          </w:p>
        </w:tc>
      </w:tr>
      <w:tr w:rsidR="00976442" w:rsidRPr="00191ACB" w14:paraId="1EC3BFBF" w14:textId="77777777" w:rsidTr="00BE0D7C">
        <w:tc>
          <w:tcPr>
            <w:tcW w:w="1271" w:type="dxa"/>
          </w:tcPr>
          <w:p w14:paraId="1707A9FA" w14:textId="7D8DDC76"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2016</w:t>
            </w:r>
          </w:p>
        </w:tc>
        <w:tc>
          <w:tcPr>
            <w:tcW w:w="1701" w:type="dxa"/>
          </w:tcPr>
          <w:p w14:paraId="1C109166" w14:textId="4918B796"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62.5</w:t>
            </w:r>
          </w:p>
        </w:tc>
        <w:tc>
          <w:tcPr>
            <w:tcW w:w="2126" w:type="dxa"/>
          </w:tcPr>
          <w:p w14:paraId="42A6A4A9" w14:textId="62F66CE9"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11.5</w:t>
            </w:r>
          </w:p>
        </w:tc>
        <w:tc>
          <w:tcPr>
            <w:tcW w:w="1560" w:type="dxa"/>
          </w:tcPr>
          <w:p w14:paraId="0E07C07D" w14:textId="01B77286"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7.0</w:t>
            </w:r>
          </w:p>
        </w:tc>
        <w:tc>
          <w:tcPr>
            <w:tcW w:w="1842" w:type="dxa"/>
          </w:tcPr>
          <w:p w14:paraId="5A702DC3" w14:textId="17E1DE2D"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3,622</w:t>
            </w:r>
          </w:p>
        </w:tc>
        <w:tc>
          <w:tcPr>
            <w:tcW w:w="1282" w:type="dxa"/>
          </w:tcPr>
          <w:p w14:paraId="1C986E14" w14:textId="2F2F3D0A"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0.580</w:t>
            </w:r>
          </w:p>
        </w:tc>
      </w:tr>
      <w:tr w:rsidR="00976442" w:rsidRPr="00191ACB" w14:paraId="1E50A0E7" w14:textId="77777777" w:rsidTr="00BE0D7C">
        <w:tc>
          <w:tcPr>
            <w:tcW w:w="1271" w:type="dxa"/>
          </w:tcPr>
          <w:p w14:paraId="7A39B4A9" w14:textId="2B55587F"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2017</w:t>
            </w:r>
          </w:p>
        </w:tc>
        <w:tc>
          <w:tcPr>
            <w:tcW w:w="1701" w:type="dxa"/>
          </w:tcPr>
          <w:p w14:paraId="12D4BAE6" w14:textId="5553426A"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63.0</w:t>
            </w:r>
          </w:p>
        </w:tc>
        <w:tc>
          <w:tcPr>
            <w:tcW w:w="2126" w:type="dxa"/>
          </w:tcPr>
          <w:p w14:paraId="0612B4A4" w14:textId="3BBFB230"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12.1</w:t>
            </w:r>
          </w:p>
        </w:tc>
        <w:tc>
          <w:tcPr>
            <w:tcW w:w="1560" w:type="dxa"/>
          </w:tcPr>
          <w:p w14:paraId="16A8BC11" w14:textId="0E5E5282"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7.1 </w:t>
            </w:r>
          </w:p>
        </w:tc>
        <w:tc>
          <w:tcPr>
            <w:tcW w:w="1842" w:type="dxa"/>
          </w:tcPr>
          <w:p w14:paraId="62438C66" w14:textId="32E13EFF"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3,553</w:t>
            </w:r>
          </w:p>
        </w:tc>
        <w:tc>
          <w:tcPr>
            <w:tcW w:w="1282" w:type="dxa"/>
          </w:tcPr>
          <w:p w14:paraId="546E160C" w14:textId="5A94DCD8"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0.589</w:t>
            </w:r>
          </w:p>
        </w:tc>
      </w:tr>
      <w:tr w:rsidR="00976442" w:rsidRPr="00191ACB" w14:paraId="499DA812" w14:textId="77777777" w:rsidTr="00BE0D7C">
        <w:tc>
          <w:tcPr>
            <w:tcW w:w="1271" w:type="dxa"/>
          </w:tcPr>
          <w:p w14:paraId="32FEDA2F" w14:textId="5BA34C9D"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2018</w:t>
            </w:r>
          </w:p>
        </w:tc>
        <w:tc>
          <w:tcPr>
            <w:tcW w:w="1701" w:type="dxa"/>
          </w:tcPr>
          <w:p w14:paraId="76051ABB" w14:textId="12581AA2"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63.5</w:t>
            </w:r>
          </w:p>
        </w:tc>
        <w:tc>
          <w:tcPr>
            <w:tcW w:w="2126" w:type="dxa"/>
          </w:tcPr>
          <w:p w14:paraId="3CDF7A16" w14:textId="7ACC0E76"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12.1</w:t>
            </w:r>
          </w:p>
        </w:tc>
        <w:tc>
          <w:tcPr>
            <w:tcW w:w="1560" w:type="dxa"/>
          </w:tcPr>
          <w:p w14:paraId="645B6519" w14:textId="0CEA76F9"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7.1</w:t>
            </w:r>
          </w:p>
        </w:tc>
        <w:tc>
          <w:tcPr>
            <w:tcW w:w="1842" w:type="dxa"/>
          </w:tcPr>
          <w:p w14:paraId="21425862" w14:textId="377D4B14"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3,582</w:t>
            </w:r>
          </w:p>
        </w:tc>
        <w:tc>
          <w:tcPr>
            <w:tcW w:w="1282" w:type="dxa"/>
          </w:tcPr>
          <w:p w14:paraId="09457B73" w14:textId="44D82385" w:rsidR="005156FA" w:rsidRPr="00191ACB" w:rsidRDefault="005156FA" w:rsidP="005156FA">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0.591</w:t>
            </w:r>
          </w:p>
        </w:tc>
      </w:tr>
    </w:tbl>
    <w:p w14:paraId="13541034" w14:textId="5447DF71" w:rsidR="00AF7347" w:rsidRPr="00191ACB" w:rsidRDefault="005156FA" w:rsidP="005E0DC7">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Source: UNDP</w:t>
      </w:r>
      <w:r w:rsidR="00C61442"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2019</w:t>
      </w:r>
    </w:p>
    <w:p w14:paraId="7123BDB4" w14:textId="77777777" w:rsidR="00BE0D7C" w:rsidRPr="00191ACB" w:rsidRDefault="00BE0D7C" w:rsidP="005E626A">
      <w:pPr>
        <w:spacing w:after="120" w:line="240" w:lineRule="auto"/>
        <w:jc w:val="both"/>
        <w:rPr>
          <w:rFonts w:ascii="Times New Roman" w:hAnsi="Times New Roman" w:cs="Times New Roman"/>
          <w:color w:val="000000" w:themeColor="text1"/>
          <w:sz w:val="24"/>
          <w:szCs w:val="24"/>
        </w:rPr>
      </w:pPr>
      <w:bookmarkStart w:id="29" w:name="_Hlk50931271"/>
    </w:p>
    <w:bookmarkEnd w:id="29"/>
    <w:p w14:paraId="439424D9" w14:textId="153DE835" w:rsidR="00CB6CBC" w:rsidRPr="00191ACB" w:rsidRDefault="00CB6CBC" w:rsidP="00B916C3">
      <w:pPr>
        <w:pStyle w:val="Heading2"/>
        <w:numPr>
          <w:ilvl w:val="1"/>
          <w:numId w:val="36"/>
        </w:numPr>
        <w:spacing w:before="200" w:after="120" w:line="240" w:lineRule="auto"/>
        <w:ind w:left="567" w:hanging="567"/>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ab/>
      </w:r>
      <w:bookmarkStart w:id="30" w:name="_Toc57902799"/>
      <w:r w:rsidR="004A0414" w:rsidRPr="00191ACB">
        <w:rPr>
          <w:rFonts w:ascii="Times New Roman" w:hAnsi="Times New Roman" w:cs="Times New Roman"/>
          <w:b/>
          <w:color w:val="000000" w:themeColor="text1"/>
          <w:sz w:val="24"/>
          <w:szCs w:val="24"/>
        </w:rPr>
        <w:t>Policy Environment and Reforms</w:t>
      </w:r>
      <w:bookmarkEnd w:id="30"/>
    </w:p>
    <w:p w14:paraId="25567D03" w14:textId="7ECC121B" w:rsidR="00CB6CBC" w:rsidRPr="00191ACB" w:rsidRDefault="00746F7E"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Vision 2030, is Zambia’s long-term strategy that reflects the collective understanding, aspirations and determination of the Zambian people to be a prosperous middle-income nation by the year 2030.</w:t>
      </w:r>
      <w:r w:rsidR="00D33836"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 xml:space="preserve">The vision is implemented through </w:t>
      </w:r>
      <w:r w:rsidR="004A0414" w:rsidRPr="00191ACB">
        <w:rPr>
          <w:rFonts w:ascii="Times New Roman" w:hAnsi="Times New Roman" w:cs="Times New Roman"/>
          <w:color w:val="000000" w:themeColor="text1"/>
          <w:sz w:val="24"/>
          <w:szCs w:val="24"/>
        </w:rPr>
        <w:t>5-year</w:t>
      </w:r>
      <w:r w:rsidRPr="00191ACB">
        <w:rPr>
          <w:rFonts w:ascii="Times New Roman" w:hAnsi="Times New Roman" w:cs="Times New Roman"/>
          <w:color w:val="000000" w:themeColor="text1"/>
          <w:sz w:val="24"/>
          <w:szCs w:val="24"/>
        </w:rPr>
        <w:t xml:space="preserve"> medium term national development plans. </w:t>
      </w:r>
      <w:r w:rsidR="00DA7C30" w:rsidRPr="00191ACB">
        <w:rPr>
          <w:rFonts w:ascii="Times New Roman" w:hAnsi="Times New Roman" w:cs="Times New Roman"/>
          <w:color w:val="000000" w:themeColor="text1"/>
          <w:sz w:val="24"/>
          <w:szCs w:val="24"/>
        </w:rPr>
        <w:t>Zambia is currently implementing its Seventh National Development Plan (7NDP) which runs from 2017 to 2021 (7NDP 2017)</w:t>
      </w:r>
      <w:r w:rsidR="00AB1CEB" w:rsidRPr="00191ACB">
        <w:rPr>
          <w:rFonts w:ascii="Times New Roman" w:hAnsi="Times New Roman" w:cs="Times New Roman"/>
          <w:color w:val="000000" w:themeColor="text1"/>
          <w:sz w:val="24"/>
          <w:szCs w:val="24"/>
        </w:rPr>
        <w:t xml:space="preserve"> supported by s</w:t>
      </w:r>
      <w:r w:rsidR="00D33836" w:rsidRPr="00191ACB">
        <w:rPr>
          <w:rFonts w:ascii="Times New Roman" w:hAnsi="Times New Roman" w:cs="Times New Roman"/>
          <w:color w:val="000000" w:themeColor="text1"/>
          <w:sz w:val="24"/>
          <w:szCs w:val="24"/>
        </w:rPr>
        <w:t xml:space="preserve">ectoral policies, </w:t>
      </w:r>
      <w:r w:rsidR="00AB1CEB" w:rsidRPr="00191ACB">
        <w:rPr>
          <w:rFonts w:ascii="Times New Roman" w:hAnsi="Times New Roman" w:cs="Times New Roman"/>
          <w:color w:val="000000" w:themeColor="text1"/>
          <w:sz w:val="24"/>
          <w:szCs w:val="24"/>
        </w:rPr>
        <w:t>strategies</w:t>
      </w:r>
      <w:r w:rsidR="00D33836" w:rsidRPr="00191ACB">
        <w:rPr>
          <w:rFonts w:ascii="Times New Roman" w:hAnsi="Times New Roman" w:cs="Times New Roman"/>
          <w:color w:val="000000" w:themeColor="text1"/>
          <w:sz w:val="24"/>
          <w:szCs w:val="24"/>
        </w:rPr>
        <w:t xml:space="preserve"> and programmes</w:t>
      </w:r>
      <w:r w:rsidR="00AB1CEB" w:rsidRPr="00191ACB">
        <w:rPr>
          <w:rFonts w:ascii="Times New Roman" w:hAnsi="Times New Roman" w:cs="Times New Roman"/>
          <w:color w:val="000000" w:themeColor="text1"/>
          <w:sz w:val="24"/>
          <w:szCs w:val="24"/>
        </w:rPr>
        <w:t>.</w:t>
      </w:r>
      <w:r w:rsidR="00DA7C30" w:rsidRPr="00191ACB">
        <w:rPr>
          <w:rFonts w:ascii="Times New Roman" w:hAnsi="Times New Roman" w:cs="Times New Roman"/>
          <w:color w:val="000000" w:themeColor="text1"/>
          <w:sz w:val="24"/>
          <w:szCs w:val="24"/>
        </w:rPr>
        <w:t xml:space="preserve"> </w:t>
      </w:r>
      <w:r w:rsidR="00CB6CBC" w:rsidRPr="00191ACB">
        <w:rPr>
          <w:rFonts w:ascii="Times New Roman" w:hAnsi="Times New Roman" w:cs="Times New Roman"/>
          <w:color w:val="000000" w:themeColor="text1"/>
          <w:sz w:val="24"/>
          <w:szCs w:val="24"/>
        </w:rPr>
        <w:t xml:space="preserve">In order to enable timely realisation </w:t>
      </w:r>
      <w:r w:rsidR="00CB6CBC" w:rsidRPr="00191ACB">
        <w:rPr>
          <w:rFonts w:ascii="Times New Roman" w:hAnsi="Times New Roman" w:cs="Times New Roman"/>
          <w:color w:val="000000" w:themeColor="text1"/>
          <w:sz w:val="24"/>
          <w:szCs w:val="24"/>
        </w:rPr>
        <w:lastRenderedPageBreak/>
        <w:t>of plan goals, Government committed itself (GRZ, 2017) to speed up undertaking some of the following key reforms:</w:t>
      </w:r>
    </w:p>
    <w:p w14:paraId="0206B050" w14:textId="77777777" w:rsidR="00CB6CBC" w:rsidRPr="00191ACB" w:rsidRDefault="00CB6CBC" w:rsidP="00A60A8C">
      <w:pPr>
        <w:numPr>
          <w:ilvl w:val="0"/>
          <w:numId w:val="29"/>
        </w:numPr>
        <w:suppressAutoHyphens/>
        <w:autoSpaceDN w:val="0"/>
        <w:spacing w:after="120" w:line="276" w:lineRule="auto"/>
        <w:jc w:val="both"/>
        <w:textAlignment w:val="baseline"/>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Decentralisation – whose objective is to devolve some central government functions to lower levels with matching resources;</w:t>
      </w:r>
    </w:p>
    <w:p w14:paraId="55A6A6D5" w14:textId="77777777" w:rsidR="00CB6CBC" w:rsidRPr="00191ACB" w:rsidRDefault="00CB6CBC" w:rsidP="00A60A8C">
      <w:pPr>
        <w:numPr>
          <w:ilvl w:val="0"/>
          <w:numId w:val="29"/>
        </w:numPr>
        <w:suppressAutoHyphens/>
        <w:autoSpaceDN w:val="0"/>
        <w:spacing w:after="120" w:line="276" w:lineRule="auto"/>
        <w:jc w:val="both"/>
        <w:textAlignment w:val="baseline"/>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Public Service Management Reforms – aimed at strengthening the efficient operations of the public service for enhanced service delivery;</w:t>
      </w:r>
    </w:p>
    <w:p w14:paraId="755B14F1" w14:textId="77777777" w:rsidR="00CB6CBC" w:rsidRPr="00191ACB" w:rsidRDefault="00CB6CBC" w:rsidP="00A60A8C">
      <w:pPr>
        <w:numPr>
          <w:ilvl w:val="0"/>
          <w:numId w:val="29"/>
        </w:numPr>
        <w:suppressAutoHyphens/>
        <w:autoSpaceDN w:val="0"/>
        <w:spacing w:after="120" w:line="276" w:lineRule="auto"/>
        <w:jc w:val="both"/>
        <w:textAlignment w:val="baseline"/>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Private Sector Development Reforms – to create an enabling environment for the private sector to efficiently and effectively participate in the socio-economic development of the country;</w:t>
      </w:r>
    </w:p>
    <w:p w14:paraId="423F510B" w14:textId="77777777" w:rsidR="00CB6CBC" w:rsidRPr="00191ACB" w:rsidRDefault="00CB6CBC" w:rsidP="00A60A8C">
      <w:pPr>
        <w:numPr>
          <w:ilvl w:val="0"/>
          <w:numId w:val="29"/>
        </w:numPr>
        <w:suppressAutoHyphens/>
        <w:autoSpaceDN w:val="0"/>
        <w:spacing w:after="120" w:line="276" w:lineRule="auto"/>
        <w:jc w:val="both"/>
        <w:textAlignment w:val="baseline"/>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Public Finance Management Reforms – aimed at improving transparency and accountability in the utilisation of public resources, while enhancing systems for accounting for development results; and</w:t>
      </w:r>
    </w:p>
    <w:p w14:paraId="1214F7A1" w14:textId="45E5EA3A" w:rsidR="00CB6CBC" w:rsidRPr="00191ACB" w:rsidRDefault="00CB6CBC" w:rsidP="00A60A8C">
      <w:pPr>
        <w:numPr>
          <w:ilvl w:val="0"/>
          <w:numId w:val="29"/>
        </w:numPr>
        <w:suppressAutoHyphens/>
        <w:autoSpaceDN w:val="0"/>
        <w:spacing w:after="120" w:line="276" w:lineRule="auto"/>
        <w:jc w:val="both"/>
        <w:textAlignment w:val="baseline"/>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Financial Sector Development Reforms – aimed at creating an enabling environment to facilitate smooth functioning of financial markets by removing bottlenecks that constrain the operations of the market. </w:t>
      </w:r>
    </w:p>
    <w:p w14:paraId="1A768DED" w14:textId="14C1FB5A" w:rsidR="00BC0CC4" w:rsidRPr="00191ACB" w:rsidRDefault="00BC0CC4" w:rsidP="00A60A8C">
      <w:pPr>
        <w:suppressAutoHyphens/>
        <w:autoSpaceDN w:val="0"/>
        <w:spacing w:after="120" w:line="276" w:lineRule="auto"/>
        <w:jc w:val="both"/>
        <w:textAlignment w:val="baseline"/>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Zambia has put in place measures aimed at integrating climate change issues in the development planning process, technology development and transfer, research and systematic observation, education, training and public awareness, and capacity building. Overarching is the National Policy on Climate Change (NPCC) whose overall objective is to provide a framework for coordinating climate change programmes in order to ensure climate resilient and low carbon development pathways for sustainable development towards the attainment of Zambia's Vision 2030. The policy promotes mainstreaming of climate change into policies, plans and strategies at all levels to inform decision-making and implementation. The Seventh National Development Plan (7NDP) mainstreamed climate change as an overarching guidance to promote social wellbeing, including better health, growth of the economy and at the same time reduce environmental risks, such as shortage of water, air pollution and other effects.</w:t>
      </w:r>
    </w:p>
    <w:p w14:paraId="44926717" w14:textId="4B9491B0" w:rsidR="00BC0CC4" w:rsidRPr="00191ACB" w:rsidRDefault="00D2277C" w:rsidP="00A60A8C">
      <w:pPr>
        <w:suppressAutoHyphens/>
        <w:autoSpaceDN w:val="0"/>
        <w:spacing w:after="120" w:line="276" w:lineRule="auto"/>
        <w:jc w:val="both"/>
        <w:textAlignment w:val="baseline"/>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Other efforts include: (i) Promoting the adoption of environment-friendly agricultural practices such as conservation agriculture in order </w:t>
      </w:r>
      <w:r w:rsidR="00BC0CC4" w:rsidRPr="00191ACB">
        <w:rPr>
          <w:rFonts w:ascii="Times New Roman" w:hAnsi="Times New Roman" w:cs="Times New Roman"/>
          <w:color w:val="000000" w:themeColor="text1"/>
          <w:sz w:val="24"/>
          <w:szCs w:val="24"/>
        </w:rPr>
        <w:t>to adapt to and mitigate the effects of climate change in the agriculture sector</w:t>
      </w:r>
      <w:r w:rsidRPr="00191ACB">
        <w:rPr>
          <w:rFonts w:ascii="Times New Roman" w:hAnsi="Times New Roman" w:cs="Times New Roman"/>
          <w:color w:val="000000" w:themeColor="text1"/>
          <w:sz w:val="24"/>
          <w:szCs w:val="24"/>
        </w:rPr>
        <w:t>; (ii)</w:t>
      </w:r>
      <w:r w:rsidR="00BC0CC4"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Putting priority on water resource infrastructure development and increasing water resources availability as long term measures to mitigate the impact of climate change and build resilience through water harvesting technology and water catchment management</w:t>
      </w:r>
      <w:r w:rsidR="00756004" w:rsidRPr="00191ACB">
        <w:rPr>
          <w:rFonts w:ascii="Times New Roman" w:hAnsi="Times New Roman" w:cs="Times New Roman"/>
          <w:color w:val="000000" w:themeColor="text1"/>
          <w:sz w:val="24"/>
          <w:szCs w:val="24"/>
        </w:rPr>
        <w:t xml:space="preserve"> in the water sector</w:t>
      </w:r>
      <w:r w:rsidRPr="00191ACB">
        <w:rPr>
          <w:rFonts w:ascii="Times New Roman" w:hAnsi="Times New Roman" w:cs="Times New Roman"/>
          <w:color w:val="000000" w:themeColor="text1"/>
          <w:sz w:val="24"/>
          <w:szCs w:val="24"/>
        </w:rPr>
        <w:t xml:space="preserve">; (iii) </w:t>
      </w:r>
      <w:r w:rsidR="00756004" w:rsidRPr="00191ACB">
        <w:rPr>
          <w:rFonts w:ascii="Times New Roman" w:hAnsi="Times New Roman" w:cs="Times New Roman"/>
          <w:color w:val="000000" w:themeColor="text1"/>
          <w:sz w:val="24"/>
          <w:szCs w:val="24"/>
        </w:rPr>
        <w:t>S</w:t>
      </w:r>
      <w:r w:rsidR="00BC0CC4" w:rsidRPr="00191ACB">
        <w:rPr>
          <w:rFonts w:ascii="Times New Roman" w:hAnsi="Times New Roman" w:cs="Times New Roman"/>
          <w:color w:val="000000" w:themeColor="text1"/>
          <w:sz w:val="24"/>
          <w:szCs w:val="24"/>
        </w:rPr>
        <w:t>trengthening of climate related diseases surveillance</w:t>
      </w:r>
      <w:r w:rsidR="00756004" w:rsidRPr="00191ACB">
        <w:rPr>
          <w:rFonts w:ascii="Times New Roman" w:hAnsi="Times New Roman" w:cs="Times New Roman"/>
          <w:color w:val="000000" w:themeColor="text1"/>
          <w:sz w:val="24"/>
          <w:szCs w:val="24"/>
        </w:rPr>
        <w:t xml:space="preserve">; (iv) Other than hydro-power, increase energy supply from other sources </w:t>
      </w:r>
      <w:r w:rsidR="00BC0CC4" w:rsidRPr="00191ACB">
        <w:rPr>
          <w:rFonts w:ascii="Times New Roman" w:hAnsi="Times New Roman" w:cs="Times New Roman"/>
          <w:color w:val="000000" w:themeColor="text1"/>
          <w:sz w:val="24"/>
          <w:szCs w:val="24"/>
        </w:rPr>
        <w:t>including geothermal, wind and solar</w:t>
      </w:r>
      <w:r w:rsidR="009F5449" w:rsidRPr="00191ACB">
        <w:rPr>
          <w:rFonts w:ascii="Times New Roman" w:hAnsi="Times New Roman" w:cs="Times New Roman"/>
          <w:color w:val="000000" w:themeColor="text1"/>
          <w:sz w:val="24"/>
          <w:szCs w:val="24"/>
        </w:rPr>
        <w:t xml:space="preserve">; </w:t>
      </w:r>
      <w:r w:rsidR="00756004" w:rsidRPr="00191ACB">
        <w:rPr>
          <w:rFonts w:ascii="Times New Roman" w:hAnsi="Times New Roman" w:cs="Times New Roman"/>
          <w:color w:val="000000" w:themeColor="text1"/>
          <w:sz w:val="24"/>
          <w:szCs w:val="24"/>
        </w:rPr>
        <w:t xml:space="preserve">(v) </w:t>
      </w:r>
      <w:r w:rsidR="009F5449" w:rsidRPr="00191ACB">
        <w:rPr>
          <w:rFonts w:ascii="Times New Roman" w:hAnsi="Times New Roman" w:cs="Times New Roman"/>
          <w:color w:val="000000" w:themeColor="text1"/>
          <w:sz w:val="24"/>
          <w:szCs w:val="24"/>
        </w:rPr>
        <w:t xml:space="preserve">Integrating climate resilient codes and standards in order to build roads that are climate resilient; (vi) Putting in place </w:t>
      </w:r>
      <w:r w:rsidR="00BC0CC4" w:rsidRPr="00191ACB">
        <w:rPr>
          <w:rFonts w:ascii="Times New Roman" w:hAnsi="Times New Roman" w:cs="Times New Roman"/>
          <w:color w:val="000000" w:themeColor="text1"/>
          <w:sz w:val="24"/>
          <w:szCs w:val="24"/>
        </w:rPr>
        <w:t>a disaster risk reduction-oriented Disaster Management Policy of 2015</w:t>
      </w:r>
      <w:r w:rsidR="009F5449" w:rsidRPr="00191ACB">
        <w:rPr>
          <w:rFonts w:ascii="Times New Roman" w:hAnsi="Times New Roman" w:cs="Times New Roman"/>
          <w:color w:val="000000" w:themeColor="text1"/>
          <w:sz w:val="24"/>
          <w:szCs w:val="24"/>
        </w:rPr>
        <w:t>; (vii) M</w:t>
      </w:r>
      <w:r w:rsidR="00BC0CC4" w:rsidRPr="00191ACB">
        <w:rPr>
          <w:rFonts w:ascii="Times New Roman" w:hAnsi="Times New Roman" w:cs="Times New Roman"/>
          <w:color w:val="000000" w:themeColor="text1"/>
          <w:sz w:val="24"/>
          <w:szCs w:val="24"/>
        </w:rPr>
        <w:t>ainstream</w:t>
      </w:r>
      <w:r w:rsidR="009F5449" w:rsidRPr="00191ACB">
        <w:rPr>
          <w:rFonts w:ascii="Times New Roman" w:hAnsi="Times New Roman" w:cs="Times New Roman"/>
          <w:color w:val="000000" w:themeColor="text1"/>
          <w:sz w:val="24"/>
          <w:szCs w:val="24"/>
        </w:rPr>
        <w:t>ing</w:t>
      </w:r>
      <w:r w:rsidR="00BC0CC4" w:rsidRPr="00191ACB">
        <w:rPr>
          <w:rFonts w:ascii="Times New Roman" w:hAnsi="Times New Roman" w:cs="Times New Roman"/>
          <w:color w:val="000000" w:themeColor="text1"/>
          <w:sz w:val="24"/>
          <w:szCs w:val="24"/>
        </w:rPr>
        <w:t xml:space="preserve"> climate change in the National Parks and Wildlife Policy to ensure long-term responses to impacts on the sector</w:t>
      </w:r>
      <w:r w:rsidR="009F5449" w:rsidRPr="00191ACB">
        <w:rPr>
          <w:rFonts w:ascii="Times New Roman" w:hAnsi="Times New Roman" w:cs="Times New Roman"/>
          <w:color w:val="000000" w:themeColor="text1"/>
          <w:sz w:val="24"/>
          <w:szCs w:val="24"/>
        </w:rPr>
        <w:t>; and (viii) M</w:t>
      </w:r>
      <w:r w:rsidR="00BC0CC4" w:rsidRPr="00191ACB">
        <w:rPr>
          <w:rFonts w:ascii="Times New Roman" w:hAnsi="Times New Roman" w:cs="Times New Roman"/>
          <w:color w:val="000000" w:themeColor="text1"/>
          <w:sz w:val="24"/>
          <w:szCs w:val="24"/>
        </w:rPr>
        <w:t>ainstream</w:t>
      </w:r>
      <w:r w:rsidR="009F5449" w:rsidRPr="00191ACB">
        <w:rPr>
          <w:rFonts w:ascii="Times New Roman" w:hAnsi="Times New Roman" w:cs="Times New Roman"/>
          <w:color w:val="000000" w:themeColor="text1"/>
          <w:sz w:val="24"/>
          <w:szCs w:val="24"/>
        </w:rPr>
        <w:t>ing</w:t>
      </w:r>
      <w:r w:rsidR="00BC0CC4" w:rsidRPr="00191ACB">
        <w:rPr>
          <w:rFonts w:ascii="Times New Roman" w:hAnsi="Times New Roman" w:cs="Times New Roman"/>
          <w:color w:val="000000" w:themeColor="text1"/>
          <w:sz w:val="24"/>
          <w:szCs w:val="24"/>
        </w:rPr>
        <w:t xml:space="preserve"> climate change in the National Tourism Policy in order to promote “green” environmentally responsible tourism</w:t>
      </w:r>
      <w:r w:rsidR="009F5449" w:rsidRPr="00191ACB">
        <w:rPr>
          <w:rFonts w:ascii="Times New Roman" w:hAnsi="Times New Roman" w:cs="Times New Roman"/>
          <w:color w:val="000000" w:themeColor="text1"/>
          <w:sz w:val="24"/>
          <w:szCs w:val="24"/>
        </w:rPr>
        <w:t xml:space="preserve">. In turn </w:t>
      </w:r>
      <w:r w:rsidR="00BC0CC4" w:rsidRPr="00191ACB">
        <w:rPr>
          <w:rFonts w:ascii="Times New Roman" w:hAnsi="Times New Roman" w:cs="Times New Roman"/>
          <w:color w:val="000000" w:themeColor="text1"/>
          <w:sz w:val="24"/>
          <w:szCs w:val="24"/>
        </w:rPr>
        <w:t>enhance the country’s natural and cultural resources and addresses environmental threats such as climate change, poaching, over-fishing and deforestation.</w:t>
      </w:r>
    </w:p>
    <w:p w14:paraId="0C48AF70" w14:textId="7F440E6E" w:rsidR="00CB6CBC" w:rsidRPr="00191ACB" w:rsidRDefault="000E684B" w:rsidP="00B916C3">
      <w:pPr>
        <w:pStyle w:val="Heading2"/>
        <w:numPr>
          <w:ilvl w:val="1"/>
          <w:numId w:val="36"/>
        </w:numPr>
        <w:spacing w:after="120" w:line="276" w:lineRule="auto"/>
        <w:ind w:left="567" w:hanging="567"/>
        <w:rPr>
          <w:rFonts w:ascii="Times New Roman" w:hAnsi="Times New Roman" w:cs="Times New Roman"/>
          <w:b/>
          <w:color w:val="000000" w:themeColor="text1"/>
          <w:sz w:val="24"/>
          <w:szCs w:val="24"/>
        </w:rPr>
      </w:pPr>
      <w:bookmarkStart w:id="31" w:name="_Toc57902800"/>
      <w:r w:rsidRPr="00191ACB">
        <w:rPr>
          <w:rFonts w:ascii="Times New Roman" w:hAnsi="Times New Roman" w:cs="Times New Roman"/>
          <w:b/>
          <w:color w:val="000000" w:themeColor="text1"/>
          <w:sz w:val="24"/>
          <w:szCs w:val="24"/>
        </w:rPr>
        <w:lastRenderedPageBreak/>
        <w:t xml:space="preserve">Natural </w:t>
      </w:r>
      <w:r w:rsidR="00FA6511" w:rsidRPr="00191ACB">
        <w:rPr>
          <w:rFonts w:ascii="Times New Roman" w:hAnsi="Times New Roman" w:cs="Times New Roman"/>
          <w:b/>
          <w:color w:val="000000" w:themeColor="text1"/>
          <w:sz w:val="24"/>
          <w:szCs w:val="24"/>
        </w:rPr>
        <w:t>R</w:t>
      </w:r>
      <w:r w:rsidRPr="00191ACB">
        <w:rPr>
          <w:rFonts w:ascii="Times New Roman" w:hAnsi="Times New Roman" w:cs="Times New Roman"/>
          <w:b/>
          <w:color w:val="000000" w:themeColor="text1"/>
          <w:sz w:val="24"/>
          <w:szCs w:val="24"/>
        </w:rPr>
        <w:t xml:space="preserve">esources and the </w:t>
      </w:r>
      <w:r w:rsidR="00FA6511" w:rsidRPr="00191ACB">
        <w:rPr>
          <w:rFonts w:ascii="Times New Roman" w:hAnsi="Times New Roman" w:cs="Times New Roman"/>
          <w:b/>
          <w:color w:val="000000" w:themeColor="text1"/>
          <w:sz w:val="24"/>
          <w:szCs w:val="24"/>
        </w:rPr>
        <w:t>E</w:t>
      </w:r>
      <w:r w:rsidRPr="00191ACB">
        <w:rPr>
          <w:rFonts w:ascii="Times New Roman" w:hAnsi="Times New Roman" w:cs="Times New Roman"/>
          <w:b/>
          <w:color w:val="000000" w:themeColor="text1"/>
          <w:sz w:val="24"/>
          <w:szCs w:val="24"/>
        </w:rPr>
        <w:t>conomy</w:t>
      </w:r>
      <w:bookmarkEnd w:id="31"/>
    </w:p>
    <w:p w14:paraId="5B7F0319" w14:textId="77777777" w:rsidR="000E684B" w:rsidRPr="00191ACB" w:rsidRDefault="000E684B"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Zambia is endowed with natural resources that contribute significantly to the national economy. Primary resources include minerals, forests, water, wildlife, fisheries and land</w:t>
      </w:r>
      <w:r w:rsidR="009875BC" w:rsidRPr="00191ACB">
        <w:rPr>
          <w:rFonts w:ascii="Times New Roman" w:hAnsi="Times New Roman" w:cs="Times New Roman"/>
          <w:color w:val="000000" w:themeColor="text1"/>
          <w:sz w:val="24"/>
          <w:szCs w:val="24"/>
        </w:rPr>
        <w:t xml:space="preserve"> while the main sectors contributing to Zambia’s economy include mining, transport, construction, manufacturing, tourism, agriculture and energy.</w:t>
      </w:r>
    </w:p>
    <w:p w14:paraId="42D6DE74" w14:textId="46352A5E" w:rsidR="000E684B" w:rsidRPr="00876D31" w:rsidRDefault="004B11F3" w:rsidP="008938D9">
      <w:pPr>
        <w:pStyle w:val="Heading3"/>
        <w:numPr>
          <w:ilvl w:val="2"/>
          <w:numId w:val="36"/>
        </w:numPr>
        <w:ind w:left="851" w:hanging="851"/>
      </w:pPr>
      <w:bookmarkStart w:id="32" w:name="_Toc57902801"/>
      <w:r w:rsidRPr="00876D31">
        <w:t>Economy</w:t>
      </w:r>
      <w:bookmarkEnd w:id="32"/>
    </w:p>
    <w:p w14:paraId="3CA9CB95" w14:textId="0DD2D119" w:rsidR="00971B1E" w:rsidRPr="00191ACB" w:rsidRDefault="0051690A"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In the early 1990s, the Zambian government made a move towards a privatized and open market economy. </w:t>
      </w:r>
      <w:r w:rsidR="00737B15" w:rsidRPr="00191ACB">
        <w:rPr>
          <w:rFonts w:ascii="Times New Roman" w:hAnsi="Times New Roman" w:cs="Times New Roman"/>
          <w:color w:val="000000" w:themeColor="text1"/>
          <w:sz w:val="24"/>
          <w:szCs w:val="24"/>
        </w:rPr>
        <w:t>T</w:t>
      </w:r>
      <w:r w:rsidRPr="00191ACB">
        <w:rPr>
          <w:rFonts w:ascii="Times New Roman" w:hAnsi="Times New Roman" w:cs="Times New Roman"/>
          <w:color w:val="000000" w:themeColor="text1"/>
          <w:sz w:val="24"/>
          <w:szCs w:val="24"/>
        </w:rPr>
        <w:t xml:space="preserve">his helped to transform the Zambian economy </w:t>
      </w:r>
      <w:r w:rsidR="00FA6511" w:rsidRPr="00191ACB">
        <w:rPr>
          <w:rFonts w:ascii="Times New Roman" w:hAnsi="Times New Roman" w:cs="Times New Roman"/>
          <w:color w:val="000000" w:themeColor="text1"/>
          <w:sz w:val="24"/>
          <w:szCs w:val="24"/>
        </w:rPr>
        <w:t>and</w:t>
      </w:r>
      <w:r w:rsidRPr="00191ACB">
        <w:rPr>
          <w:rFonts w:ascii="Times New Roman" w:hAnsi="Times New Roman" w:cs="Times New Roman"/>
          <w:color w:val="000000" w:themeColor="text1"/>
          <w:sz w:val="24"/>
          <w:szCs w:val="24"/>
        </w:rPr>
        <w:t xml:space="preserve"> achieved</w:t>
      </w:r>
      <w:r w:rsidR="00053A3A" w:rsidRPr="00191ACB">
        <w:rPr>
          <w:rFonts w:ascii="Times New Roman" w:hAnsi="Times New Roman" w:cs="Times New Roman"/>
          <w:color w:val="000000" w:themeColor="text1"/>
          <w:sz w:val="24"/>
          <w:szCs w:val="24"/>
        </w:rPr>
        <w:t xml:space="preserve"> an average</w:t>
      </w:r>
      <w:r w:rsidR="00FA6511" w:rsidRPr="00191ACB">
        <w:rPr>
          <w:rFonts w:ascii="Times New Roman" w:hAnsi="Times New Roman" w:cs="Times New Roman"/>
          <w:color w:val="000000" w:themeColor="text1"/>
          <w:sz w:val="24"/>
          <w:szCs w:val="24"/>
        </w:rPr>
        <w:t xml:space="preserve"> Gross</w:t>
      </w:r>
      <w:r w:rsidRPr="00191ACB">
        <w:rPr>
          <w:rFonts w:ascii="Times New Roman" w:hAnsi="Times New Roman" w:cs="Times New Roman"/>
          <w:color w:val="000000" w:themeColor="text1"/>
          <w:sz w:val="24"/>
          <w:szCs w:val="24"/>
        </w:rPr>
        <w:t xml:space="preserve"> </w:t>
      </w:r>
      <w:r w:rsidR="00FA6511" w:rsidRPr="00191ACB">
        <w:rPr>
          <w:rFonts w:ascii="Times New Roman" w:hAnsi="Times New Roman" w:cs="Times New Roman"/>
          <w:color w:val="000000" w:themeColor="text1"/>
          <w:sz w:val="24"/>
          <w:szCs w:val="24"/>
        </w:rPr>
        <w:t>Domestic Product (</w:t>
      </w:r>
      <w:r w:rsidRPr="00191ACB">
        <w:rPr>
          <w:rFonts w:ascii="Times New Roman" w:hAnsi="Times New Roman" w:cs="Times New Roman"/>
          <w:color w:val="000000" w:themeColor="text1"/>
          <w:sz w:val="24"/>
          <w:szCs w:val="24"/>
        </w:rPr>
        <w:t>GDP</w:t>
      </w:r>
      <w:r w:rsidR="00FA6511"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growth of more than </w:t>
      </w:r>
      <w:r w:rsidR="00053A3A" w:rsidRPr="00191ACB">
        <w:rPr>
          <w:rFonts w:ascii="Times New Roman" w:hAnsi="Times New Roman" w:cs="Times New Roman"/>
          <w:color w:val="000000" w:themeColor="text1"/>
          <w:sz w:val="24"/>
          <w:szCs w:val="24"/>
        </w:rPr>
        <w:t>6 percent</w:t>
      </w:r>
      <w:r w:rsidR="003130CB"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in the period of 2005 to 2013. For the years 2011, 2012 and 2013</w:t>
      </w:r>
      <w:r w:rsidR="00A80E85"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the real GDP was 6.8, 7.3 and 6.4 percent respectively, with annual inflation rate of 8.7 for 2011, 6.6 for 2012 and 7.1 percent for 2013</w:t>
      </w:r>
      <w:r w:rsidR="00A80E85" w:rsidRPr="00191ACB">
        <w:rPr>
          <w:rFonts w:ascii="Times New Roman" w:hAnsi="Times New Roman" w:cs="Times New Roman"/>
          <w:color w:val="000000" w:themeColor="text1"/>
          <w:sz w:val="24"/>
          <w:szCs w:val="24"/>
        </w:rPr>
        <w:t xml:space="preserve"> </w:t>
      </w:r>
      <w:r w:rsidR="00A80E85" w:rsidRPr="0022004A">
        <w:rPr>
          <w:rFonts w:ascii="Times New Roman" w:hAnsi="Times New Roman" w:cs="Times New Roman"/>
          <w:color w:val="000000" w:themeColor="text1"/>
          <w:sz w:val="24"/>
          <w:szCs w:val="24"/>
        </w:rPr>
        <w:t>(Tabl</w:t>
      </w:r>
      <w:r w:rsidR="004A0414" w:rsidRPr="0022004A">
        <w:rPr>
          <w:rFonts w:ascii="Times New Roman" w:hAnsi="Times New Roman" w:cs="Times New Roman"/>
          <w:color w:val="000000" w:themeColor="text1"/>
          <w:sz w:val="24"/>
          <w:szCs w:val="24"/>
        </w:rPr>
        <w:t>e 2.4</w:t>
      </w:r>
      <w:r w:rsidR="00A80E85" w:rsidRPr="0022004A">
        <w:rPr>
          <w:rFonts w:ascii="Times New Roman" w:hAnsi="Times New Roman" w:cs="Times New Roman"/>
          <w:color w:val="000000" w:themeColor="text1"/>
          <w:sz w:val="24"/>
          <w:szCs w:val="24"/>
        </w:rPr>
        <w:t>)</w:t>
      </w:r>
      <w:r w:rsidRPr="0022004A">
        <w:rPr>
          <w:rFonts w:ascii="Times New Roman" w:hAnsi="Times New Roman" w:cs="Times New Roman"/>
          <w:color w:val="000000" w:themeColor="text1"/>
          <w:sz w:val="24"/>
          <w:szCs w:val="24"/>
        </w:rPr>
        <w:t xml:space="preserve">. </w:t>
      </w:r>
      <w:r w:rsidR="00971B1E" w:rsidRPr="0022004A">
        <w:rPr>
          <w:rFonts w:ascii="Times New Roman" w:hAnsi="Times New Roman" w:cs="Times New Roman"/>
          <w:color w:val="000000" w:themeColor="text1"/>
          <w:sz w:val="24"/>
          <w:szCs w:val="24"/>
        </w:rPr>
        <w:t xml:space="preserve">The GDP remained relatively stable </w:t>
      </w:r>
      <w:r w:rsidR="00053A3A" w:rsidRPr="0022004A">
        <w:rPr>
          <w:rFonts w:ascii="Times New Roman" w:hAnsi="Times New Roman" w:cs="Times New Roman"/>
          <w:color w:val="000000" w:themeColor="text1"/>
          <w:sz w:val="24"/>
          <w:szCs w:val="24"/>
        </w:rPr>
        <w:t>in the years</w:t>
      </w:r>
      <w:r w:rsidR="00971B1E" w:rsidRPr="0022004A">
        <w:rPr>
          <w:rFonts w:ascii="Times New Roman" w:hAnsi="Times New Roman" w:cs="Times New Roman"/>
          <w:color w:val="000000" w:themeColor="text1"/>
          <w:sz w:val="24"/>
          <w:szCs w:val="24"/>
        </w:rPr>
        <w:t xml:space="preserve"> 2016, 2017 and 2018 with growth rates between 3 and</w:t>
      </w:r>
      <w:r w:rsidR="00971B1E" w:rsidRPr="00191ACB">
        <w:rPr>
          <w:rFonts w:ascii="Times New Roman" w:hAnsi="Times New Roman" w:cs="Times New Roman"/>
          <w:color w:val="000000" w:themeColor="text1"/>
          <w:sz w:val="24"/>
          <w:szCs w:val="24"/>
        </w:rPr>
        <w:t xml:space="preserve"> 4 percent and an inflation rate </w:t>
      </w:r>
      <w:r w:rsidR="00053A3A" w:rsidRPr="00191ACB">
        <w:rPr>
          <w:rFonts w:ascii="Times New Roman" w:hAnsi="Times New Roman" w:cs="Times New Roman"/>
          <w:color w:val="000000" w:themeColor="text1"/>
          <w:sz w:val="24"/>
          <w:szCs w:val="24"/>
        </w:rPr>
        <w:t>was</w:t>
      </w:r>
      <w:r w:rsidR="00971B1E" w:rsidRPr="00191ACB">
        <w:rPr>
          <w:rFonts w:ascii="Times New Roman" w:hAnsi="Times New Roman" w:cs="Times New Roman"/>
          <w:color w:val="000000" w:themeColor="text1"/>
          <w:sz w:val="24"/>
          <w:szCs w:val="24"/>
        </w:rPr>
        <w:t xml:space="preserve"> between 6 and 8 percent (</w:t>
      </w:r>
      <w:r w:rsidR="000F44A6" w:rsidRPr="00191ACB">
        <w:rPr>
          <w:rFonts w:ascii="Times New Roman" w:hAnsi="Times New Roman" w:cs="Times New Roman"/>
          <w:color w:val="000000" w:themeColor="text1"/>
          <w:sz w:val="24"/>
          <w:szCs w:val="24"/>
        </w:rPr>
        <w:t>ZAMSTATS</w:t>
      </w:r>
      <w:r w:rsidR="00971B1E" w:rsidRPr="00191ACB">
        <w:rPr>
          <w:rFonts w:ascii="Times New Roman" w:hAnsi="Times New Roman" w:cs="Times New Roman"/>
          <w:color w:val="000000" w:themeColor="text1"/>
          <w:sz w:val="24"/>
          <w:szCs w:val="24"/>
        </w:rPr>
        <w:t xml:space="preserve">, 2019 and Ministry of Finance, 2019). The economy was expected to grow between 4 and 5 percent </w:t>
      </w:r>
      <w:r w:rsidR="00053A3A" w:rsidRPr="00191ACB">
        <w:rPr>
          <w:rFonts w:ascii="Times New Roman" w:hAnsi="Times New Roman" w:cs="Times New Roman"/>
          <w:color w:val="000000" w:themeColor="text1"/>
          <w:sz w:val="24"/>
          <w:szCs w:val="24"/>
        </w:rPr>
        <w:t xml:space="preserve">from </w:t>
      </w:r>
      <w:r w:rsidR="00971B1E" w:rsidRPr="00191ACB">
        <w:rPr>
          <w:rFonts w:ascii="Times New Roman" w:hAnsi="Times New Roman" w:cs="Times New Roman"/>
          <w:color w:val="000000" w:themeColor="text1"/>
          <w:sz w:val="24"/>
          <w:szCs w:val="24"/>
        </w:rPr>
        <w:t xml:space="preserve">2019 to 2021 (Medium Term Expenditure Framework, 2018). </w:t>
      </w:r>
    </w:p>
    <w:p w14:paraId="4A828C58" w14:textId="08DC27E6" w:rsidR="00BB1A7B" w:rsidRPr="00191ACB" w:rsidRDefault="003130CB" w:rsidP="00A60A8C">
      <w:pPr>
        <w:pStyle w:val="NoSpacing"/>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In 2015, Zambia experienced </w:t>
      </w:r>
      <w:r w:rsidR="00E00545" w:rsidRPr="00191ACB">
        <w:rPr>
          <w:rFonts w:ascii="Times New Roman" w:hAnsi="Times New Roman" w:cs="Times New Roman"/>
          <w:color w:val="000000" w:themeColor="text1"/>
          <w:sz w:val="24"/>
          <w:szCs w:val="24"/>
        </w:rPr>
        <w:t xml:space="preserve">a </w:t>
      </w:r>
      <w:r w:rsidR="0044020E" w:rsidRPr="00191ACB">
        <w:rPr>
          <w:rFonts w:ascii="Times New Roman" w:hAnsi="Times New Roman" w:cs="Times New Roman"/>
          <w:color w:val="000000" w:themeColor="text1"/>
          <w:sz w:val="24"/>
          <w:szCs w:val="24"/>
        </w:rPr>
        <w:t xml:space="preserve">slowed </w:t>
      </w:r>
      <w:r w:rsidR="00E00545" w:rsidRPr="00191ACB">
        <w:rPr>
          <w:rFonts w:ascii="Times New Roman" w:hAnsi="Times New Roman" w:cs="Times New Roman"/>
          <w:color w:val="000000" w:themeColor="text1"/>
          <w:sz w:val="24"/>
          <w:szCs w:val="24"/>
        </w:rPr>
        <w:t xml:space="preserve">economic </w:t>
      </w:r>
      <w:r w:rsidR="0044020E" w:rsidRPr="00191ACB">
        <w:rPr>
          <w:rFonts w:ascii="Times New Roman" w:hAnsi="Times New Roman" w:cs="Times New Roman"/>
          <w:color w:val="000000" w:themeColor="text1"/>
          <w:sz w:val="24"/>
          <w:szCs w:val="24"/>
        </w:rPr>
        <w:t xml:space="preserve">activity leading to an </w:t>
      </w:r>
      <w:r w:rsidRPr="00191ACB">
        <w:rPr>
          <w:rFonts w:ascii="Times New Roman" w:hAnsi="Times New Roman" w:cs="Times New Roman"/>
          <w:color w:val="000000" w:themeColor="text1"/>
          <w:sz w:val="24"/>
          <w:szCs w:val="24"/>
        </w:rPr>
        <w:t xml:space="preserve">annual inflation rate </w:t>
      </w:r>
      <w:r w:rsidR="0044020E" w:rsidRPr="00191ACB">
        <w:rPr>
          <w:rFonts w:ascii="Times New Roman" w:hAnsi="Times New Roman" w:cs="Times New Roman"/>
          <w:color w:val="000000" w:themeColor="text1"/>
          <w:sz w:val="24"/>
          <w:szCs w:val="24"/>
        </w:rPr>
        <w:t xml:space="preserve">of </w:t>
      </w:r>
      <w:r w:rsidRPr="00191ACB">
        <w:rPr>
          <w:rFonts w:ascii="Times New Roman" w:hAnsi="Times New Roman" w:cs="Times New Roman"/>
          <w:color w:val="000000" w:themeColor="text1"/>
          <w:sz w:val="24"/>
          <w:szCs w:val="24"/>
        </w:rPr>
        <w:t xml:space="preserve">18.2 percent in 2016. The major shocks included: </w:t>
      </w:r>
    </w:p>
    <w:p w14:paraId="2471A34A" w14:textId="2CF3E5B0" w:rsidR="00BB1A7B" w:rsidRPr="00191ACB" w:rsidRDefault="0044020E" w:rsidP="00A60A8C">
      <w:pPr>
        <w:pStyle w:val="NoSpacing"/>
        <w:numPr>
          <w:ilvl w:val="0"/>
          <w:numId w:val="30"/>
        </w:num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w:t>
      </w:r>
      <w:r w:rsidR="003130CB" w:rsidRPr="00191ACB">
        <w:rPr>
          <w:rFonts w:ascii="Times New Roman" w:hAnsi="Times New Roman" w:cs="Times New Roman"/>
          <w:color w:val="000000" w:themeColor="text1"/>
          <w:sz w:val="24"/>
          <w:szCs w:val="24"/>
        </w:rPr>
        <w:t xml:space="preserve">lectricity rationing (load </w:t>
      </w:r>
      <w:r w:rsidRPr="00191ACB">
        <w:rPr>
          <w:rFonts w:ascii="Times New Roman" w:hAnsi="Times New Roman" w:cs="Times New Roman"/>
          <w:color w:val="000000" w:themeColor="text1"/>
          <w:sz w:val="24"/>
          <w:szCs w:val="24"/>
        </w:rPr>
        <w:t>management</w:t>
      </w:r>
      <w:r w:rsidR="003130CB" w:rsidRPr="00191ACB">
        <w:rPr>
          <w:rFonts w:ascii="Times New Roman" w:hAnsi="Times New Roman" w:cs="Times New Roman"/>
          <w:color w:val="000000" w:themeColor="text1"/>
          <w:sz w:val="24"/>
          <w:szCs w:val="24"/>
        </w:rPr>
        <w:t xml:space="preserve">) throughout the country that affected productivity and ultimately reduced </w:t>
      </w:r>
      <w:r w:rsidRPr="00191ACB">
        <w:rPr>
          <w:rFonts w:ascii="Times New Roman" w:hAnsi="Times New Roman" w:cs="Times New Roman"/>
          <w:color w:val="000000" w:themeColor="text1"/>
          <w:sz w:val="24"/>
          <w:szCs w:val="24"/>
        </w:rPr>
        <w:t xml:space="preserve">economic activities </w:t>
      </w:r>
      <w:r w:rsidR="003130CB" w:rsidRPr="00191ACB">
        <w:rPr>
          <w:rFonts w:ascii="Times New Roman" w:hAnsi="Times New Roman" w:cs="Times New Roman"/>
          <w:color w:val="000000" w:themeColor="text1"/>
          <w:sz w:val="24"/>
          <w:szCs w:val="24"/>
        </w:rPr>
        <w:t>across all sectors of the economy and also led to increased production costs as business</w:t>
      </w:r>
      <w:r w:rsidRPr="00191ACB">
        <w:rPr>
          <w:rFonts w:ascii="Times New Roman" w:hAnsi="Times New Roman" w:cs="Times New Roman"/>
          <w:color w:val="000000" w:themeColor="text1"/>
          <w:sz w:val="24"/>
          <w:szCs w:val="24"/>
        </w:rPr>
        <w:t xml:space="preserve">es </w:t>
      </w:r>
      <w:r w:rsidR="003130CB" w:rsidRPr="00191ACB">
        <w:rPr>
          <w:rFonts w:ascii="Times New Roman" w:hAnsi="Times New Roman" w:cs="Times New Roman"/>
          <w:color w:val="000000" w:themeColor="text1"/>
          <w:sz w:val="24"/>
          <w:szCs w:val="24"/>
        </w:rPr>
        <w:t>sought alternative energy sources</w:t>
      </w:r>
      <w:r w:rsidR="00BB1A7B" w:rsidRPr="00191ACB">
        <w:rPr>
          <w:rFonts w:ascii="Times New Roman" w:hAnsi="Times New Roman" w:cs="Times New Roman"/>
          <w:color w:val="000000" w:themeColor="text1"/>
          <w:sz w:val="24"/>
          <w:szCs w:val="24"/>
        </w:rPr>
        <w:t>.</w:t>
      </w:r>
      <w:r w:rsidR="003130CB"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L</w:t>
      </w:r>
      <w:r w:rsidR="00BB1A7B" w:rsidRPr="00191ACB">
        <w:rPr>
          <w:rFonts w:ascii="Times New Roman" w:hAnsi="Times New Roman" w:cs="Times New Roman"/>
          <w:color w:val="000000" w:themeColor="text1"/>
          <w:sz w:val="24"/>
          <w:szCs w:val="24"/>
        </w:rPr>
        <w:t xml:space="preserve">oad </w:t>
      </w:r>
      <w:r w:rsidRPr="00191ACB">
        <w:rPr>
          <w:rFonts w:ascii="Times New Roman" w:hAnsi="Times New Roman" w:cs="Times New Roman"/>
          <w:color w:val="000000" w:themeColor="text1"/>
          <w:sz w:val="24"/>
          <w:szCs w:val="24"/>
        </w:rPr>
        <w:t xml:space="preserve">management </w:t>
      </w:r>
      <w:r w:rsidR="00BB1A7B" w:rsidRPr="00191ACB">
        <w:rPr>
          <w:rFonts w:ascii="Times New Roman" w:hAnsi="Times New Roman" w:cs="Times New Roman"/>
          <w:color w:val="000000" w:themeColor="text1"/>
          <w:sz w:val="24"/>
          <w:szCs w:val="24"/>
        </w:rPr>
        <w:t>triggered</w:t>
      </w:r>
      <w:r w:rsidRPr="00191ACB">
        <w:rPr>
          <w:rFonts w:ascii="Times New Roman" w:hAnsi="Times New Roman" w:cs="Times New Roman"/>
          <w:color w:val="000000" w:themeColor="text1"/>
          <w:sz w:val="24"/>
          <w:szCs w:val="24"/>
        </w:rPr>
        <w:t xml:space="preserve"> investments </w:t>
      </w:r>
      <w:r w:rsidR="00BB1A7B" w:rsidRPr="00191ACB">
        <w:rPr>
          <w:rFonts w:ascii="Times New Roman" w:hAnsi="Times New Roman" w:cs="Times New Roman"/>
          <w:color w:val="000000" w:themeColor="text1"/>
          <w:sz w:val="24"/>
          <w:szCs w:val="24"/>
        </w:rPr>
        <w:t>in renewable energy</w:t>
      </w:r>
      <w:r w:rsidRPr="00191ACB">
        <w:rPr>
          <w:rFonts w:ascii="Times New Roman" w:hAnsi="Times New Roman" w:cs="Times New Roman"/>
          <w:color w:val="000000" w:themeColor="text1"/>
          <w:sz w:val="24"/>
          <w:szCs w:val="24"/>
        </w:rPr>
        <w:t xml:space="preserve"> i</w:t>
      </w:r>
      <w:r w:rsidR="00BB1A7B" w:rsidRPr="00191ACB">
        <w:rPr>
          <w:rFonts w:ascii="Times New Roman" w:hAnsi="Times New Roman" w:cs="Times New Roman"/>
          <w:color w:val="000000" w:themeColor="text1"/>
          <w:sz w:val="24"/>
          <w:szCs w:val="24"/>
        </w:rPr>
        <w:t xml:space="preserve">n the country; </w:t>
      </w:r>
      <w:r w:rsidR="003130CB" w:rsidRPr="00191ACB">
        <w:rPr>
          <w:rFonts w:ascii="Times New Roman" w:hAnsi="Times New Roman" w:cs="Times New Roman"/>
          <w:color w:val="000000" w:themeColor="text1"/>
          <w:sz w:val="24"/>
          <w:szCs w:val="24"/>
        </w:rPr>
        <w:t xml:space="preserve">and </w:t>
      </w:r>
    </w:p>
    <w:p w14:paraId="7CCBFDCC" w14:textId="57B55EF3" w:rsidR="00BB1A7B" w:rsidRPr="00191ACB" w:rsidRDefault="00BB1A7B" w:rsidP="00A60A8C">
      <w:pPr>
        <w:pStyle w:val="NoSpacing"/>
        <w:numPr>
          <w:ilvl w:val="0"/>
          <w:numId w:val="30"/>
        </w:num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D</w:t>
      </w:r>
      <w:r w:rsidR="003130CB" w:rsidRPr="00191ACB">
        <w:rPr>
          <w:rFonts w:ascii="Times New Roman" w:hAnsi="Times New Roman" w:cs="Times New Roman"/>
          <w:color w:val="000000" w:themeColor="text1"/>
          <w:sz w:val="24"/>
          <w:szCs w:val="24"/>
        </w:rPr>
        <w:t>eclines in commodity prices particularly copper, which is Zambia’s main foreign exchange earner (PwC Budget Bulleting, 2015)</w:t>
      </w:r>
      <w:r w:rsidRPr="00191ACB">
        <w:rPr>
          <w:rFonts w:ascii="Times New Roman" w:hAnsi="Times New Roman" w:cs="Times New Roman"/>
          <w:color w:val="000000" w:themeColor="text1"/>
          <w:sz w:val="24"/>
          <w:szCs w:val="24"/>
        </w:rPr>
        <w:t>;</w:t>
      </w:r>
    </w:p>
    <w:p w14:paraId="515BC2F3" w14:textId="4C8B533A" w:rsidR="0051690A" w:rsidRPr="00191ACB" w:rsidRDefault="00A04D05" w:rsidP="00A60A8C">
      <w:pPr>
        <w:pStyle w:val="NoSpacing"/>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Bank of Zambia also attributes increase in inflation especially in 2015 and 2016, to the increase in the cost of supply of selected food items, general increase in transportation costs due to changes in fuel prices and depreciation of the Kwacha against major currencies (BOZ, 2019). </w:t>
      </w:r>
    </w:p>
    <w:p w14:paraId="5ECA6713" w14:textId="77777777" w:rsidR="005B3BA8" w:rsidRPr="00191ACB" w:rsidRDefault="005B3BA8" w:rsidP="005E626A">
      <w:pPr>
        <w:pStyle w:val="NoSpacing"/>
        <w:spacing w:after="120"/>
        <w:jc w:val="both"/>
        <w:rPr>
          <w:rFonts w:ascii="Times New Roman" w:hAnsi="Times New Roman" w:cs="Times New Roman"/>
          <w:color w:val="000000" w:themeColor="text1"/>
          <w:sz w:val="24"/>
          <w:szCs w:val="24"/>
        </w:rPr>
      </w:pPr>
    </w:p>
    <w:p w14:paraId="7431B25F" w14:textId="77777777" w:rsidR="0049476D" w:rsidRDefault="0049476D" w:rsidP="00597D1F">
      <w:pPr>
        <w:pStyle w:val="Caption"/>
        <w:keepNext/>
        <w:rPr>
          <w:sz w:val="24"/>
          <w:szCs w:val="24"/>
        </w:rPr>
      </w:pPr>
      <w:bookmarkStart w:id="33" w:name="_Toc27657436"/>
      <w:bookmarkStart w:id="34" w:name="_Toc56583757"/>
      <w:bookmarkStart w:id="35" w:name="_Toc23029906"/>
      <w:r>
        <w:rPr>
          <w:sz w:val="24"/>
          <w:szCs w:val="24"/>
        </w:rPr>
        <w:br w:type="page"/>
      </w:r>
    </w:p>
    <w:p w14:paraId="15E11E58" w14:textId="7BEC5F4E" w:rsidR="0051690A" w:rsidRPr="00191ACB" w:rsidRDefault="00252F41" w:rsidP="00597D1F">
      <w:pPr>
        <w:pStyle w:val="Caption"/>
        <w:keepNext/>
        <w:rPr>
          <w:sz w:val="24"/>
          <w:szCs w:val="24"/>
        </w:rPr>
      </w:pPr>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2</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w:t>
      </w:r>
      <w:r w:rsidR="00875942">
        <w:rPr>
          <w:sz w:val="24"/>
          <w:szCs w:val="24"/>
        </w:rPr>
        <w:fldChar w:fldCharType="end"/>
      </w:r>
      <w:r w:rsidRPr="00191ACB">
        <w:rPr>
          <w:sz w:val="24"/>
          <w:szCs w:val="24"/>
        </w:rPr>
        <w:t>:Zambia's Economic Parameters…</w:t>
      </w:r>
      <w:bookmarkEnd w:id="33"/>
      <w:bookmarkEnd w:id="34"/>
    </w:p>
    <w:bookmarkEnd w:id="35"/>
    <w:tbl>
      <w:tblPr>
        <w:tblW w:w="5434" w:type="pct"/>
        <w:tblInd w:w="-431" w:type="dxa"/>
        <w:tblLayout w:type="fixed"/>
        <w:tblCellMar>
          <w:left w:w="10" w:type="dxa"/>
          <w:right w:w="10" w:type="dxa"/>
        </w:tblCellMar>
        <w:tblLook w:val="0000" w:firstRow="0" w:lastRow="0" w:firstColumn="0" w:lastColumn="0" w:noHBand="0" w:noVBand="0"/>
      </w:tblPr>
      <w:tblGrid>
        <w:gridCol w:w="1572"/>
        <w:gridCol w:w="1129"/>
        <w:gridCol w:w="1138"/>
        <w:gridCol w:w="1129"/>
        <w:gridCol w:w="1133"/>
        <w:gridCol w:w="1133"/>
        <w:gridCol w:w="1133"/>
        <w:gridCol w:w="1133"/>
        <w:gridCol w:w="1131"/>
      </w:tblGrid>
      <w:tr w:rsidR="0049476D" w:rsidRPr="0049476D" w14:paraId="72F4B6A0" w14:textId="77777777" w:rsidTr="0049476D">
        <w:trPr>
          <w:trHeight w:val="300"/>
        </w:trPr>
        <w:tc>
          <w:tcPr>
            <w:tcW w:w="739"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855D2A8" w14:textId="77777777" w:rsidR="0051690A" w:rsidRPr="0049476D" w:rsidRDefault="0051690A" w:rsidP="00202E5A">
            <w:pPr>
              <w:spacing w:after="0"/>
              <w:rPr>
                <w:rFonts w:ascii="Times New Roman" w:hAnsi="Times New Roman" w:cs="Times New Roman"/>
                <w:color w:val="000000" w:themeColor="text1"/>
                <w:sz w:val="20"/>
                <w:szCs w:val="20"/>
              </w:rPr>
            </w:pP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F7F7C2F"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2011</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8CBC203"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2012</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BDEA3A4"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2013</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738870C"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2014</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EA1A13C"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2015</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9B37EBF"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2016</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6123A49"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2017</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452AE48"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2018</w:t>
            </w:r>
          </w:p>
        </w:tc>
      </w:tr>
      <w:tr w:rsidR="0049476D" w:rsidRPr="0049476D" w14:paraId="47201EEC" w14:textId="77777777" w:rsidTr="0049476D">
        <w:trPr>
          <w:trHeight w:val="300"/>
        </w:trPr>
        <w:tc>
          <w:tcPr>
            <w:tcW w:w="739"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10F1A5A"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Inflation</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B72BCD9"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8.7</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BC3959D"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6.6</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94F9E7F"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7.0</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E804EB9"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7.8</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B58C7DA"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10.0</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7F7DC53"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18.2</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ACC25CF"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6.6</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4D33EE1"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7.5</w:t>
            </w:r>
          </w:p>
        </w:tc>
      </w:tr>
      <w:tr w:rsidR="0049476D" w:rsidRPr="0049476D" w14:paraId="036331F1" w14:textId="77777777" w:rsidTr="0049476D">
        <w:trPr>
          <w:trHeight w:val="300"/>
        </w:trPr>
        <w:tc>
          <w:tcPr>
            <w:tcW w:w="739"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64F0DC4"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Population Projections (Million)</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1CFDD5D"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13.7</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E6C055C"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14.1</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1168CB0"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14.6</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92015EE"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15.0</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EF604B4"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15.5</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F1F64E7"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15.9</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26EC0F8"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16.4</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DEDB5C5"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16.9</w:t>
            </w:r>
          </w:p>
        </w:tc>
      </w:tr>
      <w:tr w:rsidR="0049476D" w:rsidRPr="0049476D" w14:paraId="0B23EBD7" w14:textId="77777777" w:rsidTr="0049476D">
        <w:trPr>
          <w:trHeight w:val="300"/>
        </w:trPr>
        <w:tc>
          <w:tcPr>
            <w:tcW w:w="739"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F7FA932"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GDP in Constant 2010 Prices</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F8A90F2"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102,625.6</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1E76D13"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110,422.7</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65077F3"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116,007.3</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8167D77"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121,457.0</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1D8366A"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125,003.5</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EAC67D6"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129,695.7</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71842B9"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134,270.6</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8C4A612"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139,203.4</w:t>
            </w:r>
          </w:p>
        </w:tc>
      </w:tr>
      <w:tr w:rsidR="0049476D" w:rsidRPr="0049476D" w14:paraId="3B1B0BA4" w14:textId="77777777" w:rsidTr="0049476D">
        <w:trPr>
          <w:trHeight w:val="300"/>
        </w:trPr>
        <w:tc>
          <w:tcPr>
            <w:tcW w:w="739"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C1B4EC6"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Real GDP Growth (%)</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EAA008F" w14:textId="77777777" w:rsidR="0051690A" w:rsidRPr="0049476D" w:rsidRDefault="0051690A" w:rsidP="00202E5A">
            <w:pPr>
              <w:spacing w:after="0"/>
              <w:rPr>
                <w:rFonts w:ascii="Times New Roman" w:hAnsi="Times New Roman" w:cs="Times New Roman"/>
                <w:color w:val="000000" w:themeColor="text1"/>
                <w:sz w:val="20"/>
                <w:szCs w:val="20"/>
              </w:rPr>
            </w:pP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AE446E4"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7.6</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280639B"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5.1</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27A15C9"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4.7</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0A2B01D"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2.9</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C4B182E"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3.8</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7EBA023"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3.5</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56B2945"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3.7</w:t>
            </w:r>
          </w:p>
        </w:tc>
      </w:tr>
      <w:tr w:rsidR="0049476D" w:rsidRPr="0049476D" w14:paraId="2FD59CE5" w14:textId="77777777" w:rsidTr="0049476D">
        <w:trPr>
          <w:trHeight w:val="300"/>
        </w:trPr>
        <w:tc>
          <w:tcPr>
            <w:tcW w:w="739"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79A68AC"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Nominal GDP (in Millions of Kwacha)</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9AE5D03"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114,029.7</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132FD5A"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131,271.9</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C2E478E"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151,330.8</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67BCE9B"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167,052.5</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6B1D6BD"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183,381.1</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F8806F8"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216,098.1</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0805108"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246,251.8</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5B159F9"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279,441.2</w:t>
            </w:r>
          </w:p>
        </w:tc>
      </w:tr>
      <w:tr w:rsidR="0049476D" w:rsidRPr="0049476D" w14:paraId="3E61FD47" w14:textId="77777777" w:rsidTr="0049476D">
        <w:trPr>
          <w:trHeight w:val="300"/>
        </w:trPr>
        <w:tc>
          <w:tcPr>
            <w:tcW w:w="739"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0F0C559"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GDP deflator index</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FCFBE1A"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111.1</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FBCABF4"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118.9</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41DBEE8"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130.4</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4318926"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137.5</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B67397D"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146.7</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2156393"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166.6</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999DF49"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183.4</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F17C80A"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200.7</w:t>
            </w:r>
          </w:p>
        </w:tc>
      </w:tr>
      <w:tr w:rsidR="0049476D" w:rsidRPr="0049476D" w14:paraId="187A8467" w14:textId="77777777" w:rsidTr="0049476D">
        <w:trPr>
          <w:trHeight w:val="300"/>
        </w:trPr>
        <w:tc>
          <w:tcPr>
            <w:tcW w:w="739"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03E57DF"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GDP deflator (%)</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2BDE001" w14:textId="77777777" w:rsidR="0051690A" w:rsidRPr="0049476D" w:rsidRDefault="0051690A" w:rsidP="00202E5A">
            <w:pPr>
              <w:spacing w:after="0"/>
              <w:rPr>
                <w:rFonts w:ascii="Times New Roman" w:hAnsi="Times New Roman" w:cs="Times New Roman"/>
                <w:color w:val="000000" w:themeColor="text1"/>
                <w:sz w:val="20"/>
                <w:szCs w:val="20"/>
              </w:rPr>
            </w:pP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9473F9C"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7.0</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D6014D2"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9.7</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A0BA243"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5.4</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B5CECB6"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6.7</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6F1CC13"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13.6</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52EB318"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10.1</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B99706C"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9.5</w:t>
            </w:r>
          </w:p>
        </w:tc>
      </w:tr>
      <w:tr w:rsidR="0049476D" w:rsidRPr="0049476D" w14:paraId="3D8571B8" w14:textId="77777777" w:rsidTr="0049476D">
        <w:trPr>
          <w:trHeight w:val="300"/>
        </w:trPr>
        <w:tc>
          <w:tcPr>
            <w:tcW w:w="739"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F361A7E"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Nominal GDP (in Billions of U.S. dollars)</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9A31AA8"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23,460.4</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142726E"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25,531.8</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D2C9FCE"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28,068.9</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3FB845D"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27,140.9</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311DE85"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21,249.3</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F925C2D"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20,960.0</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CE6E53E"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25,921.2</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0F54C85"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26,679.8</w:t>
            </w:r>
          </w:p>
        </w:tc>
      </w:tr>
      <w:tr w:rsidR="0049476D" w:rsidRPr="0049476D" w14:paraId="705B8BA2" w14:textId="77777777" w:rsidTr="0049476D">
        <w:trPr>
          <w:trHeight w:val="300"/>
        </w:trPr>
        <w:tc>
          <w:tcPr>
            <w:tcW w:w="739"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3686CCC"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GDP Per Capita (In US$)</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822967E"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1,710.1</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1F42516"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1,805.0</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E3F7125"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1,925.1</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2E45C1B"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1,806.6</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DAE431C"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1,373.2</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1517811"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1,315.4</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D77F76C"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1,580.1</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E5BBC82"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1,579.8</w:t>
            </w:r>
          </w:p>
        </w:tc>
      </w:tr>
      <w:tr w:rsidR="0049476D" w:rsidRPr="0049476D" w14:paraId="6F408ABA" w14:textId="77777777" w:rsidTr="0049476D">
        <w:trPr>
          <w:trHeight w:val="300"/>
        </w:trPr>
        <w:tc>
          <w:tcPr>
            <w:tcW w:w="739"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308BFD7"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Exchange rate</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1B4437F"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4.9</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B8E0EF1"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5.1</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3E0200C"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5.4</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83A18F2"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6.2</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7DBB251"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8.6</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2547BF6"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10.3</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E243820"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9.5</w:t>
            </w:r>
          </w:p>
        </w:tc>
        <w:tc>
          <w:tcPr>
            <w:tcW w:w="533" w:type="pc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E8A0076" w14:textId="77777777" w:rsidR="0051690A" w:rsidRPr="0049476D" w:rsidRDefault="0051690A" w:rsidP="00202E5A">
            <w:pPr>
              <w:spacing w:after="0"/>
              <w:rPr>
                <w:rFonts w:ascii="Times New Roman" w:hAnsi="Times New Roman" w:cs="Times New Roman"/>
                <w:color w:val="000000" w:themeColor="text1"/>
                <w:sz w:val="20"/>
                <w:szCs w:val="20"/>
              </w:rPr>
            </w:pPr>
            <w:r w:rsidRPr="0049476D">
              <w:rPr>
                <w:rFonts w:ascii="Times New Roman" w:hAnsi="Times New Roman" w:cs="Times New Roman"/>
                <w:color w:val="000000" w:themeColor="text1"/>
                <w:sz w:val="20"/>
                <w:szCs w:val="20"/>
              </w:rPr>
              <w:t>10.5</w:t>
            </w:r>
          </w:p>
        </w:tc>
      </w:tr>
    </w:tbl>
    <w:p w14:paraId="1A16F5F0" w14:textId="0A5FB866" w:rsidR="0051690A" w:rsidRPr="00191ACB" w:rsidRDefault="0051690A" w:rsidP="0051690A">
      <w:pPr>
        <w:spacing w:after="0"/>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Source: </w:t>
      </w:r>
      <w:r w:rsidR="000F44A6" w:rsidRPr="00191ACB">
        <w:rPr>
          <w:rFonts w:ascii="Times New Roman" w:hAnsi="Times New Roman" w:cs="Times New Roman"/>
          <w:color w:val="000000" w:themeColor="text1"/>
          <w:sz w:val="24"/>
          <w:szCs w:val="24"/>
        </w:rPr>
        <w:t>ZAMSTATS</w:t>
      </w:r>
      <w:r w:rsidR="00971B1E" w:rsidRPr="00191ACB">
        <w:rPr>
          <w:rFonts w:ascii="Times New Roman" w:hAnsi="Times New Roman" w:cs="Times New Roman"/>
          <w:color w:val="000000" w:themeColor="text1"/>
          <w:sz w:val="24"/>
          <w:szCs w:val="24"/>
        </w:rPr>
        <w:t>, 2019</w:t>
      </w:r>
      <w:r w:rsidRPr="00191ACB">
        <w:rPr>
          <w:rFonts w:ascii="Times New Roman" w:hAnsi="Times New Roman" w:cs="Times New Roman"/>
          <w:color w:val="000000" w:themeColor="text1"/>
          <w:sz w:val="24"/>
          <w:szCs w:val="24"/>
        </w:rPr>
        <w:t xml:space="preserve"> and Ministry of Finance, 2019</w:t>
      </w:r>
    </w:p>
    <w:p w14:paraId="7DE5AF1B" w14:textId="21CC10A3" w:rsidR="005B3BA8" w:rsidRPr="00191ACB" w:rsidRDefault="005B3BA8" w:rsidP="00C31524">
      <w:pPr>
        <w:pStyle w:val="NoSpacing"/>
        <w:jc w:val="both"/>
        <w:rPr>
          <w:rFonts w:ascii="Times New Roman" w:hAnsi="Times New Roman" w:cs="Times New Roman"/>
          <w:color w:val="000000" w:themeColor="text1"/>
          <w:sz w:val="24"/>
          <w:szCs w:val="24"/>
        </w:rPr>
      </w:pPr>
    </w:p>
    <w:p w14:paraId="2CA70466" w14:textId="77777777" w:rsidR="004A0414" w:rsidRPr="00191ACB" w:rsidRDefault="004A0414" w:rsidP="00C31524">
      <w:pPr>
        <w:pStyle w:val="NoSpacing"/>
        <w:jc w:val="both"/>
        <w:rPr>
          <w:rFonts w:ascii="Times New Roman" w:hAnsi="Times New Roman" w:cs="Times New Roman"/>
          <w:color w:val="000000" w:themeColor="text1"/>
          <w:sz w:val="24"/>
          <w:szCs w:val="24"/>
        </w:rPr>
      </w:pPr>
    </w:p>
    <w:p w14:paraId="469ACF53" w14:textId="12B277F0" w:rsidR="00EB3A24" w:rsidRPr="008938D9" w:rsidRDefault="00EB3A24" w:rsidP="008938D9">
      <w:pPr>
        <w:pStyle w:val="Heading3"/>
        <w:numPr>
          <w:ilvl w:val="2"/>
          <w:numId w:val="36"/>
        </w:numPr>
        <w:ind w:left="851" w:hanging="851"/>
        <w:rPr>
          <w:rFonts w:cs="Times New Roman"/>
          <w:bCs/>
          <w:color w:val="000000" w:themeColor="text1"/>
          <w:szCs w:val="24"/>
        </w:rPr>
      </w:pPr>
      <w:bookmarkStart w:id="36" w:name="_Toc54621902"/>
      <w:bookmarkStart w:id="37" w:name="_Toc54622234"/>
      <w:bookmarkStart w:id="38" w:name="_Toc289414198"/>
      <w:bookmarkStart w:id="39" w:name="_Toc400119507"/>
      <w:bookmarkStart w:id="40" w:name="_Toc418464271"/>
      <w:bookmarkStart w:id="41" w:name="_Toc419428297"/>
      <w:bookmarkStart w:id="42" w:name="_Toc57902802"/>
      <w:bookmarkEnd w:id="36"/>
      <w:bookmarkEnd w:id="37"/>
      <w:r w:rsidRPr="008938D9">
        <w:rPr>
          <w:rFonts w:cs="Times New Roman"/>
          <w:bCs/>
          <w:color w:val="000000" w:themeColor="text1"/>
          <w:szCs w:val="24"/>
        </w:rPr>
        <w:t>Agriculture</w:t>
      </w:r>
      <w:bookmarkEnd w:id="38"/>
      <w:bookmarkEnd w:id="39"/>
      <w:r w:rsidRPr="008938D9">
        <w:rPr>
          <w:rFonts w:cs="Times New Roman"/>
          <w:bCs/>
          <w:color w:val="000000" w:themeColor="text1"/>
          <w:szCs w:val="24"/>
        </w:rPr>
        <w:t>, Livestock and Fisheries</w:t>
      </w:r>
      <w:bookmarkEnd w:id="40"/>
      <w:bookmarkEnd w:id="41"/>
      <w:bookmarkEnd w:id="42"/>
      <w:r w:rsidRPr="008938D9">
        <w:rPr>
          <w:rFonts w:cs="Times New Roman"/>
          <w:bCs/>
          <w:color w:val="000000" w:themeColor="text1"/>
          <w:szCs w:val="24"/>
        </w:rPr>
        <w:t xml:space="preserve"> </w:t>
      </w:r>
    </w:p>
    <w:p w14:paraId="19A9CA8C" w14:textId="77777777" w:rsidR="004A0414" w:rsidRPr="00191ACB" w:rsidRDefault="004A0414" w:rsidP="005E626A">
      <w:pPr>
        <w:spacing w:after="120" w:line="240" w:lineRule="auto"/>
        <w:jc w:val="both"/>
        <w:rPr>
          <w:rFonts w:ascii="Times New Roman" w:hAnsi="Times New Roman" w:cs="Times New Roman"/>
          <w:color w:val="000000" w:themeColor="text1"/>
          <w:sz w:val="24"/>
          <w:szCs w:val="24"/>
        </w:rPr>
      </w:pPr>
    </w:p>
    <w:p w14:paraId="495A2D0C" w14:textId="748B28D1" w:rsidR="00F56100" w:rsidRPr="00191ACB" w:rsidRDefault="00F56100"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Zambian Government has identified agriculture as </w:t>
      </w:r>
      <w:r w:rsidR="00C91FDE" w:rsidRPr="00191ACB">
        <w:rPr>
          <w:rFonts w:ascii="Times New Roman" w:hAnsi="Times New Roman" w:cs="Times New Roman"/>
          <w:color w:val="000000" w:themeColor="text1"/>
          <w:sz w:val="24"/>
          <w:szCs w:val="24"/>
        </w:rPr>
        <w:t xml:space="preserve">one of the </w:t>
      </w:r>
      <w:r w:rsidRPr="00191ACB">
        <w:rPr>
          <w:rFonts w:ascii="Times New Roman" w:hAnsi="Times New Roman" w:cs="Times New Roman"/>
          <w:color w:val="000000" w:themeColor="text1"/>
          <w:sz w:val="24"/>
          <w:szCs w:val="24"/>
        </w:rPr>
        <w:t>driver</w:t>
      </w:r>
      <w:r w:rsidR="00C91FDE" w:rsidRPr="00191ACB">
        <w:rPr>
          <w:rFonts w:ascii="Times New Roman" w:hAnsi="Times New Roman" w:cs="Times New Roman"/>
          <w:color w:val="000000" w:themeColor="text1"/>
          <w:sz w:val="24"/>
          <w:szCs w:val="24"/>
        </w:rPr>
        <w:t>s</w:t>
      </w:r>
      <w:r w:rsidRPr="00191ACB">
        <w:rPr>
          <w:rFonts w:ascii="Times New Roman" w:hAnsi="Times New Roman" w:cs="Times New Roman"/>
          <w:color w:val="000000" w:themeColor="text1"/>
          <w:sz w:val="24"/>
          <w:szCs w:val="24"/>
        </w:rPr>
        <w:t xml:space="preserve"> of economic growth, for poverty reduction and the sector is critical for achieving diversification</w:t>
      </w:r>
      <w:r w:rsidR="006008D6"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w:t>
      </w:r>
      <w:r w:rsidR="00060F78" w:rsidRPr="00191ACB">
        <w:rPr>
          <w:rFonts w:ascii="Times New Roman" w:hAnsi="Times New Roman" w:cs="Times New Roman"/>
          <w:bCs/>
          <w:color w:val="000000" w:themeColor="text1"/>
          <w:sz w:val="24"/>
          <w:szCs w:val="24"/>
        </w:rPr>
        <w:t>Agriculture generates between 16 and 20 percent of the</w:t>
      </w:r>
      <w:r w:rsidR="006008D6" w:rsidRPr="00191ACB">
        <w:rPr>
          <w:rFonts w:ascii="Times New Roman" w:hAnsi="Times New Roman" w:cs="Times New Roman"/>
          <w:bCs/>
          <w:color w:val="000000" w:themeColor="text1"/>
          <w:sz w:val="24"/>
          <w:szCs w:val="24"/>
        </w:rPr>
        <w:t xml:space="preserve"> </w:t>
      </w:r>
      <w:r w:rsidR="00060F78" w:rsidRPr="00191ACB">
        <w:rPr>
          <w:rFonts w:ascii="Times New Roman" w:hAnsi="Times New Roman" w:cs="Times New Roman"/>
          <w:bCs/>
          <w:color w:val="000000" w:themeColor="text1"/>
          <w:sz w:val="24"/>
          <w:szCs w:val="24"/>
        </w:rPr>
        <w:t>GDP</w:t>
      </w:r>
      <w:r w:rsidR="006008D6" w:rsidRPr="00191ACB">
        <w:rPr>
          <w:rFonts w:ascii="Times New Roman" w:hAnsi="Times New Roman" w:cs="Times New Roman"/>
          <w:bCs/>
          <w:color w:val="000000" w:themeColor="text1"/>
          <w:sz w:val="24"/>
          <w:szCs w:val="24"/>
        </w:rPr>
        <w:t xml:space="preserve"> </w:t>
      </w:r>
      <w:r w:rsidR="00BF7640" w:rsidRPr="00191ACB">
        <w:rPr>
          <w:rFonts w:ascii="Times New Roman" w:hAnsi="Times New Roman" w:cs="Times New Roman"/>
          <w:color w:val="000000" w:themeColor="text1"/>
          <w:sz w:val="24"/>
          <w:szCs w:val="24"/>
        </w:rPr>
        <w:t xml:space="preserve">(FNDP, 2006, rSNDP, </w:t>
      </w:r>
      <w:r w:rsidR="007E1D86" w:rsidRPr="00191ACB">
        <w:rPr>
          <w:rFonts w:ascii="Times New Roman" w:hAnsi="Times New Roman" w:cs="Times New Roman"/>
          <w:color w:val="000000" w:themeColor="text1"/>
          <w:sz w:val="24"/>
          <w:szCs w:val="24"/>
        </w:rPr>
        <w:t>2014</w:t>
      </w:r>
      <w:r w:rsidR="00BF7640" w:rsidRPr="00191ACB">
        <w:rPr>
          <w:rFonts w:ascii="Times New Roman" w:hAnsi="Times New Roman" w:cs="Times New Roman"/>
          <w:color w:val="000000" w:themeColor="text1"/>
          <w:sz w:val="24"/>
          <w:szCs w:val="24"/>
        </w:rPr>
        <w:t>, 7NDP, 2017)</w:t>
      </w:r>
      <w:r w:rsidR="00060F78" w:rsidRPr="00191ACB">
        <w:rPr>
          <w:rFonts w:ascii="Times New Roman" w:hAnsi="Times New Roman" w:cs="Times New Roman"/>
          <w:bCs/>
          <w:color w:val="000000" w:themeColor="text1"/>
          <w:sz w:val="24"/>
          <w:szCs w:val="24"/>
        </w:rPr>
        <w:t xml:space="preserve">. </w:t>
      </w:r>
      <w:r w:rsidR="006008D6" w:rsidRPr="00191ACB">
        <w:rPr>
          <w:rFonts w:ascii="Times New Roman" w:hAnsi="Times New Roman" w:cs="Times New Roman"/>
          <w:color w:val="000000" w:themeColor="text1"/>
          <w:sz w:val="24"/>
          <w:szCs w:val="24"/>
        </w:rPr>
        <w:t>The sector</w:t>
      </w:r>
      <w:r w:rsidR="00BF7640" w:rsidRPr="00191ACB">
        <w:rPr>
          <w:rFonts w:ascii="Times New Roman" w:hAnsi="Times New Roman" w:cs="Times New Roman"/>
          <w:color w:val="000000" w:themeColor="text1"/>
          <w:sz w:val="24"/>
          <w:szCs w:val="24"/>
        </w:rPr>
        <w:t xml:space="preserve"> </w:t>
      </w:r>
      <w:r w:rsidR="00BF7640" w:rsidRPr="00191ACB">
        <w:rPr>
          <w:rFonts w:ascii="Times New Roman" w:hAnsi="Times New Roman" w:cs="Times New Roman"/>
          <w:bCs/>
          <w:color w:val="000000" w:themeColor="text1"/>
          <w:sz w:val="24"/>
          <w:szCs w:val="24"/>
        </w:rPr>
        <w:t>absorbs about 67 percent of the labour force and remains the main source of income and employment for both rural women and men</w:t>
      </w:r>
      <w:r w:rsidRPr="00191ACB">
        <w:rPr>
          <w:rFonts w:ascii="Times New Roman" w:hAnsi="Times New Roman" w:cs="Times New Roman"/>
          <w:color w:val="000000" w:themeColor="text1"/>
          <w:sz w:val="24"/>
          <w:szCs w:val="24"/>
        </w:rPr>
        <w:t xml:space="preserve"> (LCMS, 2015). Family agriculture</w:t>
      </w:r>
      <w:r w:rsidR="00BA69CB" w:rsidRPr="00191ACB">
        <w:rPr>
          <w:rFonts w:ascii="Times New Roman" w:hAnsi="Times New Roman" w:cs="Times New Roman"/>
          <w:color w:val="000000" w:themeColor="text1"/>
          <w:sz w:val="24"/>
          <w:szCs w:val="24"/>
        </w:rPr>
        <w:t xml:space="preserve"> practiced by small scale farmers</w:t>
      </w:r>
      <w:r w:rsidRPr="00191ACB">
        <w:rPr>
          <w:rFonts w:ascii="Times New Roman" w:hAnsi="Times New Roman" w:cs="Times New Roman"/>
          <w:color w:val="000000" w:themeColor="text1"/>
          <w:sz w:val="24"/>
          <w:szCs w:val="24"/>
        </w:rPr>
        <w:t xml:space="preserve"> is the backbone of the rural economy and thus holds great potential for modernisation due to its predominance. </w:t>
      </w:r>
      <w:r w:rsidR="00BA69CB" w:rsidRPr="00191ACB">
        <w:rPr>
          <w:rFonts w:ascii="Times New Roman" w:hAnsi="Times New Roman" w:cs="Times New Roman"/>
          <w:color w:val="000000" w:themeColor="text1"/>
          <w:sz w:val="24"/>
          <w:szCs w:val="24"/>
        </w:rPr>
        <w:t>S</w:t>
      </w:r>
      <w:r w:rsidR="00236C9A" w:rsidRPr="00191ACB">
        <w:rPr>
          <w:rFonts w:ascii="Times New Roman" w:hAnsi="Times New Roman" w:cs="Times New Roman"/>
          <w:bCs/>
          <w:color w:val="000000" w:themeColor="text1"/>
          <w:sz w:val="24"/>
          <w:szCs w:val="24"/>
        </w:rPr>
        <w:t xml:space="preserve">mall scale farmers mainly produce for consumption </w:t>
      </w:r>
      <w:r w:rsidR="00236C9A" w:rsidRPr="00191ACB">
        <w:rPr>
          <w:rFonts w:ascii="Times New Roman" w:hAnsi="Times New Roman" w:cs="Times New Roman"/>
          <w:color w:val="000000" w:themeColor="text1"/>
          <w:sz w:val="24"/>
          <w:szCs w:val="24"/>
        </w:rPr>
        <w:t xml:space="preserve">with occasional marketable surplus. </w:t>
      </w:r>
      <w:r w:rsidRPr="00191ACB">
        <w:rPr>
          <w:rFonts w:ascii="Times New Roman" w:hAnsi="Times New Roman" w:cs="Times New Roman"/>
          <w:color w:val="000000" w:themeColor="text1"/>
          <w:sz w:val="24"/>
          <w:szCs w:val="24"/>
        </w:rPr>
        <w:t>The rural population is still growing, therefore labour supply in agriculture is plentiful and its absorption will be crucial to rural development. The agriculture sector will also retain its central role in rural livelihoods and employment over the next decades (IAPRI, 2017).</w:t>
      </w:r>
    </w:p>
    <w:p w14:paraId="1F381D19" w14:textId="77777777" w:rsidR="0049476D" w:rsidRDefault="00BF7640"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country has enormous potential to expand agricultural production due to the vast resource endowment in terms of land, water, climate and labour (FAO, 2005 and ZDA, 2014). About 43 Million hectares (58% of Zambia’s land) is classified as medium to high potential for agricultural production but only 14% is used (ZDA, 2014). </w:t>
      </w:r>
    </w:p>
    <w:p w14:paraId="2A5A97C5" w14:textId="52E11038" w:rsidR="00CD776C" w:rsidRPr="00191ACB" w:rsidRDefault="00F56100" w:rsidP="00A60A8C">
      <w:pPr>
        <w:spacing w:after="120" w:line="276" w:lineRule="auto"/>
        <w:jc w:val="both"/>
        <w:rPr>
          <w:rFonts w:ascii="Times New Roman" w:hAnsi="Times New Roman" w:cs="Times New Roman"/>
          <w:bCs/>
          <w:color w:val="000000" w:themeColor="text1"/>
          <w:sz w:val="24"/>
          <w:szCs w:val="24"/>
        </w:rPr>
      </w:pPr>
      <w:r w:rsidRPr="00191ACB">
        <w:rPr>
          <w:rFonts w:ascii="Times New Roman" w:hAnsi="Times New Roman" w:cs="Times New Roman"/>
          <w:color w:val="000000" w:themeColor="text1"/>
          <w:sz w:val="24"/>
          <w:szCs w:val="24"/>
        </w:rPr>
        <w:lastRenderedPageBreak/>
        <w:t>The agriculture sector in Zambia has been robust by producing bumper harvest since 2009, with maize leading the produce (</w:t>
      </w:r>
      <w:r w:rsidR="000F44A6" w:rsidRPr="00191ACB">
        <w:rPr>
          <w:rFonts w:ascii="Times New Roman" w:hAnsi="Times New Roman" w:cs="Times New Roman"/>
          <w:color w:val="000000" w:themeColor="text1"/>
          <w:sz w:val="24"/>
          <w:szCs w:val="24"/>
        </w:rPr>
        <w:t>ZAMSTATS</w:t>
      </w:r>
      <w:r w:rsidRPr="00191ACB">
        <w:rPr>
          <w:rFonts w:ascii="Times New Roman" w:hAnsi="Times New Roman" w:cs="Times New Roman"/>
          <w:color w:val="000000" w:themeColor="text1"/>
          <w:sz w:val="24"/>
          <w:szCs w:val="24"/>
        </w:rPr>
        <w:t xml:space="preserve">, 2018) </w:t>
      </w:r>
      <w:r w:rsidR="00F63B85" w:rsidRPr="00191ACB">
        <w:rPr>
          <w:rFonts w:ascii="Times New Roman" w:eastAsia="Calibri" w:hAnsi="Times New Roman" w:cs="Times New Roman"/>
          <w:color w:val="000000" w:themeColor="text1"/>
          <w:sz w:val="24"/>
          <w:szCs w:val="24"/>
        </w:rPr>
        <w:t xml:space="preserve">and </w:t>
      </w:r>
      <w:r w:rsidR="00F20B4F" w:rsidRPr="00191ACB">
        <w:rPr>
          <w:rFonts w:ascii="Times New Roman" w:hAnsi="Times New Roman" w:cs="Times New Roman"/>
          <w:color w:val="000000" w:themeColor="text1"/>
          <w:sz w:val="24"/>
          <w:szCs w:val="24"/>
        </w:rPr>
        <w:t>is the dominant and staple crop in Zambia</w:t>
      </w:r>
      <w:r w:rsidR="00F63B85" w:rsidRPr="00191ACB">
        <w:rPr>
          <w:rFonts w:ascii="Times New Roman" w:hAnsi="Times New Roman" w:cs="Times New Roman"/>
          <w:color w:val="000000" w:themeColor="text1"/>
          <w:sz w:val="24"/>
          <w:szCs w:val="24"/>
        </w:rPr>
        <w:t>. Its</w:t>
      </w:r>
      <w:r w:rsidR="00F20B4F" w:rsidRPr="00191ACB">
        <w:rPr>
          <w:rFonts w:ascii="Times New Roman" w:hAnsi="Times New Roman" w:cs="Times New Roman"/>
          <w:color w:val="000000" w:themeColor="text1"/>
          <w:sz w:val="24"/>
          <w:szCs w:val="24"/>
        </w:rPr>
        <w:t xml:space="preserve"> increased production has been driven by expansion in the area planted</w:t>
      </w:r>
      <w:r w:rsidR="00236C9A" w:rsidRPr="00191ACB">
        <w:rPr>
          <w:rFonts w:ascii="Times New Roman" w:hAnsi="Times New Roman" w:cs="Times New Roman"/>
          <w:color w:val="000000" w:themeColor="text1"/>
          <w:sz w:val="24"/>
          <w:szCs w:val="24"/>
        </w:rPr>
        <w:t xml:space="preserve"> although i</w:t>
      </w:r>
      <w:r w:rsidR="00F20B4F" w:rsidRPr="00191ACB">
        <w:rPr>
          <w:rFonts w:ascii="Times New Roman" w:hAnsi="Times New Roman" w:cs="Times New Roman"/>
          <w:color w:val="000000" w:themeColor="text1"/>
          <w:sz w:val="24"/>
          <w:szCs w:val="24"/>
        </w:rPr>
        <w:t xml:space="preserve">ts </w:t>
      </w:r>
      <w:r w:rsidR="00D809CE" w:rsidRPr="00191ACB">
        <w:rPr>
          <w:rFonts w:ascii="Times New Roman" w:hAnsi="Times New Roman" w:cs="Times New Roman"/>
          <w:bCs/>
          <w:color w:val="000000" w:themeColor="text1"/>
          <w:sz w:val="24"/>
          <w:szCs w:val="24"/>
        </w:rPr>
        <w:t>average</w:t>
      </w:r>
      <w:r w:rsidR="00236C9A" w:rsidRPr="00191ACB">
        <w:rPr>
          <w:rFonts w:ascii="Times New Roman" w:hAnsi="Times New Roman" w:cs="Times New Roman"/>
          <w:bCs/>
          <w:color w:val="000000" w:themeColor="text1"/>
          <w:sz w:val="24"/>
          <w:szCs w:val="24"/>
        </w:rPr>
        <w:t xml:space="preserve"> yield i</w:t>
      </w:r>
      <w:r w:rsidR="00F20B4F" w:rsidRPr="00191ACB">
        <w:rPr>
          <w:rFonts w:ascii="Times New Roman" w:hAnsi="Times New Roman" w:cs="Times New Roman"/>
          <w:bCs/>
          <w:color w:val="000000" w:themeColor="text1"/>
          <w:sz w:val="24"/>
          <w:szCs w:val="24"/>
        </w:rPr>
        <w:t xml:space="preserve">ncreased </w:t>
      </w:r>
      <w:r w:rsidR="00D809CE" w:rsidRPr="00191ACB">
        <w:rPr>
          <w:rFonts w:ascii="Times New Roman" w:hAnsi="Times New Roman" w:cs="Times New Roman"/>
          <w:bCs/>
          <w:color w:val="000000" w:themeColor="text1"/>
          <w:sz w:val="24"/>
          <w:szCs w:val="24"/>
        </w:rPr>
        <w:t xml:space="preserve">from 1.2 to 1.9 tonnes per hectare </w:t>
      </w:r>
      <w:r w:rsidR="00236C9A" w:rsidRPr="00191ACB">
        <w:rPr>
          <w:rFonts w:ascii="Times New Roman" w:hAnsi="Times New Roman" w:cs="Times New Roman"/>
          <w:bCs/>
          <w:color w:val="000000" w:themeColor="text1"/>
          <w:sz w:val="24"/>
          <w:szCs w:val="24"/>
        </w:rPr>
        <w:t xml:space="preserve">among small scale farmers. </w:t>
      </w:r>
      <w:r w:rsidR="0013458A" w:rsidRPr="00191ACB">
        <w:rPr>
          <w:rFonts w:ascii="Times New Roman" w:hAnsi="Times New Roman" w:cs="Times New Roman"/>
          <w:color w:val="000000" w:themeColor="text1"/>
          <w:sz w:val="24"/>
          <w:szCs w:val="24"/>
        </w:rPr>
        <w:t>Maize yields are lower for poorer households at 1.9 t/ha compared to about 2.8 t/ha among non-poor households. Although the yields are higher than many other countries in the region, they remain far below the projected yield potential of 6 t/ha (FAO 2014 in World Bank 2018).</w:t>
      </w:r>
      <w:r w:rsidR="006008D6" w:rsidRPr="00191ACB">
        <w:rPr>
          <w:rFonts w:ascii="Times New Roman" w:hAnsi="Times New Roman" w:cs="Times New Roman"/>
          <w:bCs/>
          <w:color w:val="000000" w:themeColor="text1"/>
          <w:sz w:val="24"/>
          <w:szCs w:val="24"/>
        </w:rPr>
        <w:t xml:space="preserve"> </w:t>
      </w:r>
      <w:r w:rsidR="002938F9" w:rsidRPr="00191ACB">
        <w:rPr>
          <w:rFonts w:ascii="Times New Roman" w:hAnsi="Times New Roman" w:cs="Times New Roman"/>
          <w:bCs/>
          <w:color w:val="000000" w:themeColor="text1"/>
          <w:sz w:val="24"/>
          <w:szCs w:val="24"/>
        </w:rPr>
        <w:t xml:space="preserve">The main challenges the sector faces are </w:t>
      </w:r>
      <w:r w:rsidR="002938F9" w:rsidRPr="00191ACB">
        <w:rPr>
          <w:rFonts w:ascii="Times New Roman" w:hAnsi="Times New Roman" w:cs="Times New Roman"/>
          <w:color w:val="000000" w:themeColor="text1"/>
          <w:sz w:val="24"/>
          <w:szCs w:val="24"/>
        </w:rPr>
        <w:t xml:space="preserve">inefficient rural infrastructure and droughts. </w:t>
      </w:r>
      <w:r w:rsidR="00CD776C" w:rsidRPr="00191ACB">
        <w:rPr>
          <w:rFonts w:ascii="Times New Roman" w:eastAsia="Batang" w:hAnsi="Times New Roman" w:cs="Times New Roman"/>
          <w:color w:val="000000" w:themeColor="text1"/>
          <w:sz w:val="24"/>
          <w:szCs w:val="24"/>
        </w:rPr>
        <w:t xml:space="preserve">Table </w:t>
      </w:r>
      <w:r w:rsidR="004A0414" w:rsidRPr="00191ACB">
        <w:rPr>
          <w:rFonts w:ascii="Times New Roman" w:eastAsia="Batang" w:hAnsi="Times New Roman" w:cs="Times New Roman"/>
          <w:color w:val="000000" w:themeColor="text1"/>
          <w:sz w:val="24"/>
          <w:szCs w:val="24"/>
        </w:rPr>
        <w:t xml:space="preserve">2.5 </w:t>
      </w:r>
      <w:r w:rsidR="00CD776C" w:rsidRPr="00191ACB">
        <w:rPr>
          <w:rFonts w:ascii="Times New Roman" w:eastAsia="Batang" w:hAnsi="Times New Roman" w:cs="Times New Roman"/>
          <w:color w:val="000000" w:themeColor="text1"/>
          <w:sz w:val="24"/>
          <w:szCs w:val="24"/>
        </w:rPr>
        <w:t xml:space="preserve">shows </w:t>
      </w:r>
      <w:r w:rsidR="00CD776C" w:rsidRPr="00191ACB">
        <w:rPr>
          <w:rFonts w:ascii="Times New Roman" w:hAnsi="Times New Roman" w:cs="Times New Roman"/>
          <w:bCs/>
          <w:color w:val="000000" w:themeColor="text1"/>
          <w:sz w:val="24"/>
          <w:szCs w:val="24"/>
        </w:rPr>
        <w:t xml:space="preserve">production of </w:t>
      </w:r>
      <w:r w:rsidR="002938F9" w:rsidRPr="00191ACB">
        <w:rPr>
          <w:rFonts w:ascii="Times New Roman" w:hAnsi="Times New Roman" w:cs="Times New Roman"/>
          <w:bCs/>
          <w:color w:val="000000" w:themeColor="text1"/>
          <w:sz w:val="24"/>
          <w:szCs w:val="24"/>
        </w:rPr>
        <w:t>s</w:t>
      </w:r>
      <w:r w:rsidR="00CD776C" w:rsidRPr="00191ACB">
        <w:rPr>
          <w:rFonts w:ascii="Times New Roman" w:hAnsi="Times New Roman" w:cs="Times New Roman"/>
          <w:bCs/>
          <w:color w:val="000000" w:themeColor="text1"/>
          <w:sz w:val="24"/>
          <w:szCs w:val="24"/>
        </w:rPr>
        <w:t xml:space="preserve">elected </w:t>
      </w:r>
      <w:r w:rsidR="002938F9" w:rsidRPr="00191ACB">
        <w:rPr>
          <w:rFonts w:ascii="Times New Roman" w:hAnsi="Times New Roman" w:cs="Times New Roman"/>
          <w:bCs/>
          <w:color w:val="000000" w:themeColor="text1"/>
          <w:sz w:val="24"/>
          <w:szCs w:val="24"/>
        </w:rPr>
        <w:t>c</w:t>
      </w:r>
      <w:r w:rsidR="00CD776C" w:rsidRPr="00191ACB">
        <w:rPr>
          <w:rFonts w:ascii="Times New Roman" w:hAnsi="Times New Roman" w:cs="Times New Roman"/>
          <w:bCs/>
          <w:color w:val="000000" w:themeColor="text1"/>
          <w:sz w:val="24"/>
          <w:szCs w:val="24"/>
        </w:rPr>
        <w:t>rops for 2010 and 2016</w:t>
      </w:r>
      <w:r w:rsidR="002938F9" w:rsidRPr="00191ACB">
        <w:rPr>
          <w:rFonts w:ascii="Times New Roman" w:hAnsi="Times New Roman" w:cs="Times New Roman"/>
          <w:bCs/>
          <w:color w:val="000000" w:themeColor="text1"/>
          <w:sz w:val="24"/>
          <w:szCs w:val="24"/>
        </w:rPr>
        <w:t xml:space="preserve">. </w:t>
      </w:r>
    </w:p>
    <w:p w14:paraId="11D17921" w14:textId="77777777" w:rsidR="00A60A8C" w:rsidRDefault="00A60A8C" w:rsidP="004A0414">
      <w:pPr>
        <w:pStyle w:val="Caption"/>
        <w:rPr>
          <w:sz w:val="24"/>
          <w:szCs w:val="24"/>
        </w:rPr>
      </w:pPr>
      <w:bookmarkStart w:id="43" w:name="_Toc56583758"/>
    </w:p>
    <w:p w14:paraId="2D6FC301" w14:textId="6F4685A2" w:rsidR="004A0414" w:rsidRPr="00191ACB" w:rsidRDefault="004A0414" w:rsidP="004A0414">
      <w:pPr>
        <w:pStyle w:val="Caption"/>
        <w:rPr>
          <w:bCs/>
          <w:color w:val="000000" w:themeColor="text1"/>
          <w:sz w:val="24"/>
          <w:szCs w:val="24"/>
        </w:rPr>
      </w:pPr>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2</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5</w:t>
      </w:r>
      <w:r w:rsidR="00875942">
        <w:rPr>
          <w:sz w:val="24"/>
          <w:szCs w:val="24"/>
        </w:rPr>
        <w:fldChar w:fldCharType="end"/>
      </w:r>
      <w:r w:rsidRPr="00191ACB">
        <w:rPr>
          <w:sz w:val="24"/>
          <w:szCs w:val="24"/>
        </w:rPr>
        <w:t>:Production (Mt) of Selected Crops for 2010 and 2016</w:t>
      </w:r>
      <w:bookmarkEnd w:id="43"/>
    </w:p>
    <w:tbl>
      <w:tblPr>
        <w:tblStyle w:val="TableGrid"/>
        <w:tblW w:w="0" w:type="auto"/>
        <w:tblLook w:val="04A0" w:firstRow="1" w:lastRow="0" w:firstColumn="1" w:lastColumn="0" w:noHBand="0" w:noVBand="1"/>
      </w:tblPr>
      <w:tblGrid>
        <w:gridCol w:w="1086"/>
        <w:gridCol w:w="1176"/>
        <w:gridCol w:w="1087"/>
        <w:gridCol w:w="1087"/>
        <w:gridCol w:w="1087"/>
        <w:gridCol w:w="1087"/>
        <w:gridCol w:w="1087"/>
      </w:tblGrid>
      <w:tr w:rsidR="002938F9" w:rsidRPr="00191ACB" w14:paraId="73792885" w14:textId="77777777" w:rsidTr="00FF002A">
        <w:tc>
          <w:tcPr>
            <w:tcW w:w="1086" w:type="dxa"/>
          </w:tcPr>
          <w:p w14:paraId="5D618901" w14:textId="77777777" w:rsidR="002938F9" w:rsidRPr="00191ACB" w:rsidRDefault="002938F9" w:rsidP="005E626A">
            <w:pPr>
              <w:spacing w:after="120"/>
              <w:jc w:val="both"/>
              <w:rPr>
                <w:rFonts w:ascii="Times New Roman" w:hAnsi="Times New Roman" w:cs="Times New Roman"/>
                <w:bCs/>
                <w:color w:val="000000" w:themeColor="text1"/>
                <w:sz w:val="24"/>
                <w:szCs w:val="24"/>
              </w:rPr>
            </w:pPr>
          </w:p>
        </w:tc>
        <w:tc>
          <w:tcPr>
            <w:tcW w:w="1087" w:type="dxa"/>
          </w:tcPr>
          <w:p w14:paraId="0F1C286B" w14:textId="2069F6D5"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hAnsi="Times New Roman" w:cs="Times New Roman"/>
                <w:bCs/>
                <w:color w:val="000000" w:themeColor="text1"/>
                <w:sz w:val="24"/>
                <w:szCs w:val="24"/>
              </w:rPr>
              <w:t>Maize</w:t>
            </w:r>
          </w:p>
        </w:tc>
        <w:tc>
          <w:tcPr>
            <w:tcW w:w="1087" w:type="dxa"/>
          </w:tcPr>
          <w:p w14:paraId="01D1C3C8" w14:textId="62DB38BA"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hAnsi="Times New Roman" w:cs="Times New Roman"/>
                <w:bCs/>
                <w:color w:val="000000" w:themeColor="text1"/>
                <w:sz w:val="24"/>
                <w:szCs w:val="24"/>
              </w:rPr>
              <w:t>Soya beans</w:t>
            </w:r>
          </w:p>
        </w:tc>
        <w:tc>
          <w:tcPr>
            <w:tcW w:w="1087" w:type="dxa"/>
          </w:tcPr>
          <w:p w14:paraId="67509005" w14:textId="5CD04D76"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hAnsi="Times New Roman" w:cs="Times New Roman"/>
                <w:bCs/>
                <w:color w:val="000000" w:themeColor="text1"/>
                <w:sz w:val="24"/>
                <w:szCs w:val="24"/>
              </w:rPr>
              <w:t>Wheat</w:t>
            </w:r>
          </w:p>
        </w:tc>
        <w:tc>
          <w:tcPr>
            <w:tcW w:w="1087" w:type="dxa"/>
          </w:tcPr>
          <w:p w14:paraId="18B1EAC9" w14:textId="7114F81E"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hAnsi="Times New Roman" w:cs="Times New Roman"/>
                <w:bCs/>
                <w:color w:val="000000" w:themeColor="text1"/>
                <w:sz w:val="24"/>
                <w:szCs w:val="24"/>
              </w:rPr>
              <w:t>Cotton</w:t>
            </w:r>
          </w:p>
        </w:tc>
        <w:tc>
          <w:tcPr>
            <w:tcW w:w="1087" w:type="dxa"/>
          </w:tcPr>
          <w:p w14:paraId="7C88D8C3" w14:textId="1B26F37E"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hAnsi="Times New Roman" w:cs="Times New Roman"/>
                <w:bCs/>
                <w:color w:val="000000" w:themeColor="text1"/>
                <w:sz w:val="24"/>
                <w:szCs w:val="24"/>
              </w:rPr>
              <w:t>Rice</w:t>
            </w:r>
          </w:p>
        </w:tc>
        <w:tc>
          <w:tcPr>
            <w:tcW w:w="1087" w:type="dxa"/>
          </w:tcPr>
          <w:p w14:paraId="28F0B670" w14:textId="6D372344"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hAnsi="Times New Roman" w:cs="Times New Roman"/>
                <w:bCs/>
                <w:color w:val="000000" w:themeColor="text1"/>
                <w:sz w:val="24"/>
                <w:szCs w:val="24"/>
              </w:rPr>
              <w:t>Tobacco</w:t>
            </w:r>
          </w:p>
        </w:tc>
      </w:tr>
      <w:tr w:rsidR="002938F9" w:rsidRPr="00191ACB" w14:paraId="285D57E2" w14:textId="77777777" w:rsidTr="00FF002A">
        <w:tc>
          <w:tcPr>
            <w:tcW w:w="1086" w:type="dxa"/>
          </w:tcPr>
          <w:p w14:paraId="0A1478C5" w14:textId="4B2A6687"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hAnsi="Times New Roman" w:cs="Times New Roman"/>
                <w:bCs/>
                <w:color w:val="000000" w:themeColor="text1"/>
                <w:sz w:val="24"/>
                <w:szCs w:val="24"/>
              </w:rPr>
              <w:t>2010</w:t>
            </w:r>
          </w:p>
        </w:tc>
        <w:tc>
          <w:tcPr>
            <w:tcW w:w="1087" w:type="dxa"/>
          </w:tcPr>
          <w:p w14:paraId="37F3320C" w14:textId="681B74A4" w:rsidR="002938F9" w:rsidRPr="00191ACB" w:rsidRDefault="002938F9" w:rsidP="005E626A">
            <w:pPr>
              <w:spacing w:after="120"/>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2,795,483</w:t>
            </w:r>
          </w:p>
        </w:tc>
        <w:tc>
          <w:tcPr>
            <w:tcW w:w="1087" w:type="dxa"/>
          </w:tcPr>
          <w:p w14:paraId="4E69DA2F" w14:textId="46474A1E"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eastAsia="Calibri" w:hAnsi="Times New Roman" w:cs="Times New Roman"/>
                <w:color w:val="000000" w:themeColor="text1"/>
                <w:sz w:val="24"/>
                <w:szCs w:val="24"/>
              </w:rPr>
              <w:t>111,887</w:t>
            </w:r>
          </w:p>
        </w:tc>
        <w:tc>
          <w:tcPr>
            <w:tcW w:w="1087" w:type="dxa"/>
          </w:tcPr>
          <w:p w14:paraId="4DE414E4" w14:textId="5D4CE68B"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eastAsia="Calibri" w:hAnsi="Times New Roman" w:cs="Times New Roman"/>
                <w:color w:val="000000" w:themeColor="text1"/>
                <w:sz w:val="24"/>
                <w:szCs w:val="24"/>
              </w:rPr>
              <w:t>171,274</w:t>
            </w:r>
          </w:p>
        </w:tc>
        <w:tc>
          <w:tcPr>
            <w:tcW w:w="1087" w:type="dxa"/>
          </w:tcPr>
          <w:p w14:paraId="4202442C" w14:textId="20D5CEC6"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eastAsia="Calibri" w:hAnsi="Times New Roman" w:cs="Times New Roman"/>
                <w:color w:val="000000" w:themeColor="text1"/>
                <w:sz w:val="24"/>
                <w:szCs w:val="24"/>
              </w:rPr>
              <w:t>72,482</w:t>
            </w:r>
          </w:p>
        </w:tc>
        <w:tc>
          <w:tcPr>
            <w:tcW w:w="1087" w:type="dxa"/>
          </w:tcPr>
          <w:p w14:paraId="6BFE218D" w14:textId="036A4450"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eastAsia="Calibri" w:hAnsi="Times New Roman" w:cs="Times New Roman"/>
                <w:color w:val="000000" w:themeColor="text1"/>
                <w:sz w:val="24"/>
                <w:szCs w:val="24"/>
              </w:rPr>
              <w:t>51,656</w:t>
            </w:r>
          </w:p>
        </w:tc>
        <w:tc>
          <w:tcPr>
            <w:tcW w:w="1087" w:type="dxa"/>
          </w:tcPr>
          <w:p w14:paraId="0F5A08B3" w14:textId="491C75DC"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eastAsia="Calibri" w:hAnsi="Times New Roman" w:cs="Times New Roman"/>
                <w:color w:val="000000" w:themeColor="text1"/>
                <w:sz w:val="24"/>
                <w:szCs w:val="24"/>
              </w:rPr>
              <w:t>22,074</w:t>
            </w:r>
          </w:p>
        </w:tc>
      </w:tr>
      <w:tr w:rsidR="002938F9" w:rsidRPr="00191ACB" w14:paraId="262B2EE6" w14:textId="77777777" w:rsidTr="00FF002A">
        <w:tc>
          <w:tcPr>
            <w:tcW w:w="1086" w:type="dxa"/>
          </w:tcPr>
          <w:p w14:paraId="20013891" w14:textId="63F4D588"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hAnsi="Times New Roman" w:cs="Times New Roman"/>
                <w:bCs/>
                <w:color w:val="000000" w:themeColor="text1"/>
                <w:sz w:val="24"/>
                <w:szCs w:val="24"/>
              </w:rPr>
              <w:t>2016</w:t>
            </w:r>
          </w:p>
        </w:tc>
        <w:tc>
          <w:tcPr>
            <w:tcW w:w="1087" w:type="dxa"/>
          </w:tcPr>
          <w:p w14:paraId="624638F3" w14:textId="631647EA" w:rsidR="002938F9" w:rsidRPr="00191ACB" w:rsidRDefault="002938F9" w:rsidP="005E626A">
            <w:pPr>
              <w:spacing w:after="120"/>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2,873,053</w:t>
            </w:r>
          </w:p>
        </w:tc>
        <w:tc>
          <w:tcPr>
            <w:tcW w:w="1087" w:type="dxa"/>
          </w:tcPr>
          <w:p w14:paraId="69E3E6BE" w14:textId="07D3C556"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eastAsia="Calibri" w:hAnsi="Times New Roman" w:cs="Times New Roman"/>
                <w:color w:val="000000" w:themeColor="text1"/>
                <w:sz w:val="24"/>
                <w:szCs w:val="24"/>
              </w:rPr>
              <w:t>267,490</w:t>
            </w:r>
          </w:p>
        </w:tc>
        <w:tc>
          <w:tcPr>
            <w:tcW w:w="1087" w:type="dxa"/>
          </w:tcPr>
          <w:p w14:paraId="6717FF95" w14:textId="49FCF853"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eastAsia="Calibri" w:hAnsi="Times New Roman" w:cs="Times New Roman"/>
                <w:color w:val="000000" w:themeColor="text1"/>
                <w:sz w:val="24"/>
                <w:szCs w:val="24"/>
              </w:rPr>
              <w:t>159,534</w:t>
            </w:r>
          </w:p>
        </w:tc>
        <w:tc>
          <w:tcPr>
            <w:tcW w:w="1087" w:type="dxa"/>
          </w:tcPr>
          <w:p w14:paraId="1EB4DAF0" w14:textId="54DBC436"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eastAsia="Calibri" w:hAnsi="Times New Roman" w:cs="Times New Roman"/>
                <w:color w:val="000000" w:themeColor="text1"/>
                <w:sz w:val="24"/>
                <w:szCs w:val="24"/>
              </w:rPr>
              <w:t>111,902</w:t>
            </w:r>
          </w:p>
        </w:tc>
        <w:tc>
          <w:tcPr>
            <w:tcW w:w="1087" w:type="dxa"/>
          </w:tcPr>
          <w:p w14:paraId="1B3FDA91" w14:textId="5744D5F2"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eastAsia="Calibri" w:hAnsi="Times New Roman" w:cs="Times New Roman"/>
                <w:color w:val="000000" w:themeColor="text1"/>
                <w:sz w:val="24"/>
                <w:szCs w:val="24"/>
              </w:rPr>
              <w:t>26,675</w:t>
            </w:r>
          </w:p>
        </w:tc>
        <w:tc>
          <w:tcPr>
            <w:tcW w:w="1087" w:type="dxa"/>
          </w:tcPr>
          <w:p w14:paraId="7BB0BB0C" w14:textId="5FB94576" w:rsidR="002938F9" w:rsidRPr="00191ACB" w:rsidRDefault="002938F9" w:rsidP="005E626A">
            <w:pPr>
              <w:spacing w:after="120"/>
              <w:jc w:val="both"/>
              <w:rPr>
                <w:rFonts w:ascii="Times New Roman" w:hAnsi="Times New Roman" w:cs="Times New Roman"/>
                <w:bCs/>
                <w:color w:val="000000" w:themeColor="text1"/>
                <w:sz w:val="24"/>
                <w:szCs w:val="24"/>
              </w:rPr>
            </w:pPr>
            <w:r w:rsidRPr="00191ACB">
              <w:rPr>
                <w:rFonts w:ascii="Times New Roman" w:eastAsia="Calibri" w:hAnsi="Times New Roman" w:cs="Times New Roman"/>
                <w:color w:val="000000" w:themeColor="text1"/>
                <w:sz w:val="24"/>
                <w:szCs w:val="24"/>
              </w:rPr>
              <w:t>19,016</w:t>
            </w:r>
          </w:p>
        </w:tc>
      </w:tr>
    </w:tbl>
    <w:p w14:paraId="0D846CFC" w14:textId="77777777" w:rsidR="00CD776C" w:rsidRPr="00191ACB" w:rsidRDefault="00CD776C" w:rsidP="005E626A">
      <w:pPr>
        <w:spacing w:after="120" w:line="240" w:lineRule="auto"/>
        <w:jc w:val="both"/>
        <w:rPr>
          <w:rFonts w:ascii="Times New Roman" w:hAnsi="Times New Roman" w:cs="Times New Roman"/>
          <w:bCs/>
          <w:color w:val="000000" w:themeColor="text1"/>
          <w:sz w:val="24"/>
          <w:szCs w:val="24"/>
        </w:rPr>
      </w:pPr>
    </w:p>
    <w:p w14:paraId="5574E34A" w14:textId="730D2A45" w:rsidR="002938F9" w:rsidRPr="00191ACB" w:rsidRDefault="002938F9" w:rsidP="005E626A">
      <w:pPr>
        <w:spacing w:after="120" w:line="240" w:lineRule="auto"/>
        <w:jc w:val="both"/>
        <w:rPr>
          <w:rFonts w:ascii="Times New Roman" w:hAnsi="Times New Roman" w:cs="Times New Roman"/>
          <w:color w:val="000000" w:themeColor="text1"/>
          <w:sz w:val="24"/>
          <w:szCs w:val="24"/>
        </w:rPr>
      </w:pPr>
    </w:p>
    <w:p w14:paraId="6B28CCD1" w14:textId="053633FD" w:rsidR="00986383" w:rsidRPr="00191ACB" w:rsidRDefault="00F20B4F" w:rsidP="00A60A8C">
      <w:pPr>
        <w:spacing w:after="120" w:line="276" w:lineRule="auto"/>
        <w:jc w:val="both"/>
        <w:rPr>
          <w:rFonts w:ascii="Times New Roman" w:eastAsia="Batang" w:hAnsi="Times New Roman" w:cs="Times New Roman"/>
          <w:color w:val="000000" w:themeColor="text1"/>
          <w:sz w:val="24"/>
          <w:szCs w:val="24"/>
        </w:rPr>
      </w:pPr>
      <w:r w:rsidRPr="00191ACB">
        <w:rPr>
          <w:rFonts w:ascii="Times New Roman" w:eastAsia="Batang" w:hAnsi="Times New Roman" w:cs="Times New Roman"/>
          <w:color w:val="000000" w:themeColor="text1"/>
          <w:sz w:val="24"/>
          <w:szCs w:val="24"/>
        </w:rPr>
        <w:t xml:space="preserve">The </w:t>
      </w:r>
      <w:r w:rsidRPr="00191ACB">
        <w:rPr>
          <w:rFonts w:ascii="Times New Roman" w:eastAsia="Calibri" w:hAnsi="Times New Roman" w:cs="Times New Roman"/>
          <w:color w:val="000000" w:themeColor="text1"/>
          <w:sz w:val="24"/>
          <w:szCs w:val="24"/>
        </w:rPr>
        <w:t xml:space="preserve">livestock sub-sector, </w:t>
      </w:r>
      <w:r w:rsidRPr="00191ACB">
        <w:rPr>
          <w:rFonts w:ascii="Times New Roman" w:eastAsia="Batang" w:hAnsi="Times New Roman" w:cs="Times New Roman"/>
          <w:color w:val="000000" w:themeColor="text1"/>
          <w:sz w:val="24"/>
          <w:szCs w:val="24"/>
        </w:rPr>
        <w:t xml:space="preserve">contributes </w:t>
      </w:r>
      <w:r w:rsidR="00C966BC" w:rsidRPr="00191ACB">
        <w:rPr>
          <w:rFonts w:ascii="Times New Roman" w:eastAsia="Batang" w:hAnsi="Times New Roman" w:cs="Times New Roman"/>
          <w:color w:val="000000" w:themeColor="text1"/>
          <w:sz w:val="24"/>
          <w:szCs w:val="24"/>
        </w:rPr>
        <w:t xml:space="preserve">by providing </w:t>
      </w:r>
      <w:r w:rsidRPr="00191ACB">
        <w:rPr>
          <w:rFonts w:ascii="Times New Roman" w:eastAsia="Batang" w:hAnsi="Times New Roman" w:cs="Times New Roman"/>
          <w:color w:val="000000" w:themeColor="text1"/>
          <w:sz w:val="24"/>
          <w:szCs w:val="24"/>
        </w:rPr>
        <w:t xml:space="preserve">draught power, organic fertilizer and its by-products such as hides and skins. </w:t>
      </w:r>
      <w:r w:rsidR="00F2742B" w:rsidRPr="00191ACB">
        <w:rPr>
          <w:rFonts w:ascii="Times New Roman" w:eastAsia="Batang" w:hAnsi="Times New Roman" w:cs="Times New Roman"/>
          <w:color w:val="000000" w:themeColor="text1"/>
          <w:sz w:val="24"/>
          <w:szCs w:val="24"/>
        </w:rPr>
        <w:t>Table</w:t>
      </w:r>
      <w:r w:rsidR="004A0414" w:rsidRPr="00191ACB">
        <w:rPr>
          <w:rFonts w:ascii="Times New Roman" w:eastAsia="Batang" w:hAnsi="Times New Roman" w:cs="Times New Roman"/>
          <w:color w:val="000000" w:themeColor="text1"/>
          <w:sz w:val="24"/>
          <w:szCs w:val="24"/>
        </w:rPr>
        <w:t xml:space="preserve"> 2.6</w:t>
      </w:r>
      <w:r w:rsidR="00F2742B" w:rsidRPr="00191ACB">
        <w:rPr>
          <w:rFonts w:ascii="Times New Roman" w:eastAsia="Batang" w:hAnsi="Times New Roman" w:cs="Times New Roman"/>
          <w:color w:val="000000" w:themeColor="text1"/>
          <w:sz w:val="24"/>
          <w:szCs w:val="24"/>
        </w:rPr>
        <w:t xml:space="preserve"> shows an increase in livestock population in 2016 compared to 2010</w:t>
      </w:r>
      <w:r w:rsidR="00CD776C" w:rsidRPr="00191ACB">
        <w:rPr>
          <w:rFonts w:ascii="Times New Roman" w:eastAsia="Batang" w:hAnsi="Times New Roman" w:cs="Times New Roman"/>
          <w:color w:val="000000" w:themeColor="text1"/>
          <w:sz w:val="24"/>
          <w:szCs w:val="24"/>
        </w:rPr>
        <w:t>.</w:t>
      </w:r>
      <w:r w:rsidR="00F2742B" w:rsidRPr="00191ACB">
        <w:rPr>
          <w:rFonts w:ascii="Times New Roman" w:eastAsia="Batang" w:hAnsi="Times New Roman" w:cs="Times New Roman"/>
          <w:color w:val="000000" w:themeColor="text1"/>
          <w:sz w:val="24"/>
          <w:szCs w:val="24"/>
        </w:rPr>
        <w:t xml:space="preserve"> </w:t>
      </w:r>
    </w:p>
    <w:p w14:paraId="7971CCB6" w14:textId="77777777" w:rsidR="004A0414" w:rsidRPr="00191ACB" w:rsidRDefault="004A0414" w:rsidP="005E626A">
      <w:pPr>
        <w:spacing w:after="120" w:line="240" w:lineRule="auto"/>
        <w:jc w:val="both"/>
        <w:rPr>
          <w:rFonts w:ascii="Times New Roman" w:hAnsi="Times New Roman" w:cs="Times New Roman"/>
          <w:color w:val="000000" w:themeColor="text1"/>
          <w:sz w:val="24"/>
          <w:szCs w:val="24"/>
        </w:rPr>
      </w:pPr>
    </w:p>
    <w:p w14:paraId="053FE4ED" w14:textId="6FBF820E" w:rsidR="00F2742B" w:rsidRPr="00191ACB" w:rsidRDefault="004A0414" w:rsidP="004A0414">
      <w:pPr>
        <w:pStyle w:val="Caption"/>
        <w:rPr>
          <w:rFonts w:eastAsia="Batang"/>
          <w:color w:val="000000" w:themeColor="text1"/>
          <w:sz w:val="24"/>
          <w:szCs w:val="24"/>
        </w:rPr>
      </w:pPr>
      <w:bookmarkStart w:id="44" w:name="_Toc56583759"/>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2</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6</w:t>
      </w:r>
      <w:r w:rsidR="00875942">
        <w:rPr>
          <w:sz w:val="24"/>
          <w:szCs w:val="24"/>
        </w:rPr>
        <w:fldChar w:fldCharType="end"/>
      </w:r>
      <w:r w:rsidRPr="00191ACB">
        <w:rPr>
          <w:sz w:val="24"/>
          <w:szCs w:val="24"/>
        </w:rPr>
        <w:t>:Livestock Population in 2010 and 2016</w:t>
      </w:r>
      <w:bookmarkEnd w:id="44"/>
    </w:p>
    <w:tbl>
      <w:tblPr>
        <w:tblStyle w:val="TableGrid"/>
        <w:tblW w:w="0" w:type="auto"/>
        <w:tblLook w:val="04A0" w:firstRow="1" w:lastRow="0" w:firstColumn="1" w:lastColumn="0" w:noHBand="0" w:noVBand="1"/>
      </w:tblPr>
      <w:tblGrid>
        <w:gridCol w:w="1203"/>
        <w:gridCol w:w="1218"/>
        <w:gridCol w:w="1219"/>
        <w:gridCol w:w="1213"/>
        <w:gridCol w:w="1219"/>
        <w:gridCol w:w="1416"/>
      </w:tblGrid>
      <w:tr w:rsidR="00F2742B" w:rsidRPr="00191ACB" w14:paraId="7DC3FB35" w14:textId="77777777" w:rsidTr="00F2742B">
        <w:tc>
          <w:tcPr>
            <w:tcW w:w="1203" w:type="dxa"/>
          </w:tcPr>
          <w:p w14:paraId="6FAFAD8F" w14:textId="77777777" w:rsidR="00F2742B" w:rsidRPr="00191ACB" w:rsidRDefault="00F2742B" w:rsidP="005E626A">
            <w:pPr>
              <w:spacing w:after="120"/>
              <w:jc w:val="both"/>
              <w:rPr>
                <w:rFonts w:ascii="Times New Roman" w:eastAsia="Batang" w:hAnsi="Times New Roman" w:cs="Times New Roman"/>
                <w:color w:val="000000" w:themeColor="text1"/>
                <w:sz w:val="24"/>
                <w:szCs w:val="24"/>
              </w:rPr>
            </w:pPr>
          </w:p>
        </w:tc>
        <w:tc>
          <w:tcPr>
            <w:tcW w:w="1218" w:type="dxa"/>
          </w:tcPr>
          <w:p w14:paraId="41A229DB" w14:textId="450692E7"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Batang" w:hAnsi="Times New Roman" w:cs="Times New Roman"/>
                <w:color w:val="000000" w:themeColor="text1"/>
                <w:sz w:val="24"/>
                <w:szCs w:val="24"/>
              </w:rPr>
              <w:t>Cattle</w:t>
            </w:r>
          </w:p>
        </w:tc>
        <w:tc>
          <w:tcPr>
            <w:tcW w:w="1219" w:type="dxa"/>
          </w:tcPr>
          <w:p w14:paraId="052C8769" w14:textId="6DC21AE5"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Batang" w:hAnsi="Times New Roman" w:cs="Times New Roman"/>
                <w:color w:val="000000" w:themeColor="text1"/>
                <w:sz w:val="24"/>
                <w:szCs w:val="24"/>
              </w:rPr>
              <w:t>Goat</w:t>
            </w:r>
          </w:p>
        </w:tc>
        <w:tc>
          <w:tcPr>
            <w:tcW w:w="1213" w:type="dxa"/>
          </w:tcPr>
          <w:p w14:paraId="18537A40" w14:textId="4FE5BFA0"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Batang" w:hAnsi="Times New Roman" w:cs="Times New Roman"/>
                <w:color w:val="000000" w:themeColor="text1"/>
                <w:sz w:val="24"/>
                <w:szCs w:val="24"/>
              </w:rPr>
              <w:t>Sheep</w:t>
            </w:r>
          </w:p>
        </w:tc>
        <w:tc>
          <w:tcPr>
            <w:tcW w:w="1219" w:type="dxa"/>
          </w:tcPr>
          <w:p w14:paraId="55859814" w14:textId="76520DC2"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Batang" w:hAnsi="Times New Roman" w:cs="Times New Roman"/>
                <w:color w:val="000000" w:themeColor="text1"/>
                <w:sz w:val="24"/>
                <w:szCs w:val="24"/>
              </w:rPr>
              <w:t>Pigs</w:t>
            </w:r>
          </w:p>
        </w:tc>
        <w:tc>
          <w:tcPr>
            <w:tcW w:w="1334" w:type="dxa"/>
          </w:tcPr>
          <w:p w14:paraId="01282544" w14:textId="56A16B22"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Batang" w:hAnsi="Times New Roman" w:cs="Times New Roman"/>
                <w:color w:val="000000" w:themeColor="text1"/>
                <w:sz w:val="24"/>
                <w:szCs w:val="24"/>
              </w:rPr>
              <w:t>Poultry</w:t>
            </w:r>
          </w:p>
        </w:tc>
      </w:tr>
      <w:tr w:rsidR="00F2742B" w:rsidRPr="00191ACB" w14:paraId="325D3B66" w14:textId="77777777" w:rsidTr="00F2742B">
        <w:tc>
          <w:tcPr>
            <w:tcW w:w="1203" w:type="dxa"/>
          </w:tcPr>
          <w:p w14:paraId="62891D28" w14:textId="0FD043B4"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Batang" w:hAnsi="Times New Roman" w:cs="Times New Roman"/>
                <w:color w:val="000000" w:themeColor="text1"/>
                <w:sz w:val="24"/>
                <w:szCs w:val="24"/>
              </w:rPr>
              <w:t>2010</w:t>
            </w:r>
          </w:p>
        </w:tc>
        <w:tc>
          <w:tcPr>
            <w:tcW w:w="1218" w:type="dxa"/>
          </w:tcPr>
          <w:p w14:paraId="41307FF1" w14:textId="00B6A6EC"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3,038,000 </w:t>
            </w:r>
          </w:p>
        </w:tc>
        <w:tc>
          <w:tcPr>
            <w:tcW w:w="1219" w:type="dxa"/>
          </w:tcPr>
          <w:p w14:paraId="7CA9166A" w14:textId="708F1819"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1,380,100</w:t>
            </w:r>
          </w:p>
        </w:tc>
        <w:tc>
          <w:tcPr>
            <w:tcW w:w="1213" w:type="dxa"/>
          </w:tcPr>
          <w:p w14:paraId="7DCDE6DA" w14:textId="02E852F4"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88,507</w:t>
            </w:r>
          </w:p>
        </w:tc>
        <w:tc>
          <w:tcPr>
            <w:tcW w:w="1219" w:type="dxa"/>
          </w:tcPr>
          <w:p w14:paraId="5F1E2D42" w14:textId="10C17364"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700,802</w:t>
            </w:r>
          </w:p>
        </w:tc>
        <w:tc>
          <w:tcPr>
            <w:tcW w:w="1334" w:type="dxa"/>
          </w:tcPr>
          <w:p w14:paraId="23BB24C1" w14:textId="10C92FD7"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75,928,130</w:t>
            </w:r>
          </w:p>
        </w:tc>
      </w:tr>
      <w:tr w:rsidR="00F2742B" w:rsidRPr="00191ACB" w14:paraId="5EE3DE13" w14:textId="77777777" w:rsidTr="00F2742B">
        <w:tc>
          <w:tcPr>
            <w:tcW w:w="1203" w:type="dxa"/>
          </w:tcPr>
          <w:p w14:paraId="3DBC80F6" w14:textId="6293A839"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Batang" w:hAnsi="Times New Roman" w:cs="Times New Roman"/>
                <w:color w:val="000000" w:themeColor="text1"/>
                <w:sz w:val="24"/>
                <w:szCs w:val="24"/>
              </w:rPr>
              <w:t>2016</w:t>
            </w:r>
          </w:p>
        </w:tc>
        <w:tc>
          <w:tcPr>
            <w:tcW w:w="1218" w:type="dxa"/>
          </w:tcPr>
          <w:p w14:paraId="03AC2D18" w14:textId="13274481"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4,979,345</w:t>
            </w:r>
          </w:p>
        </w:tc>
        <w:tc>
          <w:tcPr>
            <w:tcW w:w="1219" w:type="dxa"/>
          </w:tcPr>
          <w:p w14:paraId="7F4AAF62" w14:textId="0AA54CA9"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4,823,910</w:t>
            </w:r>
          </w:p>
        </w:tc>
        <w:tc>
          <w:tcPr>
            <w:tcW w:w="1213" w:type="dxa"/>
          </w:tcPr>
          <w:p w14:paraId="6F372F3F" w14:textId="1335C448"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170,637</w:t>
            </w:r>
          </w:p>
        </w:tc>
        <w:tc>
          <w:tcPr>
            <w:tcW w:w="1219" w:type="dxa"/>
          </w:tcPr>
          <w:p w14:paraId="331C6C6A" w14:textId="1765BAFA"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3,046,203</w:t>
            </w:r>
          </w:p>
        </w:tc>
        <w:tc>
          <w:tcPr>
            <w:tcW w:w="1334" w:type="dxa"/>
          </w:tcPr>
          <w:p w14:paraId="6477E0F8" w14:textId="288C56E5" w:rsidR="00F2742B" w:rsidRPr="00191ACB" w:rsidRDefault="00F2742B" w:rsidP="005E626A">
            <w:pPr>
              <w:spacing w:after="120"/>
              <w:jc w:val="both"/>
              <w:rPr>
                <w:rFonts w:ascii="Times New Roman" w:eastAsia="Batang"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212,853,583</w:t>
            </w:r>
          </w:p>
        </w:tc>
      </w:tr>
    </w:tbl>
    <w:p w14:paraId="4B41D8F2" w14:textId="382CA5DD" w:rsidR="00F2742B" w:rsidRPr="00191ACB" w:rsidRDefault="00F2742B" w:rsidP="005E626A">
      <w:pPr>
        <w:spacing w:after="120" w:line="240" w:lineRule="auto"/>
        <w:jc w:val="both"/>
        <w:rPr>
          <w:rFonts w:ascii="Times New Roman" w:eastAsia="Batang" w:hAnsi="Times New Roman" w:cs="Times New Roman"/>
          <w:color w:val="000000" w:themeColor="text1"/>
          <w:sz w:val="24"/>
          <w:szCs w:val="24"/>
        </w:rPr>
      </w:pPr>
    </w:p>
    <w:p w14:paraId="5C5C4EB3" w14:textId="77777777" w:rsidR="00CD776C" w:rsidRPr="00191ACB" w:rsidRDefault="00CD776C" w:rsidP="00A60A8C">
      <w:pPr>
        <w:spacing w:after="120" w:line="276" w:lineRule="auto"/>
        <w:jc w:val="both"/>
        <w:rPr>
          <w:rFonts w:ascii="Times New Roman" w:eastAsia="Batang" w:hAnsi="Times New Roman" w:cs="Times New Roman"/>
          <w:color w:val="000000" w:themeColor="text1"/>
          <w:sz w:val="24"/>
          <w:szCs w:val="24"/>
        </w:rPr>
      </w:pPr>
      <w:r w:rsidRPr="00191ACB">
        <w:rPr>
          <w:rFonts w:ascii="Times New Roman" w:eastAsia="Batang" w:hAnsi="Times New Roman" w:cs="Times New Roman"/>
          <w:color w:val="000000" w:themeColor="text1"/>
          <w:sz w:val="24"/>
          <w:szCs w:val="24"/>
        </w:rPr>
        <w:t xml:space="preserve">The increase was </w:t>
      </w:r>
      <w:r w:rsidRPr="00191ACB">
        <w:rPr>
          <w:rFonts w:ascii="Times New Roman" w:hAnsi="Times New Roman" w:cs="Times New Roman"/>
          <w:bCs/>
          <w:color w:val="000000" w:themeColor="text1"/>
          <w:sz w:val="24"/>
          <w:szCs w:val="24"/>
        </w:rPr>
        <w:t>mainly due to decreases in livestock diseases.</w:t>
      </w:r>
      <w:r w:rsidRPr="00191ACB">
        <w:rPr>
          <w:rFonts w:ascii="Times New Roman" w:eastAsia="Batang" w:hAnsi="Times New Roman" w:cs="Times New Roman"/>
          <w:color w:val="000000" w:themeColor="text1"/>
          <w:sz w:val="24"/>
          <w:szCs w:val="24"/>
        </w:rPr>
        <w:t xml:space="preserve"> This has been achieved </w:t>
      </w:r>
      <w:r w:rsidRPr="00191ACB">
        <w:rPr>
          <w:rFonts w:ascii="Times New Roman" w:eastAsia="Calibri" w:hAnsi="Times New Roman" w:cs="Times New Roman"/>
          <w:color w:val="000000" w:themeColor="text1"/>
          <w:sz w:val="24"/>
          <w:szCs w:val="24"/>
        </w:rPr>
        <w:t>through the Government prioritizing the establishment of livestock breeding centers, infrastructure development and rehabilitation, surveillance and research, and the development of livestock standards and grades.</w:t>
      </w:r>
    </w:p>
    <w:p w14:paraId="152357BE" w14:textId="2275662E" w:rsidR="00867BAE" w:rsidRPr="00191ACB" w:rsidRDefault="006B10F4"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In terms of fish production, </w:t>
      </w:r>
      <w:r w:rsidR="00867BAE" w:rsidRPr="00191ACB">
        <w:rPr>
          <w:rFonts w:ascii="Times New Roman" w:hAnsi="Times New Roman" w:cs="Times New Roman"/>
          <w:color w:val="000000" w:themeColor="text1"/>
          <w:sz w:val="24"/>
          <w:szCs w:val="24"/>
        </w:rPr>
        <w:t>Zambia’s wetlands endowment provides capture fishery areas where harvesting of naturally occurring fish resources in the naturally occurring water bodies such as lakes, rivers, and any impoundments takes place. There is also a huge potential for aquaculture.</w:t>
      </w:r>
      <w:r w:rsidR="00C966BC" w:rsidRPr="00191ACB">
        <w:rPr>
          <w:rFonts w:ascii="Times New Roman" w:hAnsi="Times New Roman" w:cs="Times New Roman"/>
          <w:color w:val="000000" w:themeColor="text1"/>
          <w:sz w:val="24"/>
          <w:szCs w:val="24"/>
        </w:rPr>
        <w:t xml:space="preserve"> </w:t>
      </w:r>
      <w:r w:rsidR="00D8552B" w:rsidRPr="00191ACB">
        <w:rPr>
          <w:rFonts w:ascii="Times New Roman" w:hAnsi="Times New Roman" w:cs="Times New Roman"/>
          <w:color w:val="000000" w:themeColor="text1"/>
          <w:sz w:val="24"/>
          <w:szCs w:val="24"/>
        </w:rPr>
        <w:t xml:space="preserve">The Fisheries sub-sector contributes about 3.2 percent to national GDP. </w:t>
      </w:r>
      <w:r w:rsidR="00867BAE" w:rsidRPr="00191ACB">
        <w:rPr>
          <w:rFonts w:ascii="Times New Roman" w:hAnsi="Times New Roman" w:cs="Times New Roman"/>
          <w:color w:val="000000" w:themeColor="text1"/>
          <w:sz w:val="24"/>
          <w:szCs w:val="24"/>
        </w:rPr>
        <w:t xml:space="preserve">The Second National Agricultural Policy documented trends and noted that Zambia is a net importer of fish. </w:t>
      </w:r>
      <w:r w:rsidR="00691632" w:rsidRPr="00191ACB">
        <w:rPr>
          <w:rFonts w:ascii="Times New Roman" w:hAnsi="Times New Roman" w:cs="Times New Roman"/>
          <w:color w:val="000000" w:themeColor="text1"/>
          <w:sz w:val="24"/>
          <w:szCs w:val="24"/>
        </w:rPr>
        <w:t xml:space="preserve">Fish production for fishery areas was </w:t>
      </w:r>
      <w:r w:rsidR="00691632" w:rsidRPr="00191ACB">
        <w:rPr>
          <w:rFonts w:ascii="Times New Roman" w:eastAsia="Calibri" w:hAnsi="Times New Roman" w:cs="Times New Roman"/>
          <w:color w:val="000000" w:themeColor="text1"/>
          <w:sz w:val="24"/>
          <w:szCs w:val="24"/>
        </w:rPr>
        <w:t>76,396 tonnes in 2010 and it increased by 9.8 percent in 2016. For aquaculture, the production of fish was 9,535 tonnes in 2010 and increased by 200.6 percent in 2016.</w:t>
      </w:r>
      <w:r w:rsidR="00CA5796" w:rsidRPr="00191ACB">
        <w:rPr>
          <w:rFonts w:ascii="Times New Roman" w:hAnsi="Times New Roman" w:cs="Times New Roman"/>
          <w:color w:val="000000" w:themeColor="text1"/>
          <w:sz w:val="24"/>
          <w:szCs w:val="24"/>
        </w:rPr>
        <w:t xml:space="preserve"> </w:t>
      </w:r>
      <w:r w:rsidR="00867BAE" w:rsidRPr="00191ACB">
        <w:rPr>
          <w:rFonts w:ascii="Times New Roman" w:hAnsi="Times New Roman" w:cs="Times New Roman"/>
          <w:color w:val="000000" w:themeColor="text1"/>
          <w:sz w:val="24"/>
          <w:szCs w:val="24"/>
        </w:rPr>
        <w:t>Since 2009, per capita fish supply decreased from 12 kg to less than 7 kg per year in 2014.</w:t>
      </w:r>
    </w:p>
    <w:p w14:paraId="6961CF2B" w14:textId="77777777" w:rsidR="00BE0D7C" w:rsidRPr="00191ACB" w:rsidRDefault="00BE0D7C" w:rsidP="005E626A">
      <w:pPr>
        <w:spacing w:after="120" w:line="240" w:lineRule="auto"/>
        <w:jc w:val="both"/>
        <w:rPr>
          <w:rFonts w:ascii="Times New Roman" w:hAnsi="Times New Roman" w:cs="Times New Roman"/>
          <w:color w:val="000000" w:themeColor="text1"/>
          <w:sz w:val="24"/>
          <w:szCs w:val="24"/>
        </w:rPr>
      </w:pPr>
    </w:p>
    <w:p w14:paraId="2D453EB5" w14:textId="6B84D448" w:rsidR="00EB3A24" w:rsidRPr="00191ACB" w:rsidRDefault="00985F07" w:rsidP="002B1C4A">
      <w:pPr>
        <w:pStyle w:val="Heading3"/>
        <w:numPr>
          <w:ilvl w:val="2"/>
          <w:numId w:val="36"/>
        </w:numPr>
        <w:ind w:left="851" w:hanging="851"/>
      </w:pPr>
      <w:bookmarkStart w:id="45" w:name="_Toc419428298"/>
      <w:bookmarkStart w:id="46" w:name="_Toc57902803"/>
      <w:r w:rsidRPr="00191ACB">
        <w:lastRenderedPageBreak/>
        <w:t>Forestry</w:t>
      </w:r>
      <w:bookmarkEnd w:id="45"/>
      <w:bookmarkEnd w:id="46"/>
    </w:p>
    <w:p w14:paraId="4164992C" w14:textId="1ACFB36A" w:rsidR="00314E21" w:rsidRPr="00191ACB" w:rsidRDefault="00CF4BFC" w:rsidP="00A60A8C">
      <w:pPr>
        <w:pStyle w:val="NoSpacing"/>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Most recent statistics on forestry are provided in the Integrated Land Use Assessment Phase II </w:t>
      </w:r>
      <w:r w:rsidR="00A4482E" w:rsidRPr="00191ACB">
        <w:rPr>
          <w:rFonts w:ascii="Times New Roman" w:hAnsi="Times New Roman" w:cs="Times New Roman"/>
          <w:color w:val="000000" w:themeColor="text1"/>
          <w:sz w:val="24"/>
          <w:szCs w:val="24"/>
        </w:rPr>
        <w:t>r</w:t>
      </w:r>
      <w:r w:rsidRPr="00191ACB">
        <w:rPr>
          <w:rFonts w:ascii="Times New Roman" w:hAnsi="Times New Roman" w:cs="Times New Roman"/>
          <w:color w:val="000000" w:themeColor="text1"/>
          <w:sz w:val="24"/>
          <w:szCs w:val="24"/>
        </w:rPr>
        <w:t xml:space="preserve">eport for Zambia (ILUA II, 2016). </w:t>
      </w:r>
      <w:r w:rsidR="00202E5A" w:rsidRPr="00191ACB">
        <w:rPr>
          <w:rFonts w:ascii="Times New Roman" w:hAnsi="Times New Roman" w:cs="Times New Roman"/>
          <w:color w:val="000000" w:themeColor="text1"/>
          <w:sz w:val="24"/>
          <w:szCs w:val="24"/>
        </w:rPr>
        <w:t>Zambia has 4</w:t>
      </w:r>
      <w:r w:rsidR="000D4750" w:rsidRPr="00191ACB">
        <w:rPr>
          <w:rFonts w:ascii="Times New Roman" w:hAnsi="Times New Roman" w:cs="Times New Roman"/>
          <w:color w:val="000000" w:themeColor="text1"/>
          <w:sz w:val="24"/>
          <w:szCs w:val="24"/>
        </w:rPr>
        <w:t>7</w:t>
      </w:r>
      <w:r w:rsidR="00202E5A" w:rsidRPr="00191ACB">
        <w:rPr>
          <w:rFonts w:ascii="Times New Roman" w:hAnsi="Times New Roman" w:cs="Times New Roman"/>
          <w:color w:val="000000" w:themeColor="text1"/>
          <w:sz w:val="24"/>
          <w:szCs w:val="24"/>
        </w:rPr>
        <w:t>0 Forest Reserves (FRs) comprising 17</w:t>
      </w:r>
      <w:r w:rsidR="000D4750" w:rsidRPr="00191ACB">
        <w:rPr>
          <w:rFonts w:ascii="Times New Roman" w:hAnsi="Times New Roman" w:cs="Times New Roman"/>
          <w:color w:val="000000" w:themeColor="text1"/>
          <w:sz w:val="24"/>
          <w:szCs w:val="24"/>
        </w:rPr>
        <w:t>2</w:t>
      </w:r>
      <w:r w:rsidR="00202E5A" w:rsidRPr="00191ACB">
        <w:rPr>
          <w:rFonts w:ascii="Times New Roman" w:hAnsi="Times New Roman" w:cs="Times New Roman"/>
          <w:color w:val="000000" w:themeColor="text1"/>
          <w:sz w:val="24"/>
          <w:szCs w:val="24"/>
        </w:rPr>
        <w:t xml:space="preserve"> National Forests (NFs) and </w:t>
      </w:r>
      <w:r w:rsidR="005530BA" w:rsidRPr="00191ACB">
        <w:rPr>
          <w:rFonts w:ascii="Times New Roman" w:hAnsi="Times New Roman" w:cs="Times New Roman"/>
          <w:color w:val="000000" w:themeColor="text1"/>
          <w:sz w:val="24"/>
          <w:szCs w:val="24"/>
        </w:rPr>
        <w:t>298</w:t>
      </w:r>
      <w:r w:rsidR="00202E5A" w:rsidRPr="00191ACB">
        <w:rPr>
          <w:rFonts w:ascii="Times New Roman" w:hAnsi="Times New Roman" w:cs="Times New Roman"/>
          <w:color w:val="000000" w:themeColor="text1"/>
          <w:sz w:val="24"/>
          <w:szCs w:val="24"/>
        </w:rPr>
        <w:t xml:space="preserve"> Local Forests (LFs) with an estimated combined total area of 74,361 km</w:t>
      </w:r>
      <w:r w:rsidR="00202E5A" w:rsidRPr="00191ACB">
        <w:rPr>
          <w:rFonts w:ascii="Times New Roman" w:hAnsi="Times New Roman" w:cs="Times New Roman"/>
          <w:color w:val="000000" w:themeColor="text1"/>
          <w:sz w:val="24"/>
          <w:szCs w:val="24"/>
          <w:vertAlign w:val="superscript"/>
        </w:rPr>
        <w:t>2</w:t>
      </w:r>
      <w:r w:rsidR="00202E5A" w:rsidRPr="00191ACB">
        <w:rPr>
          <w:rFonts w:ascii="Times New Roman" w:hAnsi="Times New Roman" w:cs="Times New Roman"/>
          <w:color w:val="000000" w:themeColor="text1"/>
          <w:sz w:val="24"/>
          <w:szCs w:val="24"/>
        </w:rPr>
        <w:t>.</w:t>
      </w:r>
      <w:r w:rsidR="00314E21" w:rsidRPr="00191ACB">
        <w:rPr>
          <w:rFonts w:ascii="Times New Roman" w:hAnsi="Times New Roman" w:cs="Times New Roman"/>
          <w:color w:val="000000" w:themeColor="text1"/>
          <w:sz w:val="24"/>
          <w:szCs w:val="24"/>
        </w:rPr>
        <w:t xml:space="preserve"> Forests and woodlands cover approximately 500,000 km</w:t>
      </w:r>
      <w:r w:rsidR="00314E21" w:rsidRPr="00191ACB">
        <w:rPr>
          <w:rFonts w:ascii="Times New Roman" w:hAnsi="Times New Roman" w:cs="Times New Roman"/>
          <w:color w:val="000000" w:themeColor="text1"/>
          <w:sz w:val="24"/>
          <w:szCs w:val="24"/>
          <w:vertAlign w:val="superscript"/>
        </w:rPr>
        <w:t>2</w:t>
      </w:r>
      <w:r w:rsidR="00314E21" w:rsidRPr="00191ACB">
        <w:rPr>
          <w:rFonts w:ascii="Times New Roman" w:hAnsi="Times New Roman" w:cs="Times New Roman"/>
          <w:color w:val="000000" w:themeColor="text1"/>
          <w:sz w:val="24"/>
          <w:szCs w:val="24"/>
        </w:rPr>
        <w:t xml:space="preserve"> or about 66 percent of the total national land area. The most extensive type of woodland is the Miombo (predominantly </w:t>
      </w:r>
      <w:r w:rsidR="00314E21" w:rsidRPr="00191ACB">
        <w:rPr>
          <w:rFonts w:ascii="Times New Roman" w:hAnsi="Times New Roman" w:cs="Times New Roman"/>
          <w:i/>
          <w:color w:val="000000" w:themeColor="text1"/>
          <w:sz w:val="24"/>
          <w:szCs w:val="24"/>
        </w:rPr>
        <w:t>Brachystegia and Julbernardia species</w:t>
      </w:r>
      <w:r w:rsidR="00314E21" w:rsidRPr="00191ACB">
        <w:rPr>
          <w:rFonts w:ascii="Times New Roman" w:hAnsi="Times New Roman" w:cs="Times New Roman"/>
          <w:color w:val="000000" w:themeColor="text1"/>
          <w:sz w:val="24"/>
          <w:szCs w:val="24"/>
        </w:rPr>
        <w:t>), a semi-evergreen vegetation covering 42 percent of the country.</w:t>
      </w:r>
      <w:r w:rsidR="00811533" w:rsidRPr="00191ACB">
        <w:rPr>
          <w:rFonts w:ascii="Times New Roman" w:hAnsi="Times New Roman" w:cs="Times New Roman"/>
          <w:color w:val="000000" w:themeColor="text1"/>
          <w:sz w:val="24"/>
          <w:szCs w:val="24"/>
        </w:rPr>
        <w:t xml:space="preserve"> </w:t>
      </w:r>
      <w:r w:rsidR="00913870" w:rsidRPr="00191ACB">
        <w:rPr>
          <w:rFonts w:ascii="Times New Roman" w:hAnsi="Times New Roman" w:cs="Times New Roman"/>
          <w:color w:val="000000" w:themeColor="text1"/>
          <w:sz w:val="24"/>
          <w:szCs w:val="24"/>
        </w:rPr>
        <w:t xml:space="preserve">The total forest cover based on the 2014 remote sensing data computation </w:t>
      </w:r>
      <w:r w:rsidR="00074057" w:rsidRPr="00191ACB">
        <w:rPr>
          <w:rFonts w:ascii="Times New Roman" w:hAnsi="Times New Roman" w:cs="Times New Roman"/>
          <w:color w:val="000000" w:themeColor="text1"/>
          <w:sz w:val="24"/>
          <w:szCs w:val="24"/>
        </w:rPr>
        <w:t>was</w:t>
      </w:r>
      <w:r w:rsidR="00913870" w:rsidRPr="00191ACB">
        <w:rPr>
          <w:rFonts w:ascii="Times New Roman" w:hAnsi="Times New Roman" w:cs="Times New Roman"/>
          <w:color w:val="000000" w:themeColor="text1"/>
          <w:sz w:val="24"/>
          <w:szCs w:val="24"/>
        </w:rPr>
        <w:t xml:space="preserve"> estimated </w:t>
      </w:r>
      <w:r w:rsidR="00074057" w:rsidRPr="00191ACB">
        <w:rPr>
          <w:rFonts w:ascii="Times New Roman" w:hAnsi="Times New Roman" w:cs="Times New Roman"/>
          <w:color w:val="000000" w:themeColor="text1"/>
          <w:sz w:val="24"/>
          <w:szCs w:val="24"/>
        </w:rPr>
        <w:t>at</w:t>
      </w:r>
      <w:r w:rsidR="00913870" w:rsidRPr="00191ACB">
        <w:rPr>
          <w:rFonts w:ascii="Times New Roman" w:hAnsi="Times New Roman" w:cs="Times New Roman"/>
          <w:color w:val="000000" w:themeColor="text1"/>
          <w:sz w:val="24"/>
          <w:szCs w:val="24"/>
        </w:rPr>
        <w:t xml:space="preserve"> 45.9 million h</w:t>
      </w:r>
      <w:r w:rsidR="00074057" w:rsidRPr="00191ACB">
        <w:rPr>
          <w:rFonts w:ascii="Times New Roman" w:hAnsi="Times New Roman" w:cs="Times New Roman"/>
          <w:color w:val="000000" w:themeColor="text1"/>
          <w:sz w:val="24"/>
          <w:szCs w:val="24"/>
        </w:rPr>
        <w:t>ectares</w:t>
      </w:r>
      <w:r w:rsidR="00913870" w:rsidRPr="00191ACB">
        <w:rPr>
          <w:rFonts w:ascii="Times New Roman" w:hAnsi="Times New Roman" w:cs="Times New Roman"/>
          <w:color w:val="000000" w:themeColor="text1"/>
          <w:sz w:val="24"/>
          <w:szCs w:val="24"/>
        </w:rPr>
        <w:t xml:space="preserve"> and represents 61.04% of the country’s land surface area. The land cover map data for the years 2000, 2010 and 2014, shows that human activities related to land use and land-use change in forests (LULUCF) reduced the forest cover from 47.07 million hectares (ha) in 2000 to 45.94 million hectares (ha) in 2014 </w:t>
      </w:r>
      <w:r w:rsidR="00074057" w:rsidRPr="00191ACB">
        <w:rPr>
          <w:rFonts w:ascii="Times New Roman" w:hAnsi="Times New Roman" w:cs="Times New Roman"/>
          <w:color w:val="000000" w:themeColor="text1"/>
          <w:sz w:val="24"/>
          <w:szCs w:val="24"/>
        </w:rPr>
        <w:t>(</w:t>
      </w:r>
      <w:r w:rsidR="00913870" w:rsidRPr="00191ACB">
        <w:rPr>
          <w:rFonts w:ascii="Times New Roman" w:hAnsi="Times New Roman" w:cs="Times New Roman"/>
          <w:color w:val="000000" w:themeColor="text1"/>
          <w:sz w:val="24"/>
          <w:szCs w:val="24"/>
        </w:rPr>
        <w:t>ILUA II</w:t>
      </w:r>
      <w:r w:rsidR="00074057" w:rsidRPr="00191ACB">
        <w:rPr>
          <w:rFonts w:ascii="Times New Roman" w:hAnsi="Times New Roman" w:cs="Times New Roman"/>
          <w:color w:val="000000" w:themeColor="text1"/>
          <w:sz w:val="24"/>
          <w:szCs w:val="24"/>
        </w:rPr>
        <w:t>,</w:t>
      </w:r>
      <w:r w:rsidR="00913870" w:rsidRPr="00191ACB">
        <w:rPr>
          <w:rFonts w:ascii="Times New Roman" w:hAnsi="Times New Roman" w:cs="Times New Roman"/>
          <w:color w:val="000000" w:themeColor="text1"/>
          <w:sz w:val="24"/>
          <w:szCs w:val="24"/>
        </w:rPr>
        <w:t xml:space="preserve"> 2016).</w:t>
      </w:r>
    </w:p>
    <w:p w14:paraId="548361B2" w14:textId="3D35D7F4" w:rsidR="00202E5A" w:rsidRPr="00191ACB" w:rsidRDefault="00FF2435"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country is experiencing deforestation at the rate of 271,021 hectare per annum which amounts to a potential loss of about 10 million hectares of forests in the next 30 years, posing a threat to the forestry sector. </w:t>
      </w:r>
      <w:r w:rsidR="00DD18B2" w:rsidRPr="00191ACB">
        <w:rPr>
          <w:rFonts w:ascii="Times New Roman" w:hAnsi="Times New Roman" w:cs="Times New Roman"/>
          <w:color w:val="000000" w:themeColor="text1"/>
          <w:sz w:val="24"/>
          <w:szCs w:val="24"/>
        </w:rPr>
        <w:t>The direct drivers of forest cover loss are mainly attributed to agriculture, settlement expansion, conversion of land to other-land, and wetland (especially water development)</w:t>
      </w:r>
      <w:r w:rsidR="00871ED8" w:rsidRPr="00191ACB">
        <w:rPr>
          <w:rFonts w:ascii="Times New Roman" w:hAnsi="Times New Roman" w:cs="Times New Roman"/>
          <w:color w:val="000000" w:themeColor="text1"/>
          <w:sz w:val="24"/>
          <w:szCs w:val="24"/>
        </w:rPr>
        <w:t xml:space="preserve"> (ILUA 2016)</w:t>
      </w:r>
      <w:r w:rsidR="00DD18B2" w:rsidRPr="00191ACB">
        <w:rPr>
          <w:rFonts w:ascii="Times New Roman" w:hAnsi="Times New Roman" w:cs="Times New Roman"/>
          <w:color w:val="000000" w:themeColor="text1"/>
          <w:sz w:val="24"/>
          <w:szCs w:val="24"/>
        </w:rPr>
        <w:t xml:space="preserve">. Other-land and wetland (water development) was mainly attributed to the opening up of new mines and related infrastructure development. </w:t>
      </w:r>
      <w:r w:rsidR="00112585" w:rsidRPr="00191ACB">
        <w:rPr>
          <w:rFonts w:ascii="Times New Roman" w:hAnsi="Times New Roman" w:cs="Times New Roman"/>
          <w:color w:val="000000" w:themeColor="text1"/>
          <w:sz w:val="24"/>
          <w:szCs w:val="24"/>
        </w:rPr>
        <w:t xml:space="preserve">Wood extraction for </w:t>
      </w:r>
      <w:r w:rsidR="00F755E8" w:rsidRPr="00191ACB">
        <w:rPr>
          <w:rFonts w:ascii="Times New Roman" w:hAnsi="Times New Roman" w:cs="Times New Roman"/>
          <w:color w:val="000000" w:themeColor="text1"/>
          <w:sz w:val="24"/>
          <w:szCs w:val="24"/>
        </w:rPr>
        <w:t xml:space="preserve">firewood and </w:t>
      </w:r>
      <w:r w:rsidR="00112585" w:rsidRPr="00191ACB">
        <w:rPr>
          <w:rFonts w:ascii="Times New Roman" w:hAnsi="Times New Roman" w:cs="Times New Roman"/>
          <w:color w:val="000000" w:themeColor="text1"/>
          <w:sz w:val="24"/>
          <w:szCs w:val="24"/>
        </w:rPr>
        <w:t xml:space="preserve">charcoal </w:t>
      </w:r>
      <w:r w:rsidR="00F755E8" w:rsidRPr="00191ACB">
        <w:rPr>
          <w:rFonts w:ascii="Times New Roman" w:hAnsi="Times New Roman" w:cs="Times New Roman"/>
          <w:color w:val="000000" w:themeColor="text1"/>
          <w:sz w:val="24"/>
          <w:szCs w:val="24"/>
        </w:rPr>
        <w:t>are</w:t>
      </w:r>
      <w:r w:rsidR="00112585" w:rsidRPr="00191ACB">
        <w:rPr>
          <w:rFonts w:ascii="Times New Roman" w:hAnsi="Times New Roman" w:cs="Times New Roman"/>
          <w:color w:val="000000" w:themeColor="text1"/>
          <w:sz w:val="24"/>
          <w:szCs w:val="24"/>
        </w:rPr>
        <w:t xml:space="preserve"> also considered key drivers of deforestation (Chomba, B.M. et al.,2012). </w:t>
      </w:r>
      <w:r w:rsidR="00DD18B2" w:rsidRPr="00191ACB">
        <w:rPr>
          <w:rFonts w:ascii="Times New Roman" w:hAnsi="Times New Roman" w:cs="Times New Roman"/>
          <w:color w:val="000000" w:themeColor="text1"/>
          <w:sz w:val="24"/>
          <w:szCs w:val="24"/>
        </w:rPr>
        <w:t>Overall, 21% of households in Zambia depend on crop production as the main livelihood activity, followed by fuelwood collection (16%).</w:t>
      </w:r>
      <w:r w:rsidR="006D483C" w:rsidRPr="00191ACB">
        <w:rPr>
          <w:rFonts w:ascii="Times New Roman" w:hAnsi="Times New Roman" w:cs="Times New Roman"/>
          <w:color w:val="000000" w:themeColor="text1"/>
          <w:sz w:val="24"/>
          <w:szCs w:val="24"/>
        </w:rPr>
        <w:t xml:space="preserve"> </w:t>
      </w:r>
    </w:p>
    <w:p w14:paraId="6855856D" w14:textId="77777777" w:rsidR="00BE0D7C" w:rsidRPr="00191ACB" w:rsidRDefault="00BE0D7C" w:rsidP="005E626A">
      <w:pPr>
        <w:spacing w:after="120" w:line="240" w:lineRule="auto"/>
        <w:jc w:val="both"/>
        <w:rPr>
          <w:rFonts w:ascii="Times New Roman" w:hAnsi="Times New Roman" w:cs="Times New Roman"/>
          <w:color w:val="000000" w:themeColor="text1"/>
          <w:sz w:val="24"/>
          <w:szCs w:val="24"/>
        </w:rPr>
      </w:pPr>
    </w:p>
    <w:p w14:paraId="3129B637" w14:textId="0BD3CA67" w:rsidR="00EB3A24" w:rsidRPr="002B1C4A" w:rsidRDefault="00EB3A24" w:rsidP="002B1C4A">
      <w:pPr>
        <w:pStyle w:val="Heading3"/>
        <w:numPr>
          <w:ilvl w:val="2"/>
          <w:numId w:val="36"/>
        </w:numPr>
        <w:ind w:left="851" w:hanging="851"/>
      </w:pPr>
      <w:bookmarkStart w:id="47" w:name="_Toc57902804"/>
      <w:r w:rsidRPr="002B1C4A">
        <w:t>Wildlife and Tourism</w:t>
      </w:r>
      <w:bookmarkEnd w:id="47"/>
    </w:p>
    <w:p w14:paraId="64416324" w14:textId="004BCF6C" w:rsidR="000C1EDE" w:rsidRPr="00191ACB" w:rsidRDefault="000F7662" w:rsidP="00A60A8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Department of National Parks and Wildlife Services administers and oversees the protection of wildlife through a network of National Parks (NPs) and Game Management Areas (GMAs). </w:t>
      </w:r>
      <w:r w:rsidR="009646BC" w:rsidRPr="00191ACB">
        <w:rPr>
          <w:rFonts w:ascii="Times New Roman" w:hAnsi="Times New Roman" w:cs="Times New Roman"/>
          <w:color w:val="000000" w:themeColor="text1"/>
          <w:sz w:val="24"/>
          <w:szCs w:val="24"/>
        </w:rPr>
        <w:t>The wildlife estate network consists of 20 national parks covering a total area of 63,580 Km</w:t>
      </w:r>
      <w:r w:rsidR="009646BC" w:rsidRPr="00191ACB">
        <w:rPr>
          <w:rFonts w:ascii="Times New Roman" w:hAnsi="Times New Roman" w:cs="Times New Roman"/>
          <w:color w:val="000000" w:themeColor="text1"/>
          <w:sz w:val="24"/>
          <w:szCs w:val="24"/>
          <w:vertAlign w:val="superscript"/>
        </w:rPr>
        <w:t>2</w:t>
      </w:r>
      <w:r w:rsidR="009646BC" w:rsidRPr="00191ACB">
        <w:rPr>
          <w:rFonts w:ascii="Times New Roman" w:hAnsi="Times New Roman" w:cs="Times New Roman"/>
          <w:color w:val="000000" w:themeColor="text1"/>
          <w:sz w:val="24"/>
          <w:szCs w:val="24"/>
        </w:rPr>
        <w:t xml:space="preserve">, two (2) wildlife sanctuaries, one (1) bird sanctuary and </w:t>
      </w:r>
      <w:r w:rsidR="005530BA" w:rsidRPr="00191ACB">
        <w:rPr>
          <w:rFonts w:ascii="Times New Roman" w:hAnsi="Times New Roman" w:cs="Times New Roman"/>
          <w:color w:val="000000" w:themeColor="text1"/>
          <w:sz w:val="24"/>
          <w:szCs w:val="24"/>
        </w:rPr>
        <w:t>Thirty-six</w:t>
      </w:r>
      <w:r w:rsidR="009646BC" w:rsidRPr="00191ACB">
        <w:rPr>
          <w:rFonts w:ascii="Times New Roman" w:hAnsi="Times New Roman" w:cs="Times New Roman"/>
          <w:color w:val="000000" w:themeColor="text1"/>
          <w:sz w:val="24"/>
          <w:szCs w:val="24"/>
        </w:rPr>
        <w:t xml:space="preserve"> (36) Game Management Areas (GMAs) with a total area of 165,700 Km</w:t>
      </w:r>
      <w:r w:rsidR="009646BC" w:rsidRPr="00191ACB">
        <w:rPr>
          <w:rFonts w:ascii="Times New Roman" w:hAnsi="Times New Roman" w:cs="Times New Roman"/>
          <w:color w:val="000000" w:themeColor="text1"/>
          <w:sz w:val="24"/>
          <w:szCs w:val="24"/>
          <w:vertAlign w:val="superscript"/>
        </w:rPr>
        <w:t>2</w:t>
      </w:r>
      <w:r w:rsidR="009646BC" w:rsidRPr="00191ACB">
        <w:rPr>
          <w:rFonts w:ascii="Times New Roman" w:hAnsi="Times New Roman" w:cs="Times New Roman"/>
          <w:color w:val="000000" w:themeColor="text1"/>
          <w:sz w:val="24"/>
          <w:szCs w:val="24"/>
        </w:rPr>
        <w:t>, 115 game ranches in extent of 5,981 km</w:t>
      </w:r>
      <w:r w:rsidR="009646BC" w:rsidRPr="00191ACB">
        <w:rPr>
          <w:rFonts w:ascii="Times New Roman" w:hAnsi="Times New Roman" w:cs="Times New Roman"/>
          <w:color w:val="000000" w:themeColor="text1"/>
          <w:sz w:val="24"/>
          <w:szCs w:val="24"/>
          <w:vertAlign w:val="superscript"/>
        </w:rPr>
        <w:t xml:space="preserve">2 </w:t>
      </w:r>
      <w:r w:rsidR="002C381E" w:rsidRPr="00191ACB">
        <w:rPr>
          <w:rFonts w:ascii="Times New Roman" w:hAnsi="Times New Roman" w:cs="Times New Roman"/>
          <w:color w:val="000000" w:themeColor="text1"/>
          <w:sz w:val="24"/>
          <w:szCs w:val="24"/>
        </w:rPr>
        <w:t>(MOTA, 2018)</w:t>
      </w:r>
      <w:r w:rsidR="009646BC" w:rsidRPr="00191ACB">
        <w:rPr>
          <w:rFonts w:ascii="Times New Roman" w:hAnsi="Times New Roman" w:cs="Times New Roman"/>
          <w:color w:val="000000" w:themeColor="text1"/>
          <w:sz w:val="24"/>
          <w:szCs w:val="24"/>
        </w:rPr>
        <w:t xml:space="preserve">. </w:t>
      </w:r>
      <w:r w:rsidR="000B04FE" w:rsidRPr="00191ACB">
        <w:rPr>
          <w:rFonts w:ascii="Times New Roman" w:hAnsi="Times New Roman" w:cs="Times New Roman"/>
          <w:color w:val="000000" w:themeColor="text1"/>
          <w:sz w:val="24"/>
          <w:szCs w:val="24"/>
        </w:rPr>
        <w:t xml:space="preserve">These are </w:t>
      </w:r>
      <w:r w:rsidR="00147902" w:rsidRPr="00191ACB">
        <w:rPr>
          <w:rFonts w:ascii="Times New Roman" w:hAnsi="Times New Roman" w:cs="Times New Roman"/>
          <w:color w:val="000000" w:themeColor="text1"/>
          <w:sz w:val="24"/>
          <w:szCs w:val="24"/>
        </w:rPr>
        <w:t xml:space="preserve">also </w:t>
      </w:r>
      <w:r w:rsidR="000B04FE" w:rsidRPr="00191ACB">
        <w:rPr>
          <w:rFonts w:ascii="Times New Roman" w:hAnsi="Times New Roman" w:cs="Times New Roman"/>
          <w:color w:val="000000" w:themeColor="text1"/>
          <w:sz w:val="24"/>
          <w:szCs w:val="24"/>
        </w:rPr>
        <w:t>focus areas for tourism development</w:t>
      </w:r>
      <w:r w:rsidR="00897025" w:rsidRPr="00191ACB">
        <w:rPr>
          <w:rFonts w:ascii="Times New Roman" w:hAnsi="Times New Roman" w:cs="Times New Roman"/>
          <w:color w:val="000000" w:themeColor="text1"/>
          <w:sz w:val="24"/>
          <w:szCs w:val="24"/>
        </w:rPr>
        <w:t xml:space="preserve"> because Zambia’s tourism is anchored on wildlife</w:t>
      </w:r>
      <w:r w:rsidR="000B04FE"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The protected areas have however, faced encroachment by local communities resulting in degradation due to activities such as mining, logging, settlement development, poaching, illegal fishing, charcoal production and agriculture.</w:t>
      </w:r>
    </w:p>
    <w:p w14:paraId="4F27E02E" w14:textId="59F4DAA1" w:rsidR="00EE5DB2" w:rsidRPr="00191ACB" w:rsidRDefault="000D537F" w:rsidP="00A60A8C">
      <w:pPr>
        <w:widowControl w:val="0"/>
        <w:autoSpaceDE w:val="0"/>
        <w:autoSpaceDN w:val="0"/>
        <w:adjustRightInd w:val="0"/>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country</w:t>
      </w:r>
      <w:r w:rsidR="00897025" w:rsidRPr="00191ACB">
        <w:rPr>
          <w:rFonts w:ascii="Times New Roman" w:hAnsi="Times New Roman" w:cs="Times New Roman"/>
          <w:color w:val="000000" w:themeColor="text1"/>
          <w:sz w:val="24"/>
          <w:szCs w:val="24"/>
        </w:rPr>
        <w:t xml:space="preserve"> recorded</w:t>
      </w:r>
      <w:r w:rsidRPr="00191ACB">
        <w:rPr>
          <w:rFonts w:ascii="Times New Roman" w:hAnsi="Times New Roman" w:cs="Times New Roman"/>
          <w:color w:val="000000" w:themeColor="text1"/>
          <w:sz w:val="24"/>
          <w:szCs w:val="24"/>
        </w:rPr>
        <w:t xml:space="preserve"> </w:t>
      </w:r>
      <w:r w:rsidR="00897025" w:rsidRPr="00191ACB">
        <w:rPr>
          <w:rFonts w:ascii="Times New Roman" w:hAnsi="Times New Roman" w:cs="Times New Roman"/>
          <w:color w:val="000000" w:themeColor="text1"/>
          <w:sz w:val="24"/>
          <w:szCs w:val="24"/>
        </w:rPr>
        <w:t xml:space="preserve">956,332 in 2016, 1,009,173 in 2017 and 1,072,012 in 2018 of </w:t>
      </w:r>
      <w:r w:rsidRPr="00191ACB">
        <w:rPr>
          <w:rFonts w:ascii="Times New Roman" w:hAnsi="Times New Roman" w:cs="Times New Roman"/>
          <w:color w:val="000000" w:themeColor="text1"/>
          <w:sz w:val="24"/>
          <w:szCs w:val="24"/>
        </w:rPr>
        <w:t xml:space="preserve">total annual international tourist arrivals </w:t>
      </w:r>
      <w:r w:rsidR="00897025" w:rsidRPr="00191ACB">
        <w:rPr>
          <w:rFonts w:ascii="Times New Roman" w:hAnsi="Times New Roman" w:cs="Times New Roman"/>
          <w:color w:val="000000" w:themeColor="text1"/>
          <w:sz w:val="24"/>
          <w:szCs w:val="24"/>
        </w:rPr>
        <w:t>giving an increase of 6.2 percent in 2018 from the arrivals of 2017 (MoTA, 2018).</w:t>
      </w:r>
      <w:r w:rsidR="00AD773A"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Tourism’s average GDP contribution over the 5-year period from 2010 to 2014 was around 1.76 percent per annum (MTA, 2016).</w:t>
      </w:r>
      <w:r w:rsidR="004622EA" w:rsidRPr="00191ACB">
        <w:rPr>
          <w:rFonts w:ascii="Times New Roman" w:hAnsi="Times New Roman" w:cs="Times New Roman"/>
          <w:color w:val="000000" w:themeColor="text1"/>
          <w:sz w:val="24"/>
          <w:szCs w:val="24"/>
        </w:rPr>
        <w:t xml:space="preserve"> </w:t>
      </w:r>
      <w:r w:rsidR="00D0355D" w:rsidRPr="00191ACB">
        <w:rPr>
          <w:rFonts w:ascii="Times New Roman" w:hAnsi="Times New Roman" w:cs="Times New Roman"/>
          <w:color w:val="000000" w:themeColor="text1"/>
          <w:sz w:val="24"/>
          <w:szCs w:val="24"/>
        </w:rPr>
        <w:t xml:space="preserve">The sector employed </w:t>
      </w:r>
      <w:r w:rsidR="00897025" w:rsidRPr="00191ACB">
        <w:rPr>
          <w:rFonts w:ascii="Times New Roman" w:hAnsi="Times New Roman" w:cs="Times New Roman"/>
          <w:color w:val="000000" w:themeColor="text1"/>
          <w:sz w:val="24"/>
          <w:szCs w:val="24"/>
        </w:rPr>
        <w:t xml:space="preserve">57,393 </w:t>
      </w:r>
      <w:r w:rsidR="00F433B9" w:rsidRPr="00191ACB">
        <w:rPr>
          <w:rFonts w:ascii="Times New Roman" w:hAnsi="Times New Roman" w:cs="Times New Roman"/>
          <w:color w:val="000000" w:themeColor="text1"/>
          <w:sz w:val="24"/>
          <w:szCs w:val="24"/>
        </w:rPr>
        <w:t>persons</w:t>
      </w:r>
      <w:r w:rsidR="00D0355D" w:rsidRPr="00191ACB">
        <w:rPr>
          <w:rFonts w:ascii="Times New Roman" w:hAnsi="Times New Roman" w:cs="Times New Roman"/>
          <w:color w:val="000000" w:themeColor="text1"/>
          <w:sz w:val="24"/>
          <w:szCs w:val="24"/>
        </w:rPr>
        <w:t xml:space="preserve"> in 2016 and </w:t>
      </w:r>
      <w:r w:rsidR="00897025" w:rsidRPr="00191ACB">
        <w:rPr>
          <w:rFonts w:ascii="Times New Roman" w:hAnsi="Times New Roman" w:cs="Times New Roman"/>
          <w:color w:val="000000" w:themeColor="text1"/>
          <w:sz w:val="24"/>
          <w:szCs w:val="24"/>
        </w:rPr>
        <w:t>58,618</w:t>
      </w:r>
      <w:r w:rsidR="00D0355D" w:rsidRPr="00191ACB">
        <w:rPr>
          <w:rFonts w:ascii="Times New Roman" w:hAnsi="Times New Roman" w:cs="Times New Roman"/>
          <w:color w:val="000000" w:themeColor="text1"/>
          <w:sz w:val="24"/>
          <w:szCs w:val="24"/>
        </w:rPr>
        <w:t xml:space="preserve"> </w:t>
      </w:r>
      <w:r w:rsidR="00F433B9" w:rsidRPr="00191ACB">
        <w:rPr>
          <w:rFonts w:ascii="Times New Roman" w:hAnsi="Times New Roman" w:cs="Times New Roman"/>
          <w:color w:val="000000" w:themeColor="text1"/>
          <w:sz w:val="24"/>
          <w:szCs w:val="24"/>
        </w:rPr>
        <w:t>persons</w:t>
      </w:r>
      <w:r w:rsidR="00D0355D" w:rsidRPr="00191ACB">
        <w:rPr>
          <w:rFonts w:ascii="Times New Roman" w:hAnsi="Times New Roman" w:cs="Times New Roman"/>
          <w:color w:val="000000" w:themeColor="text1"/>
          <w:sz w:val="24"/>
          <w:szCs w:val="24"/>
        </w:rPr>
        <w:t xml:space="preserve"> in 2017. </w:t>
      </w:r>
      <w:r w:rsidR="00F433B9" w:rsidRPr="00191ACB">
        <w:rPr>
          <w:rFonts w:ascii="Times New Roman" w:hAnsi="Times New Roman" w:cs="Times New Roman"/>
          <w:color w:val="000000" w:themeColor="text1"/>
          <w:sz w:val="24"/>
          <w:szCs w:val="24"/>
        </w:rPr>
        <w:t xml:space="preserve"> </w:t>
      </w:r>
      <w:r w:rsidR="00913957" w:rsidRPr="00191ACB">
        <w:rPr>
          <w:rFonts w:ascii="Times New Roman" w:hAnsi="Times New Roman" w:cs="Times New Roman"/>
          <w:color w:val="000000" w:themeColor="text1"/>
          <w:sz w:val="24"/>
          <w:szCs w:val="24"/>
        </w:rPr>
        <w:t>T</w:t>
      </w:r>
      <w:r w:rsidR="00A932D2" w:rsidRPr="00191ACB">
        <w:rPr>
          <w:rFonts w:ascii="Times New Roman" w:hAnsi="Times New Roman" w:cs="Times New Roman"/>
          <w:color w:val="000000" w:themeColor="text1"/>
          <w:sz w:val="24"/>
          <w:szCs w:val="24"/>
        </w:rPr>
        <w:t>he</w:t>
      </w:r>
      <w:r w:rsidR="00913957" w:rsidRPr="00191ACB">
        <w:rPr>
          <w:rFonts w:ascii="Times New Roman" w:hAnsi="Times New Roman" w:cs="Times New Roman"/>
          <w:color w:val="000000" w:themeColor="text1"/>
          <w:sz w:val="24"/>
          <w:szCs w:val="24"/>
        </w:rPr>
        <w:t>re have been improvements</w:t>
      </w:r>
      <w:r w:rsidR="00A932D2" w:rsidRPr="00191ACB">
        <w:rPr>
          <w:rFonts w:ascii="Times New Roman" w:hAnsi="Times New Roman" w:cs="Times New Roman"/>
          <w:color w:val="000000" w:themeColor="text1"/>
          <w:sz w:val="24"/>
          <w:szCs w:val="24"/>
        </w:rPr>
        <w:t xml:space="preserve"> in </w:t>
      </w:r>
      <w:r w:rsidR="004622EA" w:rsidRPr="00191ACB">
        <w:rPr>
          <w:rFonts w:ascii="Times New Roman" w:hAnsi="Times New Roman" w:cs="Times New Roman"/>
          <w:color w:val="000000" w:themeColor="text1"/>
          <w:sz w:val="24"/>
          <w:szCs w:val="24"/>
        </w:rPr>
        <w:t>infrastructure development</w:t>
      </w:r>
      <w:r w:rsidR="00913957" w:rsidRPr="00191ACB">
        <w:rPr>
          <w:rFonts w:ascii="Times New Roman" w:hAnsi="Times New Roman" w:cs="Times New Roman"/>
          <w:color w:val="000000" w:themeColor="text1"/>
          <w:sz w:val="24"/>
          <w:szCs w:val="24"/>
        </w:rPr>
        <w:t xml:space="preserve">, </w:t>
      </w:r>
      <w:r w:rsidR="004622EA" w:rsidRPr="00191ACB">
        <w:rPr>
          <w:rFonts w:ascii="Times New Roman" w:hAnsi="Times New Roman" w:cs="Times New Roman"/>
          <w:color w:val="000000" w:themeColor="text1"/>
          <w:sz w:val="24"/>
          <w:szCs w:val="24"/>
        </w:rPr>
        <w:t xml:space="preserve">diversification and expansion of tourism products </w:t>
      </w:r>
      <w:r w:rsidR="000B04FE" w:rsidRPr="00191ACB">
        <w:rPr>
          <w:rFonts w:ascii="Times New Roman" w:hAnsi="Times New Roman" w:cs="Times New Roman"/>
          <w:color w:val="000000" w:themeColor="text1"/>
          <w:sz w:val="24"/>
          <w:szCs w:val="24"/>
        </w:rPr>
        <w:t xml:space="preserve">(7NDP, 2017, </w:t>
      </w:r>
      <w:r w:rsidR="00D0355D" w:rsidRPr="00191ACB">
        <w:rPr>
          <w:rFonts w:ascii="Times New Roman" w:hAnsi="Times New Roman" w:cs="Times New Roman"/>
          <w:color w:val="000000" w:themeColor="text1"/>
          <w:sz w:val="24"/>
          <w:szCs w:val="24"/>
        </w:rPr>
        <w:t>MoTA</w:t>
      </w:r>
      <w:r w:rsidR="0082705A" w:rsidRPr="00191ACB">
        <w:rPr>
          <w:rFonts w:ascii="Times New Roman" w:hAnsi="Times New Roman" w:cs="Times New Roman"/>
          <w:color w:val="000000" w:themeColor="text1"/>
          <w:sz w:val="24"/>
          <w:szCs w:val="24"/>
        </w:rPr>
        <w:t xml:space="preserve">, 2017 </w:t>
      </w:r>
      <w:r w:rsidR="000B04FE" w:rsidRPr="00191ACB">
        <w:rPr>
          <w:rFonts w:ascii="Times New Roman" w:hAnsi="Times New Roman" w:cs="Times New Roman"/>
          <w:color w:val="000000" w:themeColor="text1"/>
          <w:sz w:val="24"/>
          <w:szCs w:val="24"/>
        </w:rPr>
        <w:t>and Acorn Tourism Consulting Ltd, 2018)</w:t>
      </w:r>
      <w:r w:rsidR="004622EA" w:rsidRPr="00191ACB">
        <w:rPr>
          <w:rFonts w:ascii="Times New Roman" w:hAnsi="Times New Roman" w:cs="Times New Roman"/>
          <w:color w:val="000000" w:themeColor="text1"/>
          <w:sz w:val="24"/>
          <w:szCs w:val="24"/>
        </w:rPr>
        <w:t>.</w:t>
      </w:r>
    </w:p>
    <w:p w14:paraId="20A006C4" w14:textId="77777777" w:rsidR="00BE0D7C" w:rsidRPr="00191ACB" w:rsidRDefault="00BE0D7C" w:rsidP="00597D1F">
      <w:pPr>
        <w:widowControl w:val="0"/>
        <w:autoSpaceDE w:val="0"/>
        <w:autoSpaceDN w:val="0"/>
        <w:adjustRightInd w:val="0"/>
        <w:spacing w:after="120" w:line="240" w:lineRule="auto"/>
        <w:jc w:val="both"/>
        <w:rPr>
          <w:rFonts w:ascii="Times New Roman" w:hAnsi="Times New Roman" w:cs="Times New Roman"/>
          <w:color w:val="000000" w:themeColor="text1"/>
          <w:sz w:val="24"/>
          <w:szCs w:val="24"/>
        </w:rPr>
      </w:pPr>
    </w:p>
    <w:p w14:paraId="00088C65" w14:textId="0E51E4A1" w:rsidR="00EB3A24" w:rsidRPr="00191ACB" w:rsidRDefault="00EB3A24" w:rsidP="002B1C4A">
      <w:pPr>
        <w:pStyle w:val="Heading3"/>
        <w:numPr>
          <w:ilvl w:val="2"/>
          <w:numId w:val="36"/>
        </w:numPr>
        <w:ind w:left="851" w:hanging="851"/>
        <w:rPr>
          <w:rFonts w:cs="Times New Roman"/>
          <w:b w:val="0"/>
          <w:color w:val="000000" w:themeColor="text1"/>
          <w:szCs w:val="24"/>
        </w:rPr>
      </w:pPr>
      <w:bookmarkStart w:id="48" w:name="_Toc419428299"/>
      <w:bookmarkStart w:id="49" w:name="_Toc57902805"/>
      <w:r w:rsidRPr="002B1C4A">
        <w:lastRenderedPageBreak/>
        <w:t>Mining</w:t>
      </w:r>
      <w:bookmarkEnd w:id="48"/>
      <w:bookmarkEnd w:id="49"/>
    </w:p>
    <w:p w14:paraId="54AB394E" w14:textId="4F1B6992" w:rsidR="00B818D4" w:rsidRPr="00191ACB" w:rsidRDefault="00836396" w:rsidP="00A60A8C">
      <w:pPr>
        <w:spacing w:after="120" w:line="276" w:lineRule="auto"/>
        <w:jc w:val="both"/>
        <w:rPr>
          <w:rFonts w:ascii="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Zambia's social and economic backbone has always been its mining industry. The country </w:t>
      </w:r>
      <w:r w:rsidR="008C42C6" w:rsidRPr="00191ACB">
        <w:rPr>
          <w:rFonts w:ascii="Times New Roman" w:eastAsia="Calibri" w:hAnsi="Times New Roman" w:cs="Times New Roman"/>
          <w:color w:val="000000" w:themeColor="text1"/>
          <w:sz w:val="24"/>
          <w:szCs w:val="24"/>
        </w:rPr>
        <w:t xml:space="preserve">is well endowed with mineral resources that include among others uranium, silver, cobalt, copper, coal, lead, zinc, </w:t>
      </w:r>
      <w:r w:rsidR="00987563" w:rsidRPr="00191ACB">
        <w:rPr>
          <w:rFonts w:ascii="Times New Roman" w:eastAsia="Calibri" w:hAnsi="Times New Roman" w:cs="Times New Roman"/>
          <w:color w:val="000000" w:themeColor="text1"/>
          <w:sz w:val="24"/>
          <w:szCs w:val="24"/>
        </w:rPr>
        <w:t>precious stones</w:t>
      </w:r>
      <w:r w:rsidR="008C42C6" w:rsidRPr="00191ACB">
        <w:rPr>
          <w:rFonts w:ascii="Times New Roman" w:eastAsia="Calibri" w:hAnsi="Times New Roman" w:cs="Times New Roman"/>
          <w:color w:val="000000" w:themeColor="text1"/>
          <w:sz w:val="24"/>
          <w:szCs w:val="24"/>
        </w:rPr>
        <w:t xml:space="preserve">, </w:t>
      </w:r>
      <w:r w:rsidR="00987563" w:rsidRPr="00191ACB">
        <w:rPr>
          <w:rFonts w:ascii="Times New Roman" w:eastAsia="Calibri" w:hAnsi="Times New Roman" w:cs="Times New Roman"/>
          <w:color w:val="000000" w:themeColor="text1"/>
          <w:sz w:val="24"/>
          <w:szCs w:val="24"/>
        </w:rPr>
        <w:t xml:space="preserve">and </w:t>
      </w:r>
      <w:r w:rsidR="008C42C6" w:rsidRPr="00191ACB">
        <w:rPr>
          <w:rFonts w:ascii="Times New Roman" w:eastAsia="Calibri" w:hAnsi="Times New Roman" w:cs="Times New Roman"/>
          <w:color w:val="000000" w:themeColor="text1"/>
          <w:sz w:val="24"/>
          <w:szCs w:val="24"/>
        </w:rPr>
        <w:t xml:space="preserve">gold (Nyambe and Phiri, 2010). </w:t>
      </w:r>
      <w:r w:rsidRPr="00191ACB">
        <w:rPr>
          <w:rFonts w:ascii="Times New Roman" w:eastAsia="Calibri" w:hAnsi="Times New Roman" w:cs="Times New Roman"/>
          <w:color w:val="000000" w:themeColor="text1"/>
          <w:sz w:val="24"/>
          <w:szCs w:val="24"/>
        </w:rPr>
        <w:t xml:space="preserve"> </w:t>
      </w:r>
      <w:r w:rsidR="00987563" w:rsidRPr="00191ACB">
        <w:rPr>
          <w:rFonts w:ascii="Times New Roman" w:eastAsia="Calibri" w:hAnsi="Times New Roman" w:cs="Times New Roman"/>
          <w:color w:val="000000" w:themeColor="text1"/>
          <w:sz w:val="24"/>
          <w:szCs w:val="24"/>
        </w:rPr>
        <w:t>T</w:t>
      </w:r>
      <w:r w:rsidRPr="00191ACB">
        <w:rPr>
          <w:rFonts w:ascii="Times New Roman" w:eastAsia="Calibri" w:hAnsi="Times New Roman" w:cs="Times New Roman"/>
          <w:color w:val="000000" w:themeColor="text1"/>
          <w:sz w:val="24"/>
          <w:szCs w:val="24"/>
        </w:rPr>
        <w:t>he mining industry has been dominated by copper mining</w:t>
      </w:r>
      <w:r w:rsidR="00987563" w:rsidRPr="00191ACB">
        <w:rPr>
          <w:rFonts w:ascii="Times New Roman" w:eastAsia="Calibri" w:hAnsi="Times New Roman" w:cs="Times New Roman"/>
          <w:color w:val="000000" w:themeColor="text1"/>
          <w:sz w:val="24"/>
          <w:szCs w:val="24"/>
        </w:rPr>
        <w:t xml:space="preserve"> (Table </w:t>
      </w:r>
      <w:r w:rsidR="005530BA" w:rsidRPr="00191ACB">
        <w:rPr>
          <w:rFonts w:ascii="Times New Roman" w:eastAsia="Calibri" w:hAnsi="Times New Roman" w:cs="Times New Roman"/>
          <w:color w:val="000000" w:themeColor="text1"/>
          <w:sz w:val="24"/>
          <w:szCs w:val="24"/>
        </w:rPr>
        <w:t>2.7</w:t>
      </w:r>
      <w:r w:rsidR="00987563"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w:t>
      </w:r>
      <w:r w:rsidR="00E709F5" w:rsidRPr="00191ACB">
        <w:rPr>
          <w:rFonts w:ascii="Times New Roman" w:eastAsia="Calibri" w:hAnsi="Times New Roman" w:cs="Times New Roman"/>
          <w:color w:val="000000" w:themeColor="text1"/>
          <w:sz w:val="24"/>
          <w:szCs w:val="24"/>
        </w:rPr>
        <w:t>Copper production in</w:t>
      </w:r>
      <w:r w:rsidR="00B818D4" w:rsidRPr="00191ACB">
        <w:rPr>
          <w:rFonts w:ascii="Times New Roman" w:hAnsi="Times New Roman" w:cs="Times New Roman"/>
          <w:color w:val="000000" w:themeColor="text1"/>
          <w:sz w:val="24"/>
          <w:szCs w:val="24"/>
        </w:rPr>
        <w:t xml:space="preserve"> 2015</w:t>
      </w:r>
      <w:r w:rsidR="00E709F5" w:rsidRPr="00191ACB">
        <w:rPr>
          <w:rFonts w:ascii="Times New Roman" w:hAnsi="Times New Roman" w:cs="Times New Roman"/>
          <w:color w:val="000000" w:themeColor="text1"/>
          <w:sz w:val="24"/>
          <w:szCs w:val="24"/>
        </w:rPr>
        <w:t xml:space="preserve"> was </w:t>
      </w:r>
      <w:r w:rsidR="00B818D4" w:rsidRPr="00191ACB">
        <w:rPr>
          <w:rFonts w:ascii="Times New Roman" w:hAnsi="Times New Roman" w:cs="Times New Roman"/>
          <w:color w:val="000000" w:themeColor="text1"/>
          <w:sz w:val="24"/>
          <w:szCs w:val="24"/>
        </w:rPr>
        <w:t>710, 560 MT</w:t>
      </w:r>
      <w:r w:rsidR="00E709F5" w:rsidRPr="00191ACB">
        <w:rPr>
          <w:rFonts w:ascii="Times New Roman" w:hAnsi="Times New Roman" w:cs="Times New Roman"/>
          <w:color w:val="000000" w:themeColor="text1"/>
          <w:sz w:val="24"/>
          <w:szCs w:val="24"/>
        </w:rPr>
        <w:t xml:space="preserve"> </w:t>
      </w:r>
      <w:r w:rsidR="00B818D4" w:rsidRPr="00191ACB">
        <w:rPr>
          <w:rFonts w:ascii="Times New Roman" w:hAnsi="Times New Roman" w:cs="Times New Roman"/>
          <w:color w:val="000000" w:themeColor="text1"/>
          <w:sz w:val="24"/>
          <w:szCs w:val="24"/>
        </w:rPr>
        <w:t>below the Government forecast of 800,000 MT</w:t>
      </w:r>
      <w:r w:rsidR="00E709F5" w:rsidRPr="00191ACB">
        <w:rPr>
          <w:rFonts w:ascii="Times New Roman" w:hAnsi="Times New Roman" w:cs="Times New Roman"/>
          <w:color w:val="000000" w:themeColor="text1"/>
          <w:sz w:val="24"/>
          <w:szCs w:val="24"/>
        </w:rPr>
        <w:t xml:space="preserve">. </w:t>
      </w:r>
      <w:r w:rsidR="00AD1D5B" w:rsidRPr="00191ACB">
        <w:rPr>
          <w:rFonts w:ascii="Times New Roman" w:hAnsi="Times New Roman" w:cs="Times New Roman"/>
          <w:color w:val="000000" w:themeColor="text1"/>
          <w:sz w:val="24"/>
          <w:szCs w:val="24"/>
        </w:rPr>
        <w:t xml:space="preserve">Copper output increased by 7.6% to 857,848 </w:t>
      </w:r>
      <w:r w:rsidR="00E709F5" w:rsidRPr="00191ACB">
        <w:rPr>
          <w:rFonts w:ascii="Times New Roman" w:hAnsi="Times New Roman" w:cs="Times New Roman"/>
          <w:color w:val="000000" w:themeColor="text1"/>
          <w:sz w:val="24"/>
          <w:szCs w:val="24"/>
        </w:rPr>
        <w:t>MT</w:t>
      </w:r>
      <w:r w:rsidR="00AD1D5B" w:rsidRPr="00191ACB">
        <w:rPr>
          <w:rFonts w:ascii="Times New Roman" w:hAnsi="Times New Roman" w:cs="Times New Roman"/>
          <w:color w:val="000000" w:themeColor="text1"/>
          <w:sz w:val="24"/>
          <w:szCs w:val="24"/>
        </w:rPr>
        <w:t xml:space="preserve"> in 2018 from 797,266 </w:t>
      </w:r>
      <w:r w:rsidR="00E709F5" w:rsidRPr="00191ACB">
        <w:rPr>
          <w:rFonts w:ascii="Times New Roman" w:hAnsi="Times New Roman" w:cs="Times New Roman"/>
          <w:color w:val="000000" w:themeColor="text1"/>
          <w:sz w:val="24"/>
          <w:szCs w:val="24"/>
        </w:rPr>
        <w:t>MT</w:t>
      </w:r>
      <w:r w:rsidR="00AD1D5B" w:rsidRPr="00191ACB">
        <w:rPr>
          <w:rFonts w:ascii="Times New Roman" w:hAnsi="Times New Roman" w:cs="Times New Roman"/>
          <w:color w:val="000000" w:themeColor="text1"/>
          <w:sz w:val="24"/>
          <w:szCs w:val="24"/>
        </w:rPr>
        <w:t xml:space="preserve"> in 2017. </w:t>
      </w:r>
      <w:r w:rsidR="006D4149" w:rsidRPr="00191ACB">
        <w:rPr>
          <w:rFonts w:ascii="Times New Roman" w:hAnsi="Times New Roman" w:cs="Times New Roman"/>
          <w:color w:val="000000" w:themeColor="text1"/>
          <w:sz w:val="24"/>
          <w:szCs w:val="24"/>
        </w:rPr>
        <w:t xml:space="preserve">This was as a result of the ramping up of production at most of the large mines. Production by small scale mines increased significantly by 84% to 10,859 </w:t>
      </w:r>
      <w:r w:rsidR="00E709F5" w:rsidRPr="00191ACB">
        <w:rPr>
          <w:rFonts w:ascii="Times New Roman" w:hAnsi="Times New Roman" w:cs="Times New Roman"/>
          <w:color w:val="000000" w:themeColor="text1"/>
          <w:sz w:val="24"/>
          <w:szCs w:val="24"/>
        </w:rPr>
        <w:t>MT</w:t>
      </w:r>
      <w:r w:rsidR="006D4149" w:rsidRPr="00191ACB">
        <w:rPr>
          <w:rFonts w:ascii="Times New Roman" w:hAnsi="Times New Roman" w:cs="Times New Roman"/>
          <w:color w:val="000000" w:themeColor="text1"/>
          <w:sz w:val="24"/>
          <w:szCs w:val="24"/>
        </w:rPr>
        <w:t xml:space="preserve"> from 5,900 </w:t>
      </w:r>
      <w:r w:rsidR="00E709F5" w:rsidRPr="00191ACB">
        <w:rPr>
          <w:rFonts w:ascii="Times New Roman" w:hAnsi="Times New Roman" w:cs="Times New Roman"/>
          <w:color w:val="000000" w:themeColor="text1"/>
          <w:sz w:val="24"/>
          <w:szCs w:val="24"/>
        </w:rPr>
        <w:t>MT</w:t>
      </w:r>
      <w:r w:rsidR="006D4149" w:rsidRPr="00191ACB">
        <w:rPr>
          <w:rFonts w:ascii="Times New Roman" w:hAnsi="Times New Roman" w:cs="Times New Roman"/>
          <w:color w:val="000000" w:themeColor="text1"/>
          <w:sz w:val="24"/>
          <w:szCs w:val="24"/>
        </w:rPr>
        <w:t xml:space="preserve"> in 2017</w:t>
      </w:r>
      <w:r w:rsidR="00497EF4" w:rsidRPr="00191ACB">
        <w:rPr>
          <w:rFonts w:ascii="Times New Roman" w:hAnsi="Times New Roman" w:cs="Times New Roman"/>
          <w:color w:val="000000" w:themeColor="text1"/>
          <w:sz w:val="24"/>
          <w:szCs w:val="24"/>
        </w:rPr>
        <w:t xml:space="preserve"> </w:t>
      </w:r>
      <w:bookmarkStart w:id="50" w:name="_Hlk47433307"/>
      <w:r w:rsidR="00497EF4" w:rsidRPr="00191ACB">
        <w:rPr>
          <w:rFonts w:ascii="Times New Roman" w:hAnsi="Times New Roman" w:cs="Times New Roman"/>
          <w:color w:val="000000" w:themeColor="text1"/>
          <w:sz w:val="24"/>
          <w:szCs w:val="24"/>
        </w:rPr>
        <w:t>(Zambia EITI, 2020)</w:t>
      </w:r>
      <w:bookmarkEnd w:id="50"/>
      <w:r w:rsidR="006D4149" w:rsidRPr="00191ACB">
        <w:rPr>
          <w:rFonts w:ascii="Times New Roman" w:hAnsi="Times New Roman" w:cs="Times New Roman"/>
          <w:color w:val="000000" w:themeColor="text1"/>
          <w:sz w:val="24"/>
          <w:szCs w:val="24"/>
        </w:rPr>
        <w:t xml:space="preserve">. In 2018, coal output increased by 65.2% to 344,717 </w:t>
      </w:r>
      <w:r w:rsidR="00E709F5" w:rsidRPr="00191ACB">
        <w:rPr>
          <w:rFonts w:ascii="Times New Roman" w:hAnsi="Times New Roman" w:cs="Times New Roman"/>
          <w:color w:val="000000" w:themeColor="text1"/>
          <w:sz w:val="24"/>
          <w:szCs w:val="24"/>
        </w:rPr>
        <w:t>MT</w:t>
      </w:r>
      <w:r w:rsidR="006D4149" w:rsidRPr="00191ACB">
        <w:rPr>
          <w:rFonts w:ascii="Times New Roman" w:hAnsi="Times New Roman" w:cs="Times New Roman"/>
          <w:color w:val="000000" w:themeColor="text1"/>
          <w:sz w:val="24"/>
          <w:szCs w:val="24"/>
        </w:rPr>
        <w:t xml:space="preserve"> from 208,608 </w:t>
      </w:r>
      <w:r w:rsidR="00E709F5" w:rsidRPr="00191ACB">
        <w:rPr>
          <w:rFonts w:ascii="Times New Roman" w:hAnsi="Times New Roman" w:cs="Times New Roman"/>
          <w:color w:val="000000" w:themeColor="text1"/>
          <w:sz w:val="24"/>
          <w:szCs w:val="24"/>
        </w:rPr>
        <w:t>MT</w:t>
      </w:r>
      <w:r w:rsidR="006D4149" w:rsidRPr="00191ACB">
        <w:rPr>
          <w:rFonts w:ascii="Times New Roman" w:hAnsi="Times New Roman" w:cs="Times New Roman"/>
          <w:color w:val="000000" w:themeColor="text1"/>
          <w:sz w:val="24"/>
          <w:szCs w:val="24"/>
        </w:rPr>
        <w:t xml:space="preserve"> in 2017. The increase was due to the continued rise in demand for the commodity for electricity generation and industrial activities.</w:t>
      </w:r>
    </w:p>
    <w:p w14:paraId="5E02CC93" w14:textId="5937E3E5" w:rsidR="00836396" w:rsidRPr="00191ACB" w:rsidRDefault="00836396" w:rsidP="00A60A8C">
      <w:pPr>
        <w:suppressAutoHyphens/>
        <w:autoSpaceDN w:val="0"/>
        <w:spacing w:after="120" w:line="276" w:lineRule="auto"/>
        <w:jc w:val="both"/>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Total contribution of mining to GDP averaged 12.9 percent for the period 2006 to 2015</w:t>
      </w:r>
      <w:r w:rsidR="003944C4" w:rsidRPr="00191ACB">
        <w:rPr>
          <w:rFonts w:ascii="Times New Roman" w:eastAsia="Calibri" w:hAnsi="Times New Roman" w:cs="Times New Roman"/>
          <w:color w:val="000000" w:themeColor="text1"/>
          <w:sz w:val="24"/>
          <w:szCs w:val="24"/>
        </w:rPr>
        <w:t xml:space="preserve"> (</w:t>
      </w:r>
      <w:r w:rsidR="000F44A6" w:rsidRPr="00191ACB">
        <w:rPr>
          <w:rFonts w:ascii="Times New Roman" w:eastAsia="Calibri" w:hAnsi="Times New Roman" w:cs="Times New Roman"/>
          <w:color w:val="000000" w:themeColor="text1"/>
          <w:sz w:val="24"/>
          <w:szCs w:val="24"/>
        </w:rPr>
        <w:t>ZAMSTATS</w:t>
      </w:r>
      <w:r w:rsidR="003944C4" w:rsidRPr="00191ACB">
        <w:rPr>
          <w:rFonts w:ascii="Times New Roman" w:eastAsia="Calibri" w:hAnsi="Times New Roman" w:cs="Times New Roman"/>
          <w:color w:val="000000" w:themeColor="text1"/>
          <w:sz w:val="24"/>
          <w:szCs w:val="24"/>
        </w:rPr>
        <w:t>, 2015)</w:t>
      </w:r>
      <w:r w:rsidRPr="00191ACB">
        <w:rPr>
          <w:rFonts w:ascii="Times New Roman" w:eastAsia="Calibri" w:hAnsi="Times New Roman" w:cs="Times New Roman"/>
          <w:color w:val="000000" w:themeColor="text1"/>
          <w:sz w:val="24"/>
          <w:szCs w:val="24"/>
        </w:rPr>
        <w:t xml:space="preserve">. </w:t>
      </w:r>
      <w:r w:rsidR="003944C4" w:rsidRPr="00191ACB">
        <w:rPr>
          <w:rFonts w:ascii="Times New Roman" w:eastAsia="Calibri" w:hAnsi="Times New Roman" w:cs="Times New Roman"/>
          <w:color w:val="000000" w:themeColor="text1"/>
          <w:sz w:val="24"/>
          <w:szCs w:val="24"/>
        </w:rPr>
        <w:t xml:space="preserve">The </w:t>
      </w:r>
      <w:r w:rsidR="00DF591F" w:rsidRPr="00191ACB">
        <w:rPr>
          <w:rFonts w:ascii="Times New Roman" w:eastAsia="Calibri" w:hAnsi="Times New Roman" w:cs="Times New Roman"/>
          <w:color w:val="000000" w:themeColor="text1"/>
          <w:sz w:val="24"/>
          <w:szCs w:val="24"/>
        </w:rPr>
        <w:t xml:space="preserve">GDP </w:t>
      </w:r>
      <w:r w:rsidR="003944C4" w:rsidRPr="00191ACB">
        <w:rPr>
          <w:rFonts w:ascii="Times New Roman" w:eastAsia="Calibri" w:hAnsi="Times New Roman" w:cs="Times New Roman"/>
          <w:color w:val="000000" w:themeColor="text1"/>
          <w:sz w:val="24"/>
          <w:szCs w:val="24"/>
        </w:rPr>
        <w:t xml:space="preserve">contribution was 10.4 percent in 2017 and 10.7 percent in 2018. </w:t>
      </w:r>
      <w:r w:rsidR="003944C4" w:rsidRPr="00191ACB">
        <w:rPr>
          <w:rFonts w:ascii="Times New Roman" w:hAnsi="Times New Roman" w:cs="Times New Roman"/>
          <w:color w:val="000000" w:themeColor="text1"/>
          <w:sz w:val="24"/>
          <w:szCs w:val="24"/>
        </w:rPr>
        <w:t xml:space="preserve">There was an increase in copper production </w:t>
      </w:r>
      <w:r w:rsidR="00DF591F" w:rsidRPr="00191ACB">
        <w:rPr>
          <w:rFonts w:ascii="Times New Roman" w:hAnsi="Times New Roman" w:cs="Times New Roman"/>
          <w:color w:val="000000" w:themeColor="text1"/>
          <w:sz w:val="24"/>
          <w:szCs w:val="24"/>
        </w:rPr>
        <w:t xml:space="preserve">over the years but decrease of </w:t>
      </w:r>
      <w:r w:rsidR="003944C4" w:rsidRPr="00191ACB">
        <w:rPr>
          <w:rFonts w:ascii="Times New Roman" w:hAnsi="Times New Roman" w:cs="Times New Roman"/>
          <w:color w:val="000000" w:themeColor="text1"/>
          <w:sz w:val="24"/>
          <w:szCs w:val="24"/>
        </w:rPr>
        <w:t xml:space="preserve">the contribution to exports </w:t>
      </w:r>
      <w:r w:rsidR="00DF591F" w:rsidRPr="00191ACB">
        <w:rPr>
          <w:rFonts w:ascii="Times New Roman" w:hAnsi="Times New Roman" w:cs="Times New Roman"/>
          <w:color w:val="000000" w:themeColor="text1"/>
          <w:sz w:val="24"/>
          <w:szCs w:val="24"/>
        </w:rPr>
        <w:t>of the mining sector due to</w:t>
      </w:r>
      <w:r w:rsidR="003944C4" w:rsidRPr="00191ACB">
        <w:rPr>
          <w:rFonts w:ascii="Times New Roman" w:hAnsi="Times New Roman" w:cs="Times New Roman"/>
          <w:color w:val="000000" w:themeColor="text1"/>
          <w:sz w:val="24"/>
          <w:szCs w:val="24"/>
        </w:rPr>
        <w:t xml:space="preserve"> increase of non-mining export</w:t>
      </w:r>
      <w:r w:rsidR="00DF591F" w:rsidRPr="00191ACB">
        <w:rPr>
          <w:rFonts w:ascii="Times New Roman" w:hAnsi="Times New Roman" w:cs="Times New Roman"/>
          <w:color w:val="000000" w:themeColor="text1"/>
          <w:sz w:val="24"/>
          <w:szCs w:val="24"/>
        </w:rPr>
        <w:t xml:space="preserve">s </w:t>
      </w:r>
      <w:r w:rsidR="00DF591F" w:rsidRPr="00191ACB">
        <w:rPr>
          <w:rFonts w:ascii="Times New Roman" w:eastAsia="Calibri" w:hAnsi="Times New Roman" w:cs="Times New Roman"/>
          <w:color w:val="000000" w:themeColor="text1"/>
          <w:sz w:val="24"/>
          <w:szCs w:val="24"/>
        </w:rPr>
        <w:t>(Zambia EITI, 2020)</w:t>
      </w:r>
      <w:r w:rsidR="003944C4" w:rsidRPr="00191ACB">
        <w:rPr>
          <w:rFonts w:ascii="Times New Roman"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The sector also provided direct employment for 56,227 pe</w:t>
      </w:r>
      <w:r w:rsidR="00BA098B" w:rsidRPr="00191ACB">
        <w:rPr>
          <w:rFonts w:ascii="Times New Roman" w:eastAsia="Calibri" w:hAnsi="Times New Roman" w:cs="Times New Roman"/>
          <w:color w:val="000000" w:themeColor="text1"/>
          <w:sz w:val="24"/>
          <w:szCs w:val="24"/>
        </w:rPr>
        <w:t>ople</w:t>
      </w:r>
      <w:r w:rsidRPr="00191ACB">
        <w:rPr>
          <w:rFonts w:ascii="Times New Roman" w:eastAsia="Calibri" w:hAnsi="Times New Roman" w:cs="Times New Roman"/>
          <w:color w:val="000000" w:themeColor="text1"/>
          <w:sz w:val="24"/>
          <w:szCs w:val="24"/>
        </w:rPr>
        <w:t xml:space="preserve"> in 2005 which increased to 82,725 in 2014. </w:t>
      </w:r>
      <w:r w:rsidR="00DF458E" w:rsidRPr="00191ACB">
        <w:rPr>
          <w:rFonts w:ascii="Times New Roman" w:eastAsia="Calibri" w:hAnsi="Times New Roman" w:cs="Times New Roman"/>
          <w:color w:val="000000" w:themeColor="text1"/>
          <w:sz w:val="24"/>
          <w:szCs w:val="24"/>
        </w:rPr>
        <w:t xml:space="preserve">In 2018 about 84,536 </w:t>
      </w:r>
      <w:r w:rsidR="00BA098B" w:rsidRPr="00191ACB">
        <w:rPr>
          <w:rFonts w:ascii="Times New Roman" w:eastAsia="Calibri" w:hAnsi="Times New Roman" w:cs="Times New Roman"/>
          <w:color w:val="000000" w:themeColor="text1"/>
          <w:sz w:val="24"/>
          <w:szCs w:val="24"/>
        </w:rPr>
        <w:t>people</w:t>
      </w:r>
      <w:r w:rsidR="00DF458E" w:rsidRPr="00191ACB">
        <w:rPr>
          <w:rFonts w:ascii="Times New Roman" w:eastAsia="Calibri" w:hAnsi="Times New Roman" w:cs="Times New Roman"/>
          <w:color w:val="000000" w:themeColor="text1"/>
          <w:sz w:val="24"/>
          <w:szCs w:val="24"/>
        </w:rPr>
        <w:t xml:space="preserve"> were employed in the sector</w:t>
      </w:r>
      <w:r w:rsidR="00312E05" w:rsidRPr="00191ACB">
        <w:rPr>
          <w:rFonts w:ascii="Times New Roman" w:eastAsia="Calibri" w:hAnsi="Times New Roman" w:cs="Times New Roman"/>
          <w:color w:val="000000" w:themeColor="text1"/>
          <w:sz w:val="24"/>
          <w:szCs w:val="24"/>
        </w:rPr>
        <w:t xml:space="preserve"> representing</w:t>
      </w:r>
      <w:r w:rsidR="00DF458E" w:rsidRPr="00191ACB">
        <w:rPr>
          <w:rFonts w:ascii="Times New Roman" w:eastAsia="Calibri" w:hAnsi="Times New Roman" w:cs="Times New Roman"/>
          <w:color w:val="000000" w:themeColor="text1"/>
          <w:sz w:val="24"/>
          <w:szCs w:val="24"/>
        </w:rPr>
        <w:t xml:space="preserve"> 2.9 percent of total </w:t>
      </w:r>
      <w:r w:rsidR="00BA098B" w:rsidRPr="00191ACB">
        <w:rPr>
          <w:rFonts w:ascii="Times New Roman" w:eastAsia="Calibri" w:hAnsi="Times New Roman" w:cs="Times New Roman"/>
          <w:color w:val="000000" w:themeColor="text1"/>
          <w:sz w:val="24"/>
          <w:szCs w:val="24"/>
        </w:rPr>
        <w:t xml:space="preserve">people </w:t>
      </w:r>
      <w:r w:rsidR="00DF458E" w:rsidRPr="00191ACB">
        <w:rPr>
          <w:rFonts w:ascii="Times New Roman" w:eastAsia="Calibri" w:hAnsi="Times New Roman" w:cs="Times New Roman"/>
          <w:color w:val="000000" w:themeColor="text1"/>
          <w:sz w:val="24"/>
          <w:szCs w:val="24"/>
        </w:rPr>
        <w:t xml:space="preserve">under employment in the country. </w:t>
      </w:r>
      <w:r w:rsidR="00BC6E59" w:rsidRPr="00191ACB">
        <w:rPr>
          <w:rFonts w:ascii="Times New Roman" w:eastAsia="Calibri" w:hAnsi="Times New Roman" w:cs="Times New Roman"/>
          <w:color w:val="000000" w:themeColor="text1"/>
          <w:sz w:val="24"/>
          <w:szCs w:val="24"/>
        </w:rPr>
        <w:t xml:space="preserve">Government has been making efforts to diversify to other minerals, such as gemstones and industrial minerals in order enhance </w:t>
      </w:r>
      <w:r w:rsidRPr="00191ACB">
        <w:rPr>
          <w:rFonts w:ascii="Times New Roman" w:eastAsia="Calibri" w:hAnsi="Times New Roman" w:cs="Times New Roman"/>
          <w:color w:val="000000" w:themeColor="text1"/>
          <w:sz w:val="24"/>
          <w:szCs w:val="24"/>
        </w:rPr>
        <w:t>employment</w:t>
      </w:r>
      <w:r w:rsidR="00BC6E59" w:rsidRPr="00191ACB">
        <w:rPr>
          <w:rFonts w:ascii="Times New Roman" w:eastAsia="Calibri" w:hAnsi="Times New Roman" w:cs="Times New Roman"/>
          <w:color w:val="000000" w:themeColor="text1"/>
          <w:sz w:val="24"/>
          <w:szCs w:val="24"/>
        </w:rPr>
        <w:t xml:space="preserve"> creation</w:t>
      </w:r>
      <w:r w:rsidRPr="00191ACB">
        <w:rPr>
          <w:rFonts w:ascii="Times New Roman" w:eastAsia="Calibri" w:hAnsi="Times New Roman" w:cs="Times New Roman"/>
          <w:color w:val="000000" w:themeColor="text1"/>
          <w:sz w:val="24"/>
          <w:szCs w:val="24"/>
        </w:rPr>
        <w:t xml:space="preserve">, revenue </w:t>
      </w:r>
      <w:r w:rsidR="00BC6E59" w:rsidRPr="00191ACB">
        <w:rPr>
          <w:rFonts w:ascii="Times New Roman" w:eastAsia="Calibri" w:hAnsi="Times New Roman" w:cs="Times New Roman"/>
          <w:color w:val="000000" w:themeColor="text1"/>
          <w:sz w:val="24"/>
          <w:szCs w:val="24"/>
        </w:rPr>
        <w:t xml:space="preserve">generation </w:t>
      </w:r>
      <w:r w:rsidRPr="00191ACB">
        <w:rPr>
          <w:rFonts w:ascii="Times New Roman" w:eastAsia="Calibri" w:hAnsi="Times New Roman" w:cs="Times New Roman"/>
          <w:color w:val="000000" w:themeColor="text1"/>
          <w:sz w:val="24"/>
          <w:szCs w:val="24"/>
        </w:rPr>
        <w:t>and rural-urban development</w:t>
      </w:r>
      <w:r w:rsidR="00BC6E59"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w:t>
      </w:r>
    </w:p>
    <w:p w14:paraId="58D16CFC" w14:textId="77777777" w:rsidR="000C1EDE" w:rsidRPr="00191ACB" w:rsidRDefault="000C1EDE" w:rsidP="005E626A">
      <w:pPr>
        <w:rPr>
          <w:rFonts w:ascii="Times New Roman" w:hAnsi="Times New Roman" w:cs="Times New Roman"/>
          <w:sz w:val="24"/>
          <w:szCs w:val="24"/>
        </w:rPr>
      </w:pPr>
      <w:bookmarkStart w:id="51" w:name="_Toc27657435"/>
      <w:bookmarkStart w:id="52" w:name="_Toc23029905"/>
    </w:p>
    <w:p w14:paraId="743DA89A" w14:textId="51C806A1" w:rsidR="002B6902" w:rsidRPr="00191ACB" w:rsidRDefault="005530BA" w:rsidP="005530BA">
      <w:pPr>
        <w:pStyle w:val="Caption"/>
        <w:rPr>
          <w:color w:val="auto"/>
          <w:sz w:val="24"/>
          <w:szCs w:val="24"/>
        </w:rPr>
      </w:pPr>
      <w:bookmarkStart w:id="53" w:name="_Toc56583760"/>
      <w:bookmarkEnd w:id="51"/>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2</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7</w:t>
      </w:r>
      <w:r w:rsidR="00875942">
        <w:rPr>
          <w:sz w:val="24"/>
          <w:szCs w:val="24"/>
        </w:rPr>
        <w:fldChar w:fldCharType="end"/>
      </w:r>
      <w:r w:rsidRPr="00191ACB">
        <w:rPr>
          <w:sz w:val="24"/>
          <w:szCs w:val="24"/>
        </w:rPr>
        <w:t>:Mineral Production between 2017 and 2018</w:t>
      </w:r>
      <w:bookmarkEnd w:id="53"/>
    </w:p>
    <w:tbl>
      <w:tblPr>
        <w:tblW w:w="8930" w:type="dxa"/>
        <w:tblInd w:w="108" w:type="dxa"/>
        <w:tblCellMar>
          <w:left w:w="10" w:type="dxa"/>
          <w:right w:w="10" w:type="dxa"/>
        </w:tblCellMar>
        <w:tblLook w:val="0000" w:firstRow="0" w:lastRow="0" w:firstColumn="0" w:lastColumn="0" w:noHBand="0" w:noVBand="0"/>
      </w:tblPr>
      <w:tblGrid>
        <w:gridCol w:w="3402"/>
        <w:gridCol w:w="2835"/>
        <w:gridCol w:w="2693"/>
      </w:tblGrid>
      <w:tr w:rsidR="002B6902" w:rsidRPr="00191ACB" w14:paraId="158FFFF1" w14:textId="77777777" w:rsidTr="00B002CE">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bookmarkEnd w:id="52"/>
          <w:p w14:paraId="7C7A0D3C"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Mineral</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5AA936"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2017</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A648B"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2018</w:t>
            </w:r>
          </w:p>
        </w:tc>
      </w:tr>
      <w:tr w:rsidR="002B6902" w:rsidRPr="00191ACB" w14:paraId="5D7BE519" w14:textId="77777777" w:rsidTr="00B002CE">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5A730D"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Copper</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FCA3E6"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799 329.12 (Tonnes)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2870CA"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861 946.19 (Tonnes)</w:t>
            </w:r>
          </w:p>
        </w:tc>
      </w:tr>
      <w:tr w:rsidR="002B6902" w:rsidRPr="00191ACB" w14:paraId="2DE0F2DA" w14:textId="77777777" w:rsidTr="00B002CE">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10E99D"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Gold</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DF1DB4"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4,564.43 (Kg)</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834B00"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3,730.15 (Kg)</w:t>
            </w:r>
          </w:p>
        </w:tc>
      </w:tr>
      <w:tr w:rsidR="002B6902" w:rsidRPr="00191ACB" w14:paraId="33ED8F25" w14:textId="77777777" w:rsidTr="00B002CE">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16359"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Coal</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0DD121D"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208,607.56 (Tonnes)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0CD900"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344,717.15 (Tonnes)</w:t>
            </w:r>
          </w:p>
        </w:tc>
      </w:tr>
      <w:tr w:rsidR="002B6902" w:rsidRPr="00191ACB" w14:paraId="2154B024" w14:textId="77777777" w:rsidTr="00B002CE">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99567C"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Cobalt (From imports)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9796F0"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2,520.00 (Tonnes)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861807"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1,612.53 (Tonnes)</w:t>
            </w:r>
          </w:p>
        </w:tc>
      </w:tr>
      <w:tr w:rsidR="002B6902" w:rsidRPr="00191ACB" w14:paraId="324A6D29" w14:textId="77777777" w:rsidTr="00B002CE">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F6289F"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Cobalt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149E8"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1,114 (Tonnes)</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FD2392"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689.23 (Tonnes)</w:t>
            </w:r>
          </w:p>
        </w:tc>
      </w:tr>
      <w:tr w:rsidR="002B6902" w:rsidRPr="00191ACB" w14:paraId="45FD8DE3" w14:textId="77777777" w:rsidTr="00B002CE">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C4A7E8E"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Gemstone (Large scale mining)</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E6046D"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65,242.83 (Kg)</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448060"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18,868.56 (Kg)</w:t>
            </w:r>
          </w:p>
        </w:tc>
      </w:tr>
      <w:tr w:rsidR="002B6902" w:rsidRPr="00191ACB" w14:paraId="38807F8C" w14:textId="77777777" w:rsidTr="00B002CE">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39067C"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Gemstone Small scale mining – Amethyst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BA8A14"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594,462.00 (Kg)</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50029A"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546,812.58 (Kg)</w:t>
            </w:r>
          </w:p>
        </w:tc>
      </w:tr>
      <w:tr w:rsidR="002B6902" w:rsidRPr="00191ACB" w14:paraId="531B63B8" w14:textId="77777777" w:rsidTr="00B002CE">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AA0124"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Gemstone Small scale mining – Quartz</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FA8F67"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852,000.00 (Kg)</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5C4DA4"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345.57 (Kg)</w:t>
            </w:r>
          </w:p>
        </w:tc>
      </w:tr>
      <w:tr w:rsidR="002B6902" w:rsidRPr="00191ACB" w14:paraId="1C29AFC6" w14:textId="77777777" w:rsidTr="00B002CE">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CD6D32"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Gemstone Small scale mining – Garnet</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E311D2"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5.00 (Kg)</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2F8C64"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w:t>
            </w:r>
          </w:p>
        </w:tc>
      </w:tr>
      <w:tr w:rsidR="002B6902" w:rsidRPr="00191ACB" w14:paraId="73D324FE" w14:textId="77777777" w:rsidTr="00B002CE">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48F16F"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Gemstone Small scale mining – Aquamarine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62F323"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21.22 Kg)</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1647F3" w14:textId="77777777" w:rsidR="002B6902" w:rsidRPr="00191ACB" w:rsidRDefault="002B6902" w:rsidP="002B6902">
            <w:pPr>
              <w:suppressAutoHyphens/>
              <w:autoSpaceDN w:val="0"/>
              <w:spacing w:after="0" w:line="240" w:lineRule="auto"/>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w:t>
            </w:r>
          </w:p>
        </w:tc>
      </w:tr>
    </w:tbl>
    <w:p w14:paraId="5B8DD0BC" w14:textId="52B4804B" w:rsidR="00282675" w:rsidRPr="00191ACB" w:rsidRDefault="00CB396F" w:rsidP="00D50BC9">
      <w:pPr>
        <w:widowControl w:val="0"/>
        <w:autoSpaceDE w:val="0"/>
        <w:autoSpaceDN w:val="0"/>
        <w:adjustRightInd w:val="0"/>
        <w:spacing w:line="360"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Source: Ministry of Mines and Minera</w:t>
      </w:r>
      <w:r w:rsidR="003944C4" w:rsidRPr="00191ACB">
        <w:rPr>
          <w:rFonts w:ascii="Times New Roman" w:eastAsia="Calibri" w:hAnsi="Times New Roman" w:cs="Times New Roman"/>
          <w:color w:val="000000" w:themeColor="text1"/>
          <w:sz w:val="24"/>
          <w:szCs w:val="24"/>
          <w:lang w:val="en-GB"/>
        </w:rPr>
        <w:t>ls Development (MMMD), 2018</w:t>
      </w:r>
    </w:p>
    <w:p w14:paraId="73ED1CD8" w14:textId="23439D55" w:rsidR="00D20C11" w:rsidRPr="00191ACB" w:rsidRDefault="00EB3A24" w:rsidP="00A60A8C">
      <w:pPr>
        <w:spacing w:after="0" w:line="276" w:lineRule="auto"/>
        <w:jc w:val="both"/>
        <w:rPr>
          <w:rFonts w:ascii="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The Country continues to attract foreign direct investment in the mining sector.</w:t>
      </w:r>
      <w:r w:rsidR="005E4F7E" w:rsidRPr="00191ACB">
        <w:rPr>
          <w:rFonts w:ascii="Times New Roman" w:eastAsia="Calibri" w:hAnsi="Times New Roman" w:cs="Times New Roman"/>
          <w:color w:val="000000" w:themeColor="text1"/>
          <w:sz w:val="24"/>
          <w:szCs w:val="24"/>
          <w:lang w:val="en-GB"/>
        </w:rPr>
        <w:t xml:space="preserve"> </w:t>
      </w:r>
      <w:r w:rsidR="00DC076D" w:rsidRPr="00191ACB">
        <w:rPr>
          <w:rFonts w:ascii="Times New Roman" w:eastAsia="Calibri" w:hAnsi="Times New Roman" w:cs="Times New Roman"/>
          <w:color w:val="000000" w:themeColor="text1"/>
          <w:sz w:val="24"/>
          <w:szCs w:val="24"/>
          <w:lang w:val="en-GB"/>
        </w:rPr>
        <w:t>M</w:t>
      </w:r>
      <w:r w:rsidR="005E4F7E" w:rsidRPr="00191ACB">
        <w:rPr>
          <w:rFonts w:ascii="Times New Roman" w:hAnsi="Times New Roman" w:cs="Times New Roman"/>
          <w:color w:val="000000" w:themeColor="text1"/>
          <w:sz w:val="24"/>
          <w:szCs w:val="24"/>
        </w:rPr>
        <w:t xml:space="preserve">ining </w:t>
      </w:r>
      <w:r w:rsidR="00282675" w:rsidRPr="00191ACB">
        <w:rPr>
          <w:rFonts w:ascii="Times New Roman" w:hAnsi="Times New Roman" w:cs="Times New Roman"/>
          <w:color w:val="000000" w:themeColor="text1"/>
          <w:sz w:val="24"/>
          <w:szCs w:val="24"/>
        </w:rPr>
        <w:t xml:space="preserve">contribution to </w:t>
      </w:r>
      <w:r w:rsidR="005E4F7E" w:rsidRPr="00191ACB">
        <w:rPr>
          <w:rFonts w:ascii="Times New Roman" w:hAnsi="Times New Roman" w:cs="Times New Roman"/>
          <w:color w:val="000000" w:themeColor="text1"/>
          <w:sz w:val="24"/>
          <w:szCs w:val="24"/>
        </w:rPr>
        <w:t>investment</w:t>
      </w:r>
      <w:r w:rsidR="00282675" w:rsidRPr="00191ACB">
        <w:rPr>
          <w:rFonts w:ascii="Times New Roman" w:hAnsi="Times New Roman" w:cs="Times New Roman"/>
          <w:color w:val="000000" w:themeColor="text1"/>
          <w:sz w:val="24"/>
          <w:szCs w:val="24"/>
        </w:rPr>
        <w:t xml:space="preserve"> was 6.07 percent</w:t>
      </w:r>
      <w:r w:rsidR="009A2894" w:rsidRPr="00191ACB">
        <w:rPr>
          <w:rFonts w:ascii="Times New Roman" w:hAnsi="Times New Roman" w:cs="Times New Roman"/>
          <w:color w:val="000000" w:themeColor="text1"/>
          <w:sz w:val="24"/>
          <w:szCs w:val="24"/>
        </w:rPr>
        <w:t xml:space="preserve"> </w:t>
      </w:r>
      <w:r w:rsidR="00282675" w:rsidRPr="00191ACB">
        <w:rPr>
          <w:rFonts w:ascii="Times New Roman" w:hAnsi="Times New Roman" w:cs="Times New Roman"/>
          <w:color w:val="000000" w:themeColor="text1"/>
          <w:sz w:val="24"/>
          <w:szCs w:val="24"/>
        </w:rPr>
        <w:t>5.00 percent and 5.87 percent in 2016, 2017, and 2018</w:t>
      </w:r>
      <w:r w:rsidR="00597D1F" w:rsidRPr="00191ACB">
        <w:rPr>
          <w:rFonts w:ascii="Times New Roman" w:hAnsi="Times New Roman" w:cs="Times New Roman"/>
          <w:color w:val="000000" w:themeColor="text1"/>
          <w:sz w:val="24"/>
          <w:szCs w:val="24"/>
        </w:rPr>
        <w:t>,</w:t>
      </w:r>
      <w:r w:rsidR="00282675" w:rsidRPr="00191ACB">
        <w:rPr>
          <w:rFonts w:ascii="Times New Roman" w:hAnsi="Times New Roman" w:cs="Times New Roman"/>
          <w:color w:val="000000" w:themeColor="text1"/>
          <w:sz w:val="24"/>
          <w:szCs w:val="24"/>
        </w:rPr>
        <w:t xml:space="preserve"> respectively (Zambia EITI, 2020)</w:t>
      </w:r>
      <w:r w:rsidR="009A2894" w:rsidRPr="00191ACB">
        <w:rPr>
          <w:rFonts w:ascii="Times New Roman" w:hAnsi="Times New Roman" w:cs="Times New Roman"/>
          <w:color w:val="000000" w:themeColor="text1"/>
          <w:sz w:val="24"/>
          <w:szCs w:val="24"/>
        </w:rPr>
        <w:t xml:space="preserve"> (Table</w:t>
      </w:r>
      <w:r w:rsidR="005530BA" w:rsidRPr="00191ACB">
        <w:rPr>
          <w:rFonts w:ascii="Times New Roman" w:hAnsi="Times New Roman" w:cs="Times New Roman"/>
          <w:color w:val="000000" w:themeColor="text1"/>
          <w:sz w:val="24"/>
          <w:szCs w:val="24"/>
        </w:rPr>
        <w:t xml:space="preserve"> 2.8</w:t>
      </w:r>
      <w:r w:rsidR="009A2894" w:rsidRPr="00191ACB">
        <w:rPr>
          <w:rFonts w:ascii="Times New Roman" w:hAnsi="Times New Roman" w:cs="Times New Roman"/>
          <w:color w:val="000000" w:themeColor="text1"/>
          <w:sz w:val="24"/>
          <w:szCs w:val="24"/>
        </w:rPr>
        <w:t>)</w:t>
      </w:r>
      <w:r w:rsidR="00282675" w:rsidRPr="00191ACB">
        <w:rPr>
          <w:rFonts w:ascii="Times New Roman" w:hAnsi="Times New Roman" w:cs="Times New Roman"/>
          <w:color w:val="000000" w:themeColor="text1"/>
          <w:sz w:val="24"/>
          <w:szCs w:val="24"/>
        </w:rPr>
        <w:t>.</w:t>
      </w:r>
    </w:p>
    <w:p w14:paraId="7E23380D" w14:textId="77777777" w:rsidR="00D50BC9" w:rsidRPr="00191ACB" w:rsidRDefault="00D50BC9" w:rsidP="00D50BC9">
      <w:pPr>
        <w:spacing w:after="0"/>
        <w:jc w:val="both"/>
        <w:rPr>
          <w:rFonts w:ascii="Times New Roman" w:eastAsia="Calibri" w:hAnsi="Times New Roman" w:cs="Times New Roman"/>
          <w:color w:val="000000" w:themeColor="text1"/>
          <w:sz w:val="24"/>
          <w:szCs w:val="24"/>
          <w:highlight w:val="yellow"/>
          <w:lang w:val="en-GB"/>
        </w:rPr>
      </w:pPr>
    </w:p>
    <w:p w14:paraId="7BD0860B" w14:textId="57A44F4A" w:rsidR="005B5F1D" w:rsidRPr="00191ACB" w:rsidRDefault="005530BA" w:rsidP="005530BA">
      <w:pPr>
        <w:pStyle w:val="Caption"/>
        <w:rPr>
          <w:color w:val="000000" w:themeColor="text1"/>
          <w:sz w:val="24"/>
          <w:szCs w:val="24"/>
        </w:rPr>
      </w:pPr>
      <w:bookmarkStart w:id="54" w:name="_Toc56583761"/>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2</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8</w:t>
      </w:r>
      <w:r w:rsidR="00875942">
        <w:rPr>
          <w:sz w:val="24"/>
          <w:szCs w:val="24"/>
        </w:rPr>
        <w:fldChar w:fldCharType="end"/>
      </w:r>
      <w:r w:rsidRPr="00191ACB">
        <w:rPr>
          <w:sz w:val="24"/>
          <w:szCs w:val="24"/>
        </w:rPr>
        <w:t>:Foreign direct investments contribution of the mining sector</w:t>
      </w:r>
      <w:bookmarkEnd w:id="54"/>
    </w:p>
    <w:tbl>
      <w:tblPr>
        <w:tblW w:w="90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2"/>
        <w:gridCol w:w="1455"/>
        <w:gridCol w:w="1440"/>
        <w:gridCol w:w="1440"/>
      </w:tblGrid>
      <w:tr w:rsidR="00976442" w:rsidRPr="00191ACB" w14:paraId="01EE60EA" w14:textId="77777777" w:rsidTr="000C1EDE">
        <w:trPr>
          <w:trHeight w:val="300"/>
        </w:trPr>
        <w:tc>
          <w:tcPr>
            <w:tcW w:w="4732" w:type="dxa"/>
            <w:shd w:val="clear" w:color="auto" w:fill="auto"/>
            <w:noWrap/>
            <w:vAlign w:val="bottom"/>
            <w:hideMark/>
          </w:tcPr>
          <w:p w14:paraId="1649C111" w14:textId="77777777" w:rsidR="005B5F1D" w:rsidRPr="00191ACB" w:rsidRDefault="005B5F1D" w:rsidP="005B5F1D">
            <w:pPr>
              <w:spacing w:after="0" w:line="240" w:lineRule="auto"/>
              <w:rPr>
                <w:rFonts w:ascii="Times New Roman" w:eastAsia="Times New Roman" w:hAnsi="Times New Roman" w:cs="Times New Roman"/>
                <w:color w:val="000000" w:themeColor="text1"/>
                <w:sz w:val="24"/>
                <w:szCs w:val="24"/>
              </w:rPr>
            </w:pPr>
          </w:p>
        </w:tc>
        <w:tc>
          <w:tcPr>
            <w:tcW w:w="1455" w:type="dxa"/>
            <w:shd w:val="clear" w:color="auto" w:fill="auto"/>
            <w:noWrap/>
            <w:vAlign w:val="bottom"/>
            <w:hideMark/>
          </w:tcPr>
          <w:p w14:paraId="452DCDB5" w14:textId="218BE60E" w:rsidR="00285381" w:rsidRPr="00191ACB" w:rsidRDefault="005B5F1D" w:rsidP="00285381">
            <w:pPr>
              <w:spacing w:after="0"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2018</w:t>
            </w:r>
          </w:p>
          <w:p w14:paraId="26807395" w14:textId="1F63728A" w:rsidR="005B5F1D" w:rsidRPr="00191ACB" w:rsidRDefault="005B5F1D" w:rsidP="00285381">
            <w:pPr>
              <w:spacing w:after="0"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(US $ million)</w:t>
            </w:r>
          </w:p>
        </w:tc>
        <w:tc>
          <w:tcPr>
            <w:tcW w:w="1440" w:type="dxa"/>
            <w:shd w:val="clear" w:color="auto" w:fill="auto"/>
            <w:noWrap/>
            <w:vAlign w:val="bottom"/>
            <w:hideMark/>
          </w:tcPr>
          <w:p w14:paraId="46A2256C" w14:textId="0F057D8E" w:rsidR="00285381" w:rsidRPr="00191ACB" w:rsidRDefault="005B5F1D" w:rsidP="00285381">
            <w:pPr>
              <w:spacing w:after="0"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2017</w:t>
            </w:r>
          </w:p>
          <w:p w14:paraId="28DEDCC5" w14:textId="3B805DFA" w:rsidR="005B5F1D" w:rsidRPr="00191ACB" w:rsidRDefault="005B5F1D" w:rsidP="00285381">
            <w:pPr>
              <w:spacing w:after="0"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(US $ million)</w:t>
            </w:r>
          </w:p>
        </w:tc>
        <w:tc>
          <w:tcPr>
            <w:tcW w:w="1440" w:type="dxa"/>
            <w:shd w:val="clear" w:color="auto" w:fill="auto"/>
            <w:noWrap/>
            <w:vAlign w:val="bottom"/>
            <w:hideMark/>
          </w:tcPr>
          <w:p w14:paraId="107D84F2" w14:textId="60AE7B96" w:rsidR="00285381" w:rsidRPr="00191ACB" w:rsidRDefault="005B5F1D" w:rsidP="00285381">
            <w:pPr>
              <w:spacing w:after="0"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2016</w:t>
            </w:r>
          </w:p>
          <w:p w14:paraId="08C8298B" w14:textId="6CE7B7A7" w:rsidR="005B5F1D" w:rsidRPr="00191ACB" w:rsidRDefault="005B5F1D" w:rsidP="00285381">
            <w:pPr>
              <w:spacing w:after="0"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(US $ Million)</w:t>
            </w:r>
          </w:p>
        </w:tc>
      </w:tr>
      <w:tr w:rsidR="00976442" w:rsidRPr="00191ACB" w14:paraId="3F7C9C05" w14:textId="77777777" w:rsidTr="000C1EDE">
        <w:trPr>
          <w:trHeight w:val="300"/>
        </w:trPr>
        <w:tc>
          <w:tcPr>
            <w:tcW w:w="4732" w:type="dxa"/>
            <w:shd w:val="clear" w:color="auto" w:fill="auto"/>
            <w:noWrap/>
            <w:vAlign w:val="bottom"/>
            <w:hideMark/>
          </w:tcPr>
          <w:p w14:paraId="310892F4" w14:textId="77777777" w:rsidR="005B5F1D" w:rsidRPr="00191ACB" w:rsidRDefault="005B5F1D" w:rsidP="005B5F1D">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Investment pledges from mining sector</w:t>
            </w:r>
          </w:p>
        </w:tc>
        <w:tc>
          <w:tcPr>
            <w:tcW w:w="1455" w:type="dxa"/>
            <w:shd w:val="clear" w:color="auto" w:fill="auto"/>
            <w:noWrap/>
            <w:vAlign w:val="bottom"/>
            <w:hideMark/>
          </w:tcPr>
          <w:p w14:paraId="30FA58FC" w14:textId="77777777" w:rsidR="005B5F1D" w:rsidRPr="00191ACB" w:rsidRDefault="005B5F1D" w:rsidP="005B5F1D">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283</w:t>
            </w:r>
          </w:p>
        </w:tc>
        <w:tc>
          <w:tcPr>
            <w:tcW w:w="1440" w:type="dxa"/>
            <w:shd w:val="clear" w:color="auto" w:fill="auto"/>
            <w:noWrap/>
            <w:vAlign w:val="bottom"/>
            <w:hideMark/>
          </w:tcPr>
          <w:p w14:paraId="0F348AD3" w14:textId="77777777" w:rsidR="005B5F1D" w:rsidRPr="00191ACB" w:rsidRDefault="005B5F1D" w:rsidP="005B5F1D">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219</w:t>
            </w:r>
          </w:p>
        </w:tc>
        <w:tc>
          <w:tcPr>
            <w:tcW w:w="1440" w:type="dxa"/>
            <w:shd w:val="clear" w:color="auto" w:fill="auto"/>
            <w:noWrap/>
            <w:vAlign w:val="bottom"/>
            <w:hideMark/>
          </w:tcPr>
          <w:p w14:paraId="6DBE7ADF" w14:textId="77777777" w:rsidR="005B5F1D" w:rsidRPr="00191ACB" w:rsidRDefault="005B5F1D" w:rsidP="005B5F1D">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189</w:t>
            </w:r>
          </w:p>
        </w:tc>
      </w:tr>
      <w:tr w:rsidR="00976442" w:rsidRPr="00191ACB" w14:paraId="0837BD60" w14:textId="77777777" w:rsidTr="000C1EDE">
        <w:trPr>
          <w:trHeight w:val="300"/>
        </w:trPr>
        <w:tc>
          <w:tcPr>
            <w:tcW w:w="4732" w:type="dxa"/>
            <w:shd w:val="clear" w:color="auto" w:fill="auto"/>
            <w:noWrap/>
            <w:vAlign w:val="bottom"/>
            <w:hideMark/>
          </w:tcPr>
          <w:p w14:paraId="2A7A51F2" w14:textId="77777777" w:rsidR="005B5F1D" w:rsidRPr="00191ACB" w:rsidRDefault="005B5F1D" w:rsidP="005B5F1D">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Total of Sectors</w:t>
            </w:r>
          </w:p>
        </w:tc>
        <w:tc>
          <w:tcPr>
            <w:tcW w:w="1455" w:type="dxa"/>
            <w:shd w:val="clear" w:color="auto" w:fill="auto"/>
            <w:noWrap/>
            <w:vAlign w:val="bottom"/>
            <w:hideMark/>
          </w:tcPr>
          <w:p w14:paraId="31A67A7F" w14:textId="77777777" w:rsidR="005B5F1D" w:rsidRPr="00191ACB" w:rsidRDefault="005B5F1D" w:rsidP="005B5F1D">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4,823</w:t>
            </w:r>
          </w:p>
        </w:tc>
        <w:tc>
          <w:tcPr>
            <w:tcW w:w="1440" w:type="dxa"/>
            <w:shd w:val="clear" w:color="auto" w:fill="auto"/>
            <w:noWrap/>
            <w:vAlign w:val="bottom"/>
            <w:hideMark/>
          </w:tcPr>
          <w:p w14:paraId="5AB61BD9" w14:textId="77777777" w:rsidR="005B5F1D" w:rsidRPr="00191ACB" w:rsidRDefault="005B5F1D" w:rsidP="005B5F1D">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4,378</w:t>
            </w:r>
          </w:p>
        </w:tc>
        <w:tc>
          <w:tcPr>
            <w:tcW w:w="1440" w:type="dxa"/>
            <w:shd w:val="clear" w:color="auto" w:fill="auto"/>
            <w:noWrap/>
            <w:vAlign w:val="bottom"/>
            <w:hideMark/>
          </w:tcPr>
          <w:p w14:paraId="17573923" w14:textId="77777777" w:rsidR="005B5F1D" w:rsidRPr="00191ACB" w:rsidRDefault="005B5F1D" w:rsidP="005B5F1D">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3,112</w:t>
            </w:r>
          </w:p>
        </w:tc>
      </w:tr>
      <w:tr w:rsidR="00976442" w:rsidRPr="00191ACB" w14:paraId="223515AD" w14:textId="77777777" w:rsidTr="000C1EDE">
        <w:trPr>
          <w:trHeight w:val="300"/>
        </w:trPr>
        <w:tc>
          <w:tcPr>
            <w:tcW w:w="4732" w:type="dxa"/>
            <w:shd w:val="clear" w:color="auto" w:fill="auto"/>
            <w:noWrap/>
            <w:vAlign w:val="bottom"/>
            <w:hideMark/>
          </w:tcPr>
          <w:p w14:paraId="5D68AE31" w14:textId="77777777" w:rsidR="005B5F1D" w:rsidRPr="00191ACB" w:rsidRDefault="005B5F1D" w:rsidP="005B5F1D">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contribution of mining sector to the investment</w:t>
            </w:r>
          </w:p>
        </w:tc>
        <w:tc>
          <w:tcPr>
            <w:tcW w:w="1455" w:type="dxa"/>
            <w:shd w:val="clear" w:color="auto" w:fill="auto"/>
            <w:noWrap/>
            <w:vAlign w:val="bottom"/>
            <w:hideMark/>
          </w:tcPr>
          <w:p w14:paraId="13EF6EFC" w14:textId="77777777" w:rsidR="005B5F1D" w:rsidRPr="00191ACB" w:rsidRDefault="005B5F1D" w:rsidP="005B5F1D">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5.87%</w:t>
            </w:r>
          </w:p>
        </w:tc>
        <w:tc>
          <w:tcPr>
            <w:tcW w:w="1440" w:type="dxa"/>
            <w:shd w:val="clear" w:color="auto" w:fill="auto"/>
            <w:noWrap/>
            <w:vAlign w:val="bottom"/>
            <w:hideMark/>
          </w:tcPr>
          <w:p w14:paraId="63818393" w14:textId="77777777" w:rsidR="005B5F1D" w:rsidRPr="00191ACB" w:rsidRDefault="005B5F1D" w:rsidP="005B5F1D">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5.00%</w:t>
            </w:r>
          </w:p>
        </w:tc>
        <w:tc>
          <w:tcPr>
            <w:tcW w:w="1440" w:type="dxa"/>
            <w:shd w:val="clear" w:color="auto" w:fill="auto"/>
            <w:noWrap/>
            <w:vAlign w:val="bottom"/>
            <w:hideMark/>
          </w:tcPr>
          <w:p w14:paraId="7AA189EC" w14:textId="77777777" w:rsidR="005B5F1D" w:rsidRPr="00191ACB" w:rsidRDefault="005B5F1D" w:rsidP="005B5F1D">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6.07%</w:t>
            </w:r>
          </w:p>
        </w:tc>
      </w:tr>
    </w:tbl>
    <w:p w14:paraId="004D1B3A" w14:textId="14625231" w:rsidR="005B5F1D" w:rsidRPr="00191ACB" w:rsidRDefault="00DC076D" w:rsidP="00EB3A24">
      <w:pPr>
        <w:widowControl w:val="0"/>
        <w:autoSpaceDE w:val="0"/>
        <w:autoSpaceDN w:val="0"/>
        <w:adjustRightInd w:val="0"/>
        <w:spacing w:line="360" w:lineRule="auto"/>
        <w:jc w:val="both"/>
        <w:rPr>
          <w:rFonts w:ascii="Times New Roman" w:eastAsia="Calibri" w:hAnsi="Times New Roman" w:cs="Times New Roman"/>
          <w:b/>
          <w:bCs/>
          <w:color w:val="000000" w:themeColor="text1"/>
          <w:sz w:val="24"/>
          <w:szCs w:val="24"/>
          <w:lang w:val="en-GB"/>
        </w:rPr>
      </w:pPr>
      <w:r w:rsidRPr="00191ACB">
        <w:rPr>
          <w:rFonts w:ascii="Times New Roman" w:eastAsia="Calibri" w:hAnsi="Times New Roman" w:cs="Times New Roman"/>
          <w:b/>
          <w:bCs/>
          <w:color w:val="000000" w:themeColor="text1"/>
          <w:sz w:val="24"/>
          <w:szCs w:val="24"/>
          <w:lang w:val="en-GB"/>
        </w:rPr>
        <w:t>Source: Zambia EITI, 2020</w:t>
      </w:r>
    </w:p>
    <w:p w14:paraId="5F9E71F3" w14:textId="6C68FC3D" w:rsidR="00EB3A24" w:rsidRPr="002B1C4A" w:rsidRDefault="00EB3A24" w:rsidP="002B1C4A">
      <w:pPr>
        <w:pStyle w:val="Heading3"/>
        <w:numPr>
          <w:ilvl w:val="2"/>
          <w:numId w:val="36"/>
        </w:numPr>
        <w:ind w:left="851" w:hanging="851"/>
        <w:rPr>
          <w:rFonts w:cs="Times New Roman"/>
          <w:bCs/>
          <w:color w:val="000000" w:themeColor="text1"/>
          <w:szCs w:val="24"/>
        </w:rPr>
      </w:pPr>
      <w:bookmarkStart w:id="55" w:name="_Toc419428300"/>
      <w:bookmarkStart w:id="56" w:name="_Toc57902806"/>
      <w:r w:rsidRPr="002B1C4A">
        <w:rPr>
          <w:rFonts w:cs="Times New Roman"/>
          <w:bCs/>
          <w:color w:val="000000" w:themeColor="text1"/>
          <w:szCs w:val="24"/>
        </w:rPr>
        <w:t>Transport</w:t>
      </w:r>
      <w:bookmarkEnd w:id="55"/>
      <w:bookmarkEnd w:id="56"/>
    </w:p>
    <w:p w14:paraId="744B6A96" w14:textId="661CF3BF" w:rsidR="00475F37" w:rsidRPr="00191ACB" w:rsidRDefault="00EB3A24" w:rsidP="001761DF">
      <w:pPr>
        <w:widowControl w:val="0"/>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 xml:space="preserve">The main modes of transport in Zambia are </w:t>
      </w:r>
      <w:r w:rsidR="00DC076D" w:rsidRPr="00191ACB">
        <w:rPr>
          <w:rFonts w:ascii="Times New Roman" w:eastAsia="Calibri" w:hAnsi="Times New Roman" w:cs="Times New Roman"/>
          <w:color w:val="000000" w:themeColor="text1"/>
          <w:sz w:val="24"/>
          <w:szCs w:val="24"/>
          <w:lang w:val="en-GB"/>
        </w:rPr>
        <w:t xml:space="preserve">road, </w:t>
      </w:r>
      <w:r w:rsidRPr="00191ACB">
        <w:rPr>
          <w:rFonts w:ascii="Times New Roman" w:eastAsia="Calibri" w:hAnsi="Times New Roman" w:cs="Times New Roman"/>
          <w:color w:val="000000" w:themeColor="text1"/>
          <w:sz w:val="24"/>
          <w:szCs w:val="24"/>
          <w:lang w:val="en-GB"/>
        </w:rPr>
        <w:t xml:space="preserve">rail, air and inland waterways. </w:t>
      </w:r>
      <w:r w:rsidR="00475F37" w:rsidRPr="00191ACB">
        <w:rPr>
          <w:rFonts w:ascii="Times New Roman" w:eastAsia="Calibri" w:hAnsi="Times New Roman" w:cs="Times New Roman"/>
          <w:color w:val="000000" w:themeColor="text1"/>
          <w:sz w:val="24"/>
          <w:szCs w:val="24"/>
          <w:lang w:val="en-GB"/>
        </w:rPr>
        <w:t xml:space="preserve">The transport sector </w:t>
      </w:r>
      <w:r w:rsidRPr="00191ACB">
        <w:rPr>
          <w:rFonts w:ascii="Times New Roman" w:eastAsia="Calibri" w:hAnsi="Times New Roman" w:cs="Times New Roman"/>
          <w:color w:val="000000" w:themeColor="text1"/>
          <w:sz w:val="24"/>
          <w:szCs w:val="24"/>
          <w:lang w:val="en-GB"/>
        </w:rPr>
        <w:t xml:space="preserve">facilitates growth in agriculture, trade and commerce, mining, tourism and in delivery of social services such as education and health. </w:t>
      </w:r>
      <w:r w:rsidR="00973A0B" w:rsidRPr="00191ACB">
        <w:rPr>
          <w:rFonts w:ascii="Times New Roman" w:eastAsia="Calibri" w:hAnsi="Times New Roman" w:cs="Times New Roman"/>
          <w:color w:val="000000" w:themeColor="text1"/>
          <w:sz w:val="24"/>
          <w:szCs w:val="24"/>
          <w:lang w:val="en-GB"/>
        </w:rPr>
        <w:t>Road freight transport has a dominant market position with more than 90% of the market share in international trade. This leads to high overall price level of transport services, costs of road maintenance, environmental degradation and road safety</w:t>
      </w:r>
      <w:r w:rsidR="00265B09" w:rsidRPr="00191ACB">
        <w:rPr>
          <w:rFonts w:ascii="Times New Roman" w:eastAsia="Calibri" w:hAnsi="Times New Roman" w:cs="Times New Roman"/>
          <w:color w:val="000000" w:themeColor="text1"/>
          <w:sz w:val="24"/>
          <w:szCs w:val="24"/>
          <w:lang w:val="en-GB"/>
        </w:rPr>
        <w:t xml:space="preserve"> </w:t>
      </w:r>
      <w:bookmarkStart w:id="57" w:name="_Hlk47975826"/>
      <w:r w:rsidR="00265B09" w:rsidRPr="00191ACB">
        <w:rPr>
          <w:rFonts w:ascii="Times New Roman" w:eastAsia="Calibri" w:hAnsi="Times New Roman" w:cs="Times New Roman"/>
          <w:color w:val="000000" w:themeColor="text1"/>
          <w:sz w:val="24"/>
          <w:szCs w:val="24"/>
          <w:lang w:val="en-GB"/>
        </w:rPr>
        <w:t>(MTC, 2019</w:t>
      </w:r>
      <w:bookmarkEnd w:id="57"/>
      <w:r w:rsidR="00265B09" w:rsidRPr="00191ACB">
        <w:rPr>
          <w:rFonts w:ascii="Times New Roman" w:eastAsia="Calibri" w:hAnsi="Times New Roman" w:cs="Times New Roman"/>
          <w:color w:val="000000" w:themeColor="text1"/>
          <w:sz w:val="24"/>
          <w:szCs w:val="24"/>
          <w:lang w:val="en-GB"/>
        </w:rPr>
        <w:t>)</w:t>
      </w:r>
      <w:r w:rsidR="00973A0B" w:rsidRPr="00191ACB">
        <w:rPr>
          <w:rFonts w:ascii="Times New Roman" w:eastAsia="Calibri" w:hAnsi="Times New Roman" w:cs="Times New Roman"/>
          <w:color w:val="000000" w:themeColor="text1"/>
          <w:sz w:val="24"/>
          <w:szCs w:val="24"/>
          <w:lang w:val="en-GB"/>
        </w:rPr>
        <w:t xml:space="preserve">. The number of motor vehicles were 337,513; 696474; and782,136 in 2010, 2016 and 2018 </w:t>
      </w:r>
      <w:r w:rsidR="00265B09" w:rsidRPr="00191ACB">
        <w:rPr>
          <w:rFonts w:ascii="Times New Roman" w:eastAsia="Calibri" w:hAnsi="Times New Roman" w:cs="Times New Roman"/>
          <w:color w:val="000000" w:themeColor="text1"/>
          <w:sz w:val="24"/>
          <w:szCs w:val="24"/>
          <w:lang w:val="en-GB"/>
        </w:rPr>
        <w:t xml:space="preserve">respectively (RTSA, 2019). </w:t>
      </w:r>
      <w:r w:rsidR="00973A0B" w:rsidRPr="00191ACB">
        <w:rPr>
          <w:rFonts w:ascii="Times New Roman" w:eastAsia="Calibri" w:hAnsi="Times New Roman" w:cs="Times New Roman"/>
          <w:color w:val="000000" w:themeColor="text1"/>
          <w:sz w:val="24"/>
          <w:szCs w:val="24"/>
          <w:lang w:val="en-GB"/>
        </w:rPr>
        <w:t>Currently, railway freight services in Zambia do not fully meet the demand by the industry with respect to capacity, lead times and reliability as required by the industry. As a result, the performance of both Z</w:t>
      </w:r>
      <w:r w:rsidR="009A2894" w:rsidRPr="00191ACB">
        <w:rPr>
          <w:rFonts w:ascii="Times New Roman" w:eastAsia="Calibri" w:hAnsi="Times New Roman" w:cs="Times New Roman"/>
          <w:color w:val="000000" w:themeColor="text1"/>
          <w:sz w:val="24"/>
          <w:szCs w:val="24"/>
          <w:lang w:val="en-GB"/>
        </w:rPr>
        <w:t xml:space="preserve">ambia </w:t>
      </w:r>
      <w:r w:rsidR="00973A0B" w:rsidRPr="00191ACB">
        <w:rPr>
          <w:rFonts w:ascii="Times New Roman" w:eastAsia="Calibri" w:hAnsi="Times New Roman" w:cs="Times New Roman"/>
          <w:color w:val="000000" w:themeColor="text1"/>
          <w:sz w:val="24"/>
          <w:szCs w:val="24"/>
          <w:lang w:val="en-GB"/>
        </w:rPr>
        <w:t>R</w:t>
      </w:r>
      <w:r w:rsidR="009A2894" w:rsidRPr="00191ACB">
        <w:rPr>
          <w:rFonts w:ascii="Times New Roman" w:eastAsia="Calibri" w:hAnsi="Times New Roman" w:cs="Times New Roman"/>
          <w:color w:val="000000" w:themeColor="text1"/>
          <w:sz w:val="24"/>
          <w:szCs w:val="24"/>
          <w:lang w:val="en-GB"/>
        </w:rPr>
        <w:t xml:space="preserve">ailways </w:t>
      </w:r>
      <w:r w:rsidR="00973A0B" w:rsidRPr="00191ACB">
        <w:rPr>
          <w:rFonts w:ascii="Times New Roman" w:eastAsia="Calibri" w:hAnsi="Times New Roman" w:cs="Times New Roman"/>
          <w:color w:val="000000" w:themeColor="text1"/>
          <w:sz w:val="24"/>
          <w:szCs w:val="24"/>
          <w:lang w:val="en-GB"/>
        </w:rPr>
        <w:t>L</w:t>
      </w:r>
      <w:r w:rsidR="009A2894" w:rsidRPr="00191ACB">
        <w:rPr>
          <w:rFonts w:ascii="Times New Roman" w:eastAsia="Calibri" w:hAnsi="Times New Roman" w:cs="Times New Roman"/>
          <w:color w:val="000000" w:themeColor="text1"/>
          <w:sz w:val="24"/>
          <w:szCs w:val="24"/>
          <w:lang w:val="en-GB"/>
        </w:rPr>
        <w:t>imited (ZRL)</w:t>
      </w:r>
      <w:r w:rsidR="00973A0B" w:rsidRPr="00191ACB">
        <w:rPr>
          <w:rFonts w:ascii="Times New Roman" w:eastAsia="Calibri" w:hAnsi="Times New Roman" w:cs="Times New Roman"/>
          <w:color w:val="000000" w:themeColor="text1"/>
          <w:sz w:val="24"/>
          <w:szCs w:val="24"/>
          <w:lang w:val="en-GB"/>
        </w:rPr>
        <w:t xml:space="preserve"> and T</w:t>
      </w:r>
      <w:r w:rsidR="009A2894" w:rsidRPr="00191ACB">
        <w:rPr>
          <w:rFonts w:ascii="Times New Roman" w:eastAsia="Calibri" w:hAnsi="Times New Roman" w:cs="Times New Roman"/>
          <w:color w:val="000000" w:themeColor="text1"/>
          <w:sz w:val="24"/>
          <w:szCs w:val="24"/>
          <w:lang w:val="en-GB"/>
        </w:rPr>
        <w:t>anzania-Zambia Railways (T</w:t>
      </w:r>
      <w:r w:rsidR="00973A0B" w:rsidRPr="00191ACB">
        <w:rPr>
          <w:rFonts w:ascii="Times New Roman" w:eastAsia="Calibri" w:hAnsi="Times New Roman" w:cs="Times New Roman"/>
          <w:color w:val="000000" w:themeColor="text1"/>
          <w:sz w:val="24"/>
          <w:szCs w:val="24"/>
          <w:lang w:val="en-GB"/>
        </w:rPr>
        <w:t>AZARA</w:t>
      </w:r>
      <w:r w:rsidR="009A2894" w:rsidRPr="00191ACB">
        <w:rPr>
          <w:rFonts w:ascii="Times New Roman" w:eastAsia="Calibri" w:hAnsi="Times New Roman" w:cs="Times New Roman"/>
          <w:color w:val="000000" w:themeColor="text1"/>
          <w:sz w:val="24"/>
          <w:szCs w:val="24"/>
          <w:lang w:val="en-GB"/>
        </w:rPr>
        <w:t>)</w:t>
      </w:r>
      <w:r w:rsidR="00973A0B" w:rsidRPr="00191ACB">
        <w:rPr>
          <w:rFonts w:ascii="Times New Roman" w:eastAsia="Calibri" w:hAnsi="Times New Roman" w:cs="Times New Roman"/>
          <w:color w:val="000000" w:themeColor="text1"/>
          <w:sz w:val="24"/>
          <w:szCs w:val="24"/>
          <w:lang w:val="en-GB"/>
        </w:rPr>
        <w:t xml:space="preserve"> has decreased. TAZARA’s performance has decreased from 0.5 million tonnes in 2011 to 0.09 million tons in 2014 whereas that of ZRL has dropped from 1.8 million tonnes in 2003 to 0.96 million tonnes in 2014. Both ZRL and TAZARA t</w:t>
      </w:r>
      <w:r w:rsidR="009A2894" w:rsidRPr="00191ACB">
        <w:rPr>
          <w:rFonts w:ascii="Times New Roman" w:eastAsia="Calibri" w:hAnsi="Times New Roman" w:cs="Times New Roman"/>
          <w:color w:val="000000" w:themeColor="text1"/>
          <w:sz w:val="24"/>
          <w:szCs w:val="24"/>
          <w:lang w:val="en-GB"/>
        </w:rPr>
        <w:t>ake up a combined market share of</w:t>
      </w:r>
      <w:r w:rsidR="00973A0B" w:rsidRPr="00191ACB">
        <w:rPr>
          <w:rFonts w:ascii="Times New Roman" w:eastAsia="Calibri" w:hAnsi="Times New Roman" w:cs="Times New Roman"/>
          <w:color w:val="000000" w:themeColor="text1"/>
          <w:sz w:val="24"/>
          <w:szCs w:val="24"/>
          <w:lang w:val="en-GB"/>
        </w:rPr>
        <w:t xml:space="preserve"> 8% for freight and 7% for passengers. </w:t>
      </w:r>
    </w:p>
    <w:p w14:paraId="7FBFD008" w14:textId="77777777" w:rsidR="001977DD" w:rsidRPr="00191ACB" w:rsidRDefault="001977DD" w:rsidP="005E626A">
      <w:pPr>
        <w:widowControl w:val="0"/>
        <w:autoSpaceDE w:val="0"/>
        <w:autoSpaceDN w:val="0"/>
        <w:adjustRightInd w:val="0"/>
        <w:spacing w:after="120" w:line="240" w:lineRule="auto"/>
        <w:jc w:val="both"/>
        <w:rPr>
          <w:rFonts w:ascii="Times New Roman" w:eastAsia="Calibri" w:hAnsi="Times New Roman" w:cs="Times New Roman"/>
          <w:color w:val="000000" w:themeColor="text1"/>
          <w:sz w:val="24"/>
          <w:szCs w:val="24"/>
          <w:lang w:val="en-GB"/>
        </w:rPr>
      </w:pPr>
    </w:p>
    <w:p w14:paraId="29192F9B" w14:textId="12E0A42A" w:rsidR="00EB3A24" w:rsidRPr="00191ACB" w:rsidRDefault="00EB3A24" w:rsidP="002B1C4A">
      <w:pPr>
        <w:pStyle w:val="Heading3"/>
        <w:numPr>
          <w:ilvl w:val="2"/>
          <w:numId w:val="36"/>
        </w:numPr>
        <w:ind w:left="851" w:hanging="851"/>
        <w:rPr>
          <w:rFonts w:cs="Times New Roman"/>
          <w:b w:val="0"/>
          <w:color w:val="000000" w:themeColor="text1"/>
          <w:szCs w:val="24"/>
        </w:rPr>
      </w:pPr>
      <w:bookmarkStart w:id="58" w:name="_Toc419428301"/>
      <w:bookmarkStart w:id="59" w:name="_Toc57902807"/>
      <w:r w:rsidRPr="002B1C4A">
        <w:rPr>
          <w:rFonts w:cs="Times New Roman"/>
          <w:bCs/>
          <w:color w:val="000000" w:themeColor="text1"/>
          <w:szCs w:val="24"/>
        </w:rPr>
        <w:t>Construction</w:t>
      </w:r>
      <w:bookmarkEnd w:id="58"/>
      <w:bookmarkEnd w:id="59"/>
    </w:p>
    <w:p w14:paraId="5439924C" w14:textId="00D8D4E4" w:rsidR="009A2EB6" w:rsidRPr="00191ACB" w:rsidRDefault="00043FCE" w:rsidP="001761DF">
      <w:pPr>
        <w:widowControl w:val="0"/>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 xml:space="preserve">Construction sector in Zambia is led by demand </w:t>
      </w:r>
      <w:r w:rsidR="00D663E5" w:rsidRPr="00191ACB">
        <w:rPr>
          <w:rFonts w:ascii="Times New Roman" w:eastAsia="Calibri" w:hAnsi="Times New Roman" w:cs="Times New Roman"/>
          <w:color w:val="000000" w:themeColor="text1"/>
          <w:sz w:val="24"/>
          <w:szCs w:val="24"/>
          <w:lang w:val="en-GB"/>
        </w:rPr>
        <w:t>from</w:t>
      </w:r>
      <w:r w:rsidRPr="00191ACB">
        <w:rPr>
          <w:rFonts w:ascii="Times New Roman" w:eastAsia="Calibri" w:hAnsi="Times New Roman" w:cs="Times New Roman"/>
          <w:color w:val="000000" w:themeColor="text1"/>
          <w:sz w:val="24"/>
          <w:szCs w:val="24"/>
          <w:lang w:val="en-GB"/>
        </w:rPr>
        <w:t xml:space="preserve"> the mining industry, shopping centers, residential buildings</w:t>
      </w:r>
      <w:r w:rsidR="003B535D" w:rsidRPr="00191ACB">
        <w:rPr>
          <w:rFonts w:ascii="Times New Roman" w:eastAsia="Calibri" w:hAnsi="Times New Roman" w:cs="Times New Roman"/>
          <w:color w:val="000000" w:themeColor="text1"/>
          <w:sz w:val="24"/>
          <w:szCs w:val="24"/>
          <w:lang w:val="en-GB"/>
        </w:rPr>
        <w:t>,</w:t>
      </w:r>
      <w:r w:rsidRPr="00191ACB">
        <w:rPr>
          <w:rFonts w:ascii="Times New Roman" w:eastAsia="Calibri" w:hAnsi="Times New Roman" w:cs="Times New Roman"/>
          <w:color w:val="000000" w:themeColor="text1"/>
          <w:sz w:val="24"/>
          <w:szCs w:val="24"/>
          <w:lang w:val="en-GB"/>
        </w:rPr>
        <w:t xml:space="preserve"> offices</w:t>
      </w:r>
      <w:r w:rsidR="003B535D" w:rsidRPr="00191ACB">
        <w:rPr>
          <w:rFonts w:ascii="Times New Roman" w:eastAsia="Calibri" w:hAnsi="Times New Roman" w:cs="Times New Roman"/>
          <w:color w:val="000000" w:themeColor="text1"/>
          <w:sz w:val="24"/>
          <w:szCs w:val="24"/>
          <w:lang w:val="en-GB"/>
        </w:rPr>
        <w:t xml:space="preserve"> and other infrastructure </w:t>
      </w:r>
      <w:r w:rsidR="00D663E5" w:rsidRPr="00191ACB">
        <w:rPr>
          <w:rFonts w:ascii="Times New Roman" w:eastAsia="Calibri" w:hAnsi="Times New Roman" w:cs="Times New Roman"/>
          <w:color w:val="000000" w:themeColor="text1"/>
          <w:sz w:val="24"/>
          <w:szCs w:val="24"/>
          <w:lang w:val="en-GB"/>
        </w:rPr>
        <w:t xml:space="preserve">development </w:t>
      </w:r>
      <w:r w:rsidR="003B535D" w:rsidRPr="00191ACB">
        <w:rPr>
          <w:rFonts w:ascii="Times New Roman" w:eastAsia="Calibri" w:hAnsi="Times New Roman" w:cs="Times New Roman"/>
          <w:color w:val="000000" w:themeColor="text1"/>
          <w:sz w:val="24"/>
          <w:szCs w:val="24"/>
          <w:lang w:val="en-GB"/>
        </w:rPr>
        <w:t xml:space="preserve">such as roads and </w:t>
      </w:r>
      <w:r w:rsidR="00D663E5" w:rsidRPr="00191ACB">
        <w:rPr>
          <w:rFonts w:ascii="Times New Roman" w:eastAsia="Calibri" w:hAnsi="Times New Roman" w:cs="Times New Roman"/>
          <w:color w:val="000000" w:themeColor="text1"/>
          <w:sz w:val="24"/>
          <w:szCs w:val="24"/>
          <w:lang w:val="en-GB"/>
        </w:rPr>
        <w:t>harbours</w:t>
      </w:r>
      <w:r w:rsidRPr="00191ACB">
        <w:rPr>
          <w:rFonts w:ascii="Times New Roman" w:eastAsia="Calibri" w:hAnsi="Times New Roman" w:cs="Times New Roman"/>
          <w:color w:val="000000" w:themeColor="text1"/>
          <w:sz w:val="24"/>
          <w:szCs w:val="24"/>
          <w:lang w:val="en-GB"/>
        </w:rPr>
        <w:t>.</w:t>
      </w:r>
      <w:r w:rsidR="00801AC3" w:rsidRPr="00191ACB">
        <w:rPr>
          <w:rFonts w:ascii="Times New Roman" w:eastAsia="Calibri" w:hAnsi="Times New Roman" w:cs="Times New Roman"/>
          <w:color w:val="000000" w:themeColor="text1"/>
          <w:sz w:val="24"/>
          <w:szCs w:val="24"/>
          <w:lang w:val="en-GB"/>
        </w:rPr>
        <w:t xml:space="preserve"> Such demands</w:t>
      </w:r>
      <w:r w:rsidRPr="00191ACB">
        <w:rPr>
          <w:rFonts w:ascii="Times New Roman" w:eastAsia="Calibri" w:hAnsi="Times New Roman" w:cs="Times New Roman"/>
          <w:color w:val="000000" w:themeColor="text1"/>
          <w:sz w:val="24"/>
          <w:szCs w:val="24"/>
          <w:lang w:val="en-GB"/>
        </w:rPr>
        <w:t xml:space="preserve"> </w:t>
      </w:r>
      <w:r w:rsidR="00801AC3" w:rsidRPr="00191ACB">
        <w:rPr>
          <w:rFonts w:ascii="Times New Roman" w:eastAsia="Calibri" w:hAnsi="Times New Roman" w:cs="Times New Roman"/>
          <w:color w:val="000000" w:themeColor="text1"/>
          <w:sz w:val="24"/>
          <w:szCs w:val="24"/>
          <w:lang w:val="en-GB"/>
        </w:rPr>
        <w:t xml:space="preserve">are responsible for expanding the stock of physical assets of infrastructure in </w:t>
      </w:r>
      <w:r w:rsidR="00BE2057" w:rsidRPr="00191ACB">
        <w:rPr>
          <w:rFonts w:ascii="Times New Roman" w:eastAsia="Calibri" w:hAnsi="Times New Roman" w:cs="Times New Roman"/>
          <w:color w:val="000000" w:themeColor="text1"/>
          <w:sz w:val="24"/>
          <w:szCs w:val="24"/>
          <w:lang w:val="en-GB"/>
        </w:rPr>
        <w:t>the country</w:t>
      </w:r>
      <w:r w:rsidR="00801AC3" w:rsidRPr="00191ACB">
        <w:rPr>
          <w:rFonts w:ascii="Times New Roman" w:eastAsia="Calibri" w:hAnsi="Times New Roman" w:cs="Times New Roman"/>
          <w:color w:val="000000" w:themeColor="text1"/>
          <w:sz w:val="24"/>
          <w:szCs w:val="24"/>
          <w:lang w:val="en-GB"/>
        </w:rPr>
        <w:t xml:space="preserve"> (Cheelo C. and Robert Liebenthal R., 2018). </w:t>
      </w:r>
      <w:r w:rsidR="00B670E6" w:rsidRPr="00191ACB">
        <w:rPr>
          <w:rFonts w:ascii="Times New Roman" w:eastAsia="Calibri" w:hAnsi="Times New Roman" w:cs="Times New Roman"/>
          <w:color w:val="000000" w:themeColor="text1"/>
          <w:sz w:val="24"/>
          <w:szCs w:val="24"/>
          <w:lang w:val="en-GB"/>
        </w:rPr>
        <w:t>The public infrastructure development ambitions are seen in the Seventh National Development Plan 2017–2021 (</w:t>
      </w:r>
      <w:r w:rsidR="009A2EB6" w:rsidRPr="00191ACB">
        <w:rPr>
          <w:rFonts w:ascii="Times New Roman" w:eastAsia="Calibri" w:hAnsi="Times New Roman" w:cs="Times New Roman"/>
          <w:color w:val="000000" w:themeColor="text1"/>
          <w:sz w:val="24"/>
          <w:szCs w:val="24"/>
          <w:lang w:val="en-GB"/>
        </w:rPr>
        <w:t>GRZ</w:t>
      </w:r>
      <w:r w:rsidR="00B670E6" w:rsidRPr="00191ACB">
        <w:rPr>
          <w:rFonts w:ascii="Times New Roman" w:eastAsia="Calibri" w:hAnsi="Times New Roman" w:cs="Times New Roman"/>
          <w:color w:val="000000" w:themeColor="text1"/>
          <w:sz w:val="24"/>
          <w:szCs w:val="24"/>
          <w:lang w:val="en-GB"/>
        </w:rPr>
        <w:t xml:space="preserve"> 2017)</w:t>
      </w:r>
      <w:r w:rsidR="009A2EB6" w:rsidRPr="00191ACB">
        <w:rPr>
          <w:rFonts w:ascii="Times New Roman" w:eastAsia="Calibri" w:hAnsi="Times New Roman" w:cs="Times New Roman"/>
          <w:color w:val="000000" w:themeColor="text1"/>
          <w:sz w:val="24"/>
          <w:szCs w:val="24"/>
          <w:lang w:val="en-GB"/>
        </w:rPr>
        <w:t xml:space="preserve"> focusing on road development and creation of new districts. The creation of new districts facilitated the construction of administrative infrastructure </w:t>
      </w:r>
      <w:r w:rsidR="00857946" w:rsidRPr="00191ACB">
        <w:rPr>
          <w:rFonts w:ascii="Times New Roman" w:eastAsia="Calibri" w:hAnsi="Times New Roman" w:cs="Times New Roman"/>
          <w:color w:val="000000" w:themeColor="text1"/>
          <w:sz w:val="24"/>
          <w:szCs w:val="24"/>
          <w:lang w:val="en-GB"/>
        </w:rPr>
        <w:t xml:space="preserve">such as </w:t>
      </w:r>
      <w:r w:rsidR="009A2EB6" w:rsidRPr="00191ACB">
        <w:rPr>
          <w:rFonts w:ascii="Times New Roman" w:eastAsia="Calibri" w:hAnsi="Times New Roman" w:cs="Times New Roman"/>
          <w:color w:val="000000" w:themeColor="text1"/>
          <w:sz w:val="24"/>
          <w:szCs w:val="24"/>
          <w:lang w:val="en-GB"/>
        </w:rPr>
        <w:t>offices</w:t>
      </w:r>
      <w:r w:rsidR="00857946" w:rsidRPr="00191ACB">
        <w:rPr>
          <w:rFonts w:ascii="Times New Roman" w:eastAsia="Calibri" w:hAnsi="Times New Roman" w:cs="Times New Roman"/>
          <w:color w:val="000000" w:themeColor="text1"/>
          <w:sz w:val="24"/>
          <w:szCs w:val="24"/>
          <w:lang w:val="en-GB"/>
        </w:rPr>
        <w:t>,</w:t>
      </w:r>
      <w:r w:rsidR="009A2EB6" w:rsidRPr="00191ACB">
        <w:rPr>
          <w:rFonts w:ascii="Times New Roman" w:eastAsia="Calibri" w:hAnsi="Times New Roman" w:cs="Times New Roman"/>
          <w:color w:val="000000" w:themeColor="text1"/>
          <w:sz w:val="24"/>
          <w:szCs w:val="24"/>
          <w:lang w:val="en-GB"/>
        </w:rPr>
        <w:t xml:space="preserve"> personnel housing, schools, health facilities, road network, etc. </w:t>
      </w:r>
    </w:p>
    <w:p w14:paraId="331C06D8" w14:textId="493CA5B7" w:rsidR="002125BE" w:rsidRPr="00191ACB" w:rsidRDefault="00857946" w:rsidP="001761DF">
      <w:pPr>
        <w:widowControl w:val="0"/>
        <w:autoSpaceDE w:val="0"/>
        <w:autoSpaceDN w:val="0"/>
        <w:adjustRightInd w:val="0"/>
        <w:spacing w:after="120" w:line="276" w:lineRule="auto"/>
        <w:jc w:val="both"/>
        <w:rPr>
          <w:rFonts w:ascii="Times New Roman" w:eastAsia="Calibri" w:hAnsi="Times New Roman" w:cs="Times New Roman"/>
          <w:color w:val="000000" w:themeColor="text1"/>
          <w:sz w:val="24"/>
          <w:szCs w:val="24"/>
          <w:highlight w:val="yellow"/>
          <w:lang w:val="en-GB"/>
        </w:rPr>
      </w:pPr>
      <w:r w:rsidRPr="00191ACB">
        <w:rPr>
          <w:rFonts w:ascii="Times New Roman" w:eastAsia="Calibri" w:hAnsi="Times New Roman" w:cs="Times New Roman"/>
          <w:color w:val="000000" w:themeColor="text1"/>
          <w:sz w:val="24"/>
          <w:szCs w:val="24"/>
          <w:lang w:val="en-GB"/>
        </w:rPr>
        <w:t>D</w:t>
      </w:r>
      <w:r w:rsidR="002125BE" w:rsidRPr="00191ACB">
        <w:rPr>
          <w:rFonts w:ascii="Times New Roman" w:eastAsia="Calibri" w:hAnsi="Times New Roman" w:cs="Times New Roman"/>
          <w:color w:val="000000" w:themeColor="text1"/>
          <w:sz w:val="24"/>
          <w:szCs w:val="24"/>
          <w:lang w:val="en-GB"/>
        </w:rPr>
        <w:t xml:space="preserve">emand for </w:t>
      </w:r>
      <w:r w:rsidRPr="00191ACB">
        <w:rPr>
          <w:rFonts w:ascii="Times New Roman" w:eastAsia="Calibri" w:hAnsi="Times New Roman" w:cs="Times New Roman"/>
          <w:color w:val="000000" w:themeColor="text1"/>
          <w:sz w:val="24"/>
          <w:szCs w:val="24"/>
          <w:lang w:val="en-GB"/>
        </w:rPr>
        <w:t>accommodation wa</w:t>
      </w:r>
      <w:r w:rsidR="002125BE" w:rsidRPr="00191ACB">
        <w:rPr>
          <w:rFonts w:ascii="Times New Roman" w:eastAsia="Calibri" w:hAnsi="Times New Roman" w:cs="Times New Roman"/>
          <w:color w:val="000000" w:themeColor="text1"/>
          <w:sz w:val="24"/>
          <w:szCs w:val="24"/>
          <w:lang w:val="en-GB"/>
        </w:rPr>
        <w:t xml:space="preserve">s </w:t>
      </w:r>
      <w:r w:rsidRPr="00191ACB">
        <w:rPr>
          <w:rFonts w:ascii="Times New Roman" w:eastAsia="Calibri" w:hAnsi="Times New Roman" w:cs="Times New Roman"/>
          <w:color w:val="000000" w:themeColor="text1"/>
          <w:sz w:val="24"/>
          <w:szCs w:val="24"/>
          <w:lang w:val="en-GB"/>
        </w:rPr>
        <w:t xml:space="preserve">driving </w:t>
      </w:r>
      <w:r w:rsidR="002125BE" w:rsidRPr="00191ACB">
        <w:rPr>
          <w:rFonts w:ascii="Times New Roman" w:eastAsia="Calibri" w:hAnsi="Times New Roman" w:cs="Times New Roman"/>
          <w:color w:val="000000" w:themeColor="text1"/>
          <w:sz w:val="24"/>
          <w:szCs w:val="24"/>
          <w:lang w:val="en-GB"/>
        </w:rPr>
        <w:t xml:space="preserve">demand for </w:t>
      </w:r>
      <w:r w:rsidRPr="00191ACB">
        <w:rPr>
          <w:rFonts w:ascii="Times New Roman" w:eastAsia="Calibri" w:hAnsi="Times New Roman" w:cs="Times New Roman"/>
          <w:color w:val="000000" w:themeColor="text1"/>
          <w:sz w:val="24"/>
          <w:szCs w:val="24"/>
          <w:lang w:val="en-GB"/>
        </w:rPr>
        <w:t>construction services</w:t>
      </w:r>
      <w:r w:rsidR="002125BE" w:rsidRPr="00191ACB">
        <w:rPr>
          <w:rFonts w:ascii="Times New Roman" w:eastAsia="Calibri" w:hAnsi="Times New Roman" w:cs="Times New Roman"/>
          <w:color w:val="000000" w:themeColor="text1"/>
          <w:sz w:val="24"/>
          <w:szCs w:val="24"/>
          <w:lang w:val="en-GB"/>
        </w:rPr>
        <w:t xml:space="preserve">. </w:t>
      </w:r>
      <w:r w:rsidR="00B87915" w:rsidRPr="00191ACB">
        <w:rPr>
          <w:rFonts w:ascii="Times New Roman" w:eastAsia="Calibri" w:hAnsi="Times New Roman" w:cs="Times New Roman"/>
          <w:color w:val="000000" w:themeColor="text1"/>
          <w:sz w:val="24"/>
          <w:szCs w:val="24"/>
          <w:lang w:val="en-GB"/>
        </w:rPr>
        <w:t xml:space="preserve">According to a study conducted by Zambia Institute of Policy Analysis and Research (ZIPAR) in 2014, Zambia had a housing stock of 2,500,000 units and an annual housing production of 73,000 units which was below the expected annual production of 222,000 units per year. The low housing production led to a housing deficit of 1,539,000 as at 2014 and failure to increase housing production might lead into a deficit of </w:t>
      </w:r>
      <w:r w:rsidR="00B87915" w:rsidRPr="00191ACB">
        <w:rPr>
          <w:rFonts w:ascii="Times New Roman" w:eastAsia="Calibri" w:hAnsi="Times New Roman" w:cs="Times New Roman"/>
          <w:color w:val="000000" w:themeColor="text1"/>
          <w:sz w:val="24"/>
          <w:szCs w:val="24"/>
          <w:lang w:val="en-GB"/>
        </w:rPr>
        <w:lastRenderedPageBreak/>
        <w:t>3,328,904 units by 2030 (</w:t>
      </w:r>
      <w:r w:rsidR="00BD1D82" w:rsidRPr="00191ACB">
        <w:rPr>
          <w:rFonts w:ascii="Times New Roman" w:eastAsia="Calibri" w:hAnsi="Times New Roman" w:cs="Times New Roman"/>
          <w:color w:val="000000" w:themeColor="text1"/>
          <w:sz w:val="24"/>
          <w:szCs w:val="24"/>
          <w:lang w:val="en-GB"/>
        </w:rPr>
        <w:t>PMRC</w:t>
      </w:r>
      <w:r w:rsidR="00B87915" w:rsidRPr="00191ACB">
        <w:rPr>
          <w:rFonts w:ascii="Times New Roman" w:eastAsia="Calibri" w:hAnsi="Times New Roman" w:cs="Times New Roman"/>
          <w:color w:val="000000" w:themeColor="text1"/>
          <w:sz w:val="24"/>
          <w:szCs w:val="24"/>
          <w:lang w:val="en-GB"/>
        </w:rPr>
        <w:t>, 2018).</w:t>
      </w:r>
    </w:p>
    <w:p w14:paraId="033A760C" w14:textId="12A190AC" w:rsidR="00EB3A24" w:rsidRPr="00191ACB" w:rsidRDefault="00AC576F" w:rsidP="001761DF">
      <w:pPr>
        <w:widowControl w:val="0"/>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The share of construction in economic activity increased rapidly from 3.6 per cent of GDP in 1995 (three years after the liberalization reforms of 1992) to a sectoral peak of 10.9 per cent in 2000, and then declined marginally to 10.3 per cent in 2017 (</w:t>
      </w:r>
      <w:r w:rsidR="000F44A6" w:rsidRPr="00191ACB">
        <w:rPr>
          <w:rFonts w:ascii="Times New Roman" w:eastAsia="Calibri" w:hAnsi="Times New Roman" w:cs="Times New Roman"/>
          <w:color w:val="000000" w:themeColor="text1"/>
          <w:sz w:val="24"/>
          <w:szCs w:val="24"/>
          <w:lang w:val="en-GB"/>
        </w:rPr>
        <w:t>ZAMSTATS</w:t>
      </w:r>
      <w:r w:rsidRPr="00191ACB">
        <w:rPr>
          <w:rFonts w:ascii="Times New Roman" w:eastAsia="Calibri" w:hAnsi="Times New Roman" w:cs="Times New Roman"/>
          <w:color w:val="000000" w:themeColor="text1"/>
          <w:sz w:val="24"/>
          <w:szCs w:val="24"/>
          <w:lang w:val="en-GB"/>
        </w:rPr>
        <w:t xml:space="preserve"> 2018). </w:t>
      </w:r>
      <w:r w:rsidR="00B670E6" w:rsidRPr="00191ACB">
        <w:rPr>
          <w:rFonts w:ascii="Times New Roman" w:eastAsia="Calibri" w:hAnsi="Times New Roman" w:cs="Times New Roman"/>
          <w:color w:val="000000" w:themeColor="text1"/>
          <w:sz w:val="24"/>
          <w:szCs w:val="24"/>
          <w:lang w:val="en-GB"/>
        </w:rPr>
        <w:t>The construction sector plays a critical role in delivering quality infrastructure, which in turn influences the use of natural resource revenues towards achieving structural change and industrial development.</w:t>
      </w:r>
      <w:r w:rsidR="004D1BC0" w:rsidRPr="00191ACB">
        <w:rPr>
          <w:rFonts w:ascii="Times New Roman" w:eastAsia="Calibri" w:hAnsi="Times New Roman" w:cs="Times New Roman"/>
          <w:color w:val="000000" w:themeColor="text1"/>
          <w:sz w:val="24"/>
          <w:szCs w:val="24"/>
          <w:lang w:val="en-GB"/>
        </w:rPr>
        <w:t xml:space="preserve"> </w:t>
      </w:r>
      <w:r w:rsidR="00EB3A24" w:rsidRPr="00191ACB">
        <w:rPr>
          <w:rFonts w:ascii="Times New Roman" w:eastAsia="Calibri" w:hAnsi="Times New Roman" w:cs="Times New Roman"/>
          <w:color w:val="000000" w:themeColor="text1"/>
          <w:sz w:val="24"/>
          <w:szCs w:val="24"/>
          <w:lang w:val="en-GB"/>
        </w:rPr>
        <w:t>The output of the construction industry, be it public, commercial, homes and other infrastructure such as roads and harbours has a major impact on the ability</w:t>
      </w:r>
      <w:r w:rsidR="00EB3A24" w:rsidRPr="00191ACB">
        <w:rPr>
          <w:rFonts w:ascii="Times New Roman" w:eastAsia="Calibri" w:hAnsi="Times New Roman" w:cs="Times New Roman"/>
          <w:color w:val="000000" w:themeColor="text1"/>
          <w:sz w:val="24"/>
          <w:szCs w:val="24"/>
          <w:u w:val="single"/>
          <w:lang w:val="en-GB"/>
        </w:rPr>
        <w:t xml:space="preserve"> </w:t>
      </w:r>
      <w:r w:rsidR="00EB3A24" w:rsidRPr="00191ACB">
        <w:rPr>
          <w:rFonts w:ascii="Times New Roman" w:eastAsia="Calibri" w:hAnsi="Times New Roman" w:cs="Times New Roman"/>
          <w:color w:val="000000" w:themeColor="text1"/>
          <w:sz w:val="24"/>
          <w:szCs w:val="24"/>
          <w:lang w:val="en-GB"/>
        </w:rPr>
        <w:t>to maintain a sustainable economy and has a major impact on the environment. The production of cement accounts for a significant amount of CO</w:t>
      </w:r>
      <w:r w:rsidR="00EB3A24" w:rsidRPr="00191ACB">
        <w:rPr>
          <w:rFonts w:ascii="Times New Roman" w:eastAsia="Calibri" w:hAnsi="Times New Roman" w:cs="Times New Roman"/>
          <w:color w:val="000000" w:themeColor="text1"/>
          <w:sz w:val="24"/>
          <w:szCs w:val="24"/>
          <w:vertAlign w:val="subscript"/>
          <w:lang w:val="en-GB"/>
        </w:rPr>
        <w:t>2</w:t>
      </w:r>
      <w:r w:rsidR="00EB3A24" w:rsidRPr="00191ACB">
        <w:rPr>
          <w:rFonts w:ascii="Times New Roman" w:eastAsia="Calibri" w:hAnsi="Times New Roman" w:cs="Times New Roman"/>
          <w:color w:val="000000" w:themeColor="text1"/>
          <w:sz w:val="24"/>
          <w:szCs w:val="24"/>
          <w:lang w:val="en-GB"/>
        </w:rPr>
        <w:t xml:space="preserve"> emissions. Transport of heavy materials such as cement is energy-intensive. Other high impacts are due to the mining/manufacture of materials and chemicals and maintenance of buildings. Other external impacts are weather related and cost of finance/insurance.</w:t>
      </w:r>
    </w:p>
    <w:p w14:paraId="5B37C829" w14:textId="77777777" w:rsidR="00136BB5" w:rsidRPr="00191ACB" w:rsidRDefault="00136BB5" w:rsidP="005E626A">
      <w:pPr>
        <w:widowControl w:val="0"/>
        <w:autoSpaceDE w:val="0"/>
        <w:autoSpaceDN w:val="0"/>
        <w:adjustRightInd w:val="0"/>
        <w:spacing w:after="120" w:line="240" w:lineRule="auto"/>
        <w:jc w:val="both"/>
        <w:rPr>
          <w:rFonts w:ascii="Times New Roman" w:eastAsia="Calibri" w:hAnsi="Times New Roman" w:cs="Times New Roman"/>
          <w:color w:val="000000" w:themeColor="text1"/>
          <w:sz w:val="24"/>
          <w:szCs w:val="24"/>
          <w:lang w:val="en-GB"/>
        </w:rPr>
      </w:pPr>
    </w:p>
    <w:p w14:paraId="74CF4FAC" w14:textId="161D6987" w:rsidR="00EB3A24" w:rsidRPr="00191ACB" w:rsidRDefault="00EB3A24" w:rsidP="002B1C4A">
      <w:pPr>
        <w:pStyle w:val="Heading3"/>
        <w:numPr>
          <w:ilvl w:val="2"/>
          <w:numId w:val="36"/>
        </w:numPr>
        <w:ind w:left="851" w:hanging="851"/>
        <w:rPr>
          <w:rFonts w:cs="Times New Roman"/>
          <w:b w:val="0"/>
          <w:color w:val="000000" w:themeColor="text1"/>
          <w:szCs w:val="24"/>
        </w:rPr>
      </w:pPr>
      <w:bookmarkStart w:id="60" w:name="_Toc419428302"/>
      <w:bookmarkStart w:id="61" w:name="_Toc57902808"/>
      <w:r w:rsidRPr="002B1C4A">
        <w:rPr>
          <w:rFonts w:cs="Times New Roman"/>
          <w:bCs/>
          <w:color w:val="000000" w:themeColor="text1"/>
          <w:szCs w:val="24"/>
        </w:rPr>
        <w:t>Manufacturing</w:t>
      </w:r>
      <w:bookmarkEnd w:id="60"/>
      <w:bookmarkEnd w:id="61"/>
      <w:r w:rsidRPr="00191ACB">
        <w:rPr>
          <w:rFonts w:cs="Times New Roman"/>
          <w:b w:val="0"/>
          <w:color w:val="000000" w:themeColor="text1"/>
          <w:szCs w:val="24"/>
        </w:rPr>
        <w:t xml:space="preserve"> </w:t>
      </w:r>
    </w:p>
    <w:p w14:paraId="0BEEA6EF" w14:textId="65949B59" w:rsidR="008B570A" w:rsidRPr="00191ACB" w:rsidRDefault="00AE14DF" w:rsidP="001761DF">
      <w:pPr>
        <w:widowControl w:val="0"/>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M</w:t>
      </w:r>
      <w:r w:rsidR="00EB3A24" w:rsidRPr="00191ACB">
        <w:rPr>
          <w:rFonts w:ascii="Times New Roman" w:eastAsia="Calibri" w:hAnsi="Times New Roman" w:cs="Times New Roman"/>
          <w:color w:val="000000" w:themeColor="text1"/>
          <w:sz w:val="24"/>
          <w:szCs w:val="24"/>
          <w:lang w:val="en-GB"/>
        </w:rPr>
        <w:t>anufacturing</w:t>
      </w:r>
      <w:r w:rsidRPr="00191ACB">
        <w:rPr>
          <w:rFonts w:ascii="Times New Roman" w:eastAsia="Calibri" w:hAnsi="Times New Roman" w:cs="Times New Roman"/>
          <w:color w:val="000000" w:themeColor="text1"/>
          <w:sz w:val="24"/>
          <w:szCs w:val="24"/>
          <w:lang w:val="en-GB"/>
        </w:rPr>
        <w:t xml:space="preserve"> </w:t>
      </w:r>
      <w:r w:rsidR="00EB3A24" w:rsidRPr="00191ACB">
        <w:rPr>
          <w:rFonts w:ascii="Times New Roman" w:eastAsia="Calibri" w:hAnsi="Times New Roman" w:cs="Times New Roman"/>
          <w:color w:val="000000" w:themeColor="text1"/>
          <w:sz w:val="24"/>
          <w:szCs w:val="24"/>
          <w:lang w:val="en-GB"/>
        </w:rPr>
        <w:t>is considered as one of the leading sectors for revitalization of the economy in the strategy for Zambia’s socio-economic development and poverty reduction</w:t>
      </w:r>
      <w:r w:rsidR="00597BB3" w:rsidRPr="00191ACB">
        <w:rPr>
          <w:rFonts w:ascii="Times New Roman" w:hAnsi="Times New Roman" w:cs="Times New Roman"/>
          <w:color w:val="000000" w:themeColor="text1"/>
          <w:sz w:val="24"/>
          <w:szCs w:val="24"/>
        </w:rPr>
        <w:t xml:space="preserve"> (</w:t>
      </w:r>
      <w:r w:rsidR="00930827" w:rsidRPr="00191ACB">
        <w:rPr>
          <w:rFonts w:ascii="Times New Roman" w:hAnsi="Times New Roman" w:cs="Times New Roman"/>
          <w:color w:val="000000" w:themeColor="text1"/>
          <w:sz w:val="24"/>
          <w:szCs w:val="24"/>
        </w:rPr>
        <w:t xml:space="preserve">MCTI, 2014 and </w:t>
      </w:r>
      <w:r w:rsidR="00597BB3" w:rsidRPr="00191ACB">
        <w:rPr>
          <w:rFonts w:ascii="Times New Roman" w:eastAsia="Calibri" w:hAnsi="Times New Roman" w:cs="Times New Roman"/>
          <w:color w:val="000000" w:themeColor="text1"/>
          <w:sz w:val="24"/>
          <w:szCs w:val="24"/>
          <w:lang w:val="en-GB"/>
        </w:rPr>
        <w:t>Dinh, Hinh T., 2013)</w:t>
      </w:r>
      <w:r w:rsidR="00EB3A24" w:rsidRPr="00191ACB">
        <w:rPr>
          <w:rFonts w:ascii="Times New Roman" w:eastAsia="Calibri" w:hAnsi="Times New Roman" w:cs="Times New Roman"/>
          <w:color w:val="000000" w:themeColor="text1"/>
          <w:sz w:val="24"/>
          <w:szCs w:val="24"/>
          <w:lang w:val="en-GB"/>
        </w:rPr>
        <w:t>.</w:t>
      </w:r>
      <w:r w:rsidR="007E2D6B" w:rsidRPr="00191ACB">
        <w:rPr>
          <w:rFonts w:ascii="Times New Roman" w:hAnsi="Times New Roman" w:cs="Times New Roman"/>
          <w:color w:val="000000" w:themeColor="text1"/>
          <w:sz w:val="24"/>
          <w:szCs w:val="24"/>
        </w:rPr>
        <w:t xml:space="preserve"> </w:t>
      </w:r>
      <w:r w:rsidR="00E72D87" w:rsidRPr="00191ACB">
        <w:rPr>
          <w:rFonts w:ascii="Times New Roman" w:hAnsi="Times New Roman" w:cs="Times New Roman"/>
          <w:color w:val="000000" w:themeColor="text1"/>
          <w:sz w:val="24"/>
          <w:szCs w:val="24"/>
        </w:rPr>
        <w:t xml:space="preserve">Employment in the sector increased from </w:t>
      </w:r>
      <w:r w:rsidR="007E2D6B" w:rsidRPr="00191ACB">
        <w:rPr>
          <w:rFonts w:ascii="Times New Roman" w:eastAsia="Calibri" w:hAnsi="Times New Roman" w:cs="Times New Roman"/>
          <w:color w:val="000000" w:themeColor="text1"/>
          <w:sz w:val="24"/>
          <w:szCs w:val="24"/>
          <w:lang w:val="en-GB"/>
        </w:rPr>
        <w:t>40,151</w:t>
      </w:r>
      <w:r w:rsidR="00E72D87" w:rsidRPr="00191ACB">
        <w:rPr>
          <w:rFonts w:ascii="Times New Roman" w:eastAsia="Calibri" w:hAnsi="Times New Roman" w:cs="Times New Roman"/>
          <w:color w:val="000000" w:themeColor="text1"/>
          <w:sz w:val="24"/>
          <w:szCs w:val="24"/>
          <w:lang w:val="en-GB"/>
        </w:rPr>
        <w:t xml:space="preserve"> people</w:t>
      </w:r>
      <w:r w:rsidR="007E2D6B" w:rsidRPr="00191ACB">
        <w:rPr>
          <w:rFonts w:ascii="Times New Roman" w:eastAsia="Calibri" w:hAnsi="Times New Roman" w:cs="Times New Roman"/>
          <w:color w:val="000000" w:themeColor="text1"/>
          <w:sz w:val="24"/>
          <w:szCs w:val="24"/>
          <w:lang w:val="en-GB"/>
        </w:rPr>
        <w:t xml:space="preserve"> </w:t>
      </w:r>
      <w:r w:rsidR="00E72D87" w:rsidRPr="00191ACB">
        <w:rPr>
          <w:rFonts w:ascii="Times New Roman" w:eastAsia="Calibri" w:hAnsi="Times New Roman" w:cs="Times New Roman"/>
          <w:color w:val="000000" w:themeColor="text1"/>
          <w:sz w:val="24"/>
          <w:szCs w:val="24"/>
          <w:lang w:val="en-GB"/>
        </w:rPr>
        <w:t>in 2005 to 233,721 and 239,046 people in 2017 and 2018 respectively</w:t>
      </w:r>
      <w:r w:rsidR="007E2D6B" w:rsidRPr="00191ACB">
        <w:rPr>
          <w:rFonts w:ascii="Times New Roman" w:eastAsia="Calibri" w:hAnsi="Times New Roman" w:cs="Times New Roman"/>
          <w:color w:val="000000" w:themeColor="text1"/>
          <w:sz w:val="24"/>
          <w:szCs w:val="24"/>
          <w:lang w:val="en-GB"/>
        </w:rPr>
        <w:t xml:space="preserve"> (MCTI, 2014).</w:t>
      </w:r>
      <w:r w:rsidR="00F4054F" w:rsidRPr="00191ACB">
        <w:rPr>
          <w:rFonts w:ascii="Times New Roman" w:eastAsia="Calibri" w:hAnsi="Times New Roman" w:cs="Times New Roman"/>
          <w:color w:val="000000" w:themeColor="text1"/>
          <w:sz w:val="24"/>
          <w:szCs w:val="24"/>
          <w:lang w:val="en-GB"/>
        </w:rPr>
        <w:t xml:space="preserve"> </w:t>
      </w:r>
      <w:r w:rsidR="00235AEA" w:rsidRPr="00191ACB">
        <w:rPr>
          <w:rFonts w:ascii="Times New Roman" w:eastAsia="Calibri" w:hAnsi="Times New Roman" w:cs="Times New Roman"/>
          <w:color w:val="000000" w:themeColor="text1"/>
          <w:sz w:val="24"/>
          <w:szCs w:val="24"/>
          <w:lang w:val="en-GB"/>
        </w:rPr>
        <w:t>Manufacturing accounted for 7.9 percent and 8.1 percent of the total employed pe</w:t>
      </w:r>
      <w:r w:rsidR="00E72D87" w:rsidRPr="00191ACB">
        <w:rPr>
          <w:rFonts w:ascii="Times New Roman" w:eastAsia="Calibri" w:hAnsi="Times New Roman" w:cs="Times New Roman"/>
          <w:color w:val="000000" w:themeColor="text1"/>
          <w:sz w:val="24"/>
          <w:szCs w:val="24"/>
          <w:lang w:val="en-GB"/>
        </w:rPr>
        <w:t>ople</w:t>
      </w:r>
      <w:r w:rsidR="00235AEA" w:rsidRPr="00191ACB">
        <w:rPr>
          <w:rFonts w:ascii="Times New Roman" w:eastAsia="Calibri" w:hAnsi="Times New Roman" w:cs="Times New Roman"/>
          <w:color w:val="000000" w:themeColor="text1"/>
          <w:sz w:val="24"/>
          <w:szCs w:val="24"/>
          <w:lang w:val="en-GB"/>
        </w:rPr>
        <w:t xml:space="preserve"> in 2017 and 2018 respectively (</w:t>
      </w:r>
      <w:r w:rsidR="000F44A6" w:rsidRPr="00191ACB">
        <w:rPr>
          <w:rFonts w:ascii="Times New Roman" w:eastAsia="Calibri" w:hAnsi="Times New Roman" w:cs="Times New Roman"/>
          <w:color w:val="000000" w:themeColor="text1"/>
          <w:sz w:val="24"/>
          <w:szCs w:val="24"/>
          <w:lang w:val="en-GB"/>
        </w:rPr>
        <w:t>ZAMSTATS</w:t>
      </w:r>
      <w:r w:rsidR="00235AEA" w:rsidRPr="00191ACB">
        <w:rPr>
          <w:rFonts w:ascii="Times New Roman" w:eastAsia="Calibri" w:hAnsi="Times New Roman" w:cs="Times New Roman"/>
          <w:color w:val="000000" w:themeColor="text1"/>
          <w:sz w:val="24"/>
          <w:szCs w:val="24"/>
          <w:lang w:val="en-GB"/>
        </w:rPr>
        <w:t xml:space="preserve"> and MLSS, 2018;</w:t>
      </w:r>
      <w:r w:rsidR="00235AEA" w:rsidRPr="00191ACB">
        <w:rPr>
          <w:rFonts w:ascii="Times New Roman" w:hAnsi="Times New Roman" w:cs="Times New Roman"/>
          <w:color w:val="000000" w:themeColor="text1"/>
          <w:sz w:val="24"/>
          <w:szCs w:val="24"/>
        </w:rPr>
        <w:t xml:space="preserve"> </w:t>
      </w:r>
      <w:r w:rsidR="000F44A6" w:rsidRPr="00191ACB">
        <w:rPr>
          <w:rFonts w:ascii="Times New Roman" w:eastAsia="Calibri" w:hAnsi="Times New Roman" w:cs="Times New Roman"/>
          <w:color w:val="000000" w:themeColor="text1"/>
          <w:sz w:val="24"/>
          <w:szCs w:val="24"/>
          <w:lang w:val="en-GB"/>
        </w:rPr>
        <w:t>ZAMSTATS</w:t>
      </w:r>
      <w:r w:rsidR="00235AEA" w:rsidRPr="00191ACB">
        <w:rPr>
          <w:rFonts w:ascii="Times New Roman" w:eastAsia="Calibri" w:hAnsi="Times New Roman" w:cs="Times New Roman"/>
          <w:color w:val="000000" w:themeColor="text1"/>
          <w:sz w:val="24"/>
          <w:szCs w:val="24"/>
          <w:lang w:val="en-GB"/>
        </w:rPr>
        <w:t xml:space="preserve"> and MLSS, 2019;</w:t>
      </w:r>
      <w:r w:rsidR="00235AEA" w:rsidRPr="00191ACB">
        <w:rPr>
          <w:rFonts w:ascii="Times New Roman" w:hAnsi="Times New Roman" w:cs="Times New Roman"/>
          <w:color w:val="000000" w:themeColor="text1"/>
          <w:sz w:val="24"/>
          <w:szCs w:val="24"/>
        </w:rPr>
        <w:t xml:space="preserve"> </w:t>
      </w:r>
      <w:r w:rsidR="00235AEA" w:rsidRPr="00191ACB">
        <w:rPr>
          <w:rFonts w:ascii="Times New Roman" w:eastAsia="Calibri" w:hAnsi="Times New Roman" w:cs="Times New Roman"/>
          <w:color w:val="000000" w:themeColor="text1"/>
          <w:sz w:val="24"/>
          <w:szCs w:val="24"/>
          <w:lang w:val="en-GB"/>
        </w:rPr>
        <w:t xml:space="preserve">ZSA and MLSS, 2020). </w:t>
      </w:r>
    </w:p>
    <w:p w14:paraId="5348EC6B" w14:textId="75D01859" w:rsidR="00FF00B2" w:rsidRPr="00191ACB" w:rsidRDefault="00FF00B2" w:rsidP="001761DF">
      <w:pPr>
        <w:widowControl w:val="0"/>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 xml:space="preserve">The </w:t>
      </w:r>
      <w:r w:rsidR="008B570A" w:rsidRPr="00191ACB">
        <w:rPr>
          <w:rFonts w:ascii="Times New Roman" w:eastAsia="Calibri" w:hAnsi="Times New Roman" w:cs="Times New Roman"/>
          <w:color w:val="000000" w:themeColor="text1"/>
          <w:sz w:val="24"/>
          <w:szCs w:val="24"/>
          <w:lang w:val="en-GB"/>
        </w:rPr>
        <w:t>manufacturing s</w:t>
      </w:r>
      <w:r w:rsidRPr="00191ACB">
        <w:rPr>
          <w:rFonts w:ascii="Times New Roman" w:eastAsia="Calibri" w:hAnsi="Times New Roman" w:cs="Times New Roman"/>
          <w:color w:val="000000" w:themeColor="text1"/>
          <w:sz w:val="24"/>
          <w:szCs w:val="24"/>
          <w:lang w:val="en-GB"/>
        </w:rPr>
        <w:t xml:space="preserve">ector </w:t>
      </w:r>
      <w:r w:rsidR="00C2245F" w:rsidRPr="00191ACB">
        <w:rPr>
          <w:rFonts w:ascii="Times New Roman" w:eastAsia="Calibri" w:hAnsi="Times New Roman" w:cs="Times New Roman"/>
          <w:color w:val="000000" w:themeColor="text1"/>
          <w:sz w:val="24"/>
          <w:szCs w:val="24"/>
          <w:lang w:val="en-GB"/>
        </w:rPr>
        <w:t>grew</w:t>
      </w:r>
      <w:r w:rsidR="002A3B4E" w:rsidRPr="00191ACB">
        <w:rPr>
          <w:rFonts w:ascii="Times New Roman" w:eastAsia="Calibri" w:hAnsi="Times New Roman" w:cs="Times New Roman"/>
          <w:color w:val="000000" w:themeColor="text1"/>
          <w:sz w:val="24"/>
          <w:szCs w:val="24"/>
          <w:lang w:val="en-GB"/>
        </w:rPr>
        <w:t xml:space="preserve"> at an average 4.5 percent</w:t>
      </w:r>
      <w:r w:rsidR="008B570A" w:rsidRPr="00191ACB">
        <w:rPr>
          <w:rFonts w:ascii="Times New Roman" w:eastAsia="Calibri" w:hAnsi="Times New Roman" w:cs="Times New Roman"/>
          <w:color w:val="000000" w:themeColor="text1"/>
          <w:sz w:val="24"/>
          <w:szCs w:val="24"/>
          <w:lang w:val="en-GB"/>
        </w:rPr>
        <w:t xml:space="preserve"> of GDP</w:t>
      </w:r>
      <w:r w:rsidR="00C2245F" w:rsidRPr="00191ACB">
        <w:rPr>
          <w:rFonts w:ascii="Times New Roman" w:eastAsia="Calibri" w:hAnsi="Times New Roman" w:cs="Times New Roman"/>
          <w:color w:val="000000" w:themeColor="text1"/>
          <w:sz w:val="24"/>
          <w:szCs w:val="24"/>
          <w:lang w:val="en-GB"/>
        </w:rPr>
        <w:t xml:space="preserve"> between 2014 and 2018</w:t>
      </w:r>
      <w:r w:rsidR="002A3B4E" w:rsidRPr="00191ACB">
        <w:rPr>
          <w:rFonts w:ascii="Times New Roman" w:eastAsia="Calibri" w:hAnsi="Times New Roman" w:cs="Times New Roman"/>
          <w:color w:val="000000" w:themeColor="text1"/>
          <w:sz w:val="24"/>
          <w:szCs w:val="24"/>
          <w:lang w:val="en-GB"/>
        </w:rPr>
        <w:t xml:space="preserve">, with the highest growth point of 6.5 recorded in 2014 and the lowest growth point of 1.9 percent recorded in 2016. </w:t>
      </w:r>
      <w:r w:rsidR="0045416E" w:rsidRPr="00191ACB">
        <w:rPr>
          <w:rFonts w:ascii="Times New Roman" w:eastAsia="Calibri" w:hAnsi="Times New Roman" w:cs="Times New Roman"/>
          <w:color w:val="000000" w:themeColor="text1"/>
          <w:sz w:val="24"/>
          <w:szCs w:val="24"/>
          <w:lang w:val="en-GB"/>
        </w:rPr>
        <w:t xml:space="preserve">In 2017 and 2018, it grew by 4.4 and 4.1 percent respectively. </w:t>
      </w:r>
      <w:r w:rsidR="002A3B4E" w:rsidRPr="00191ACB">
        <w:rPr>
          <w:rFonts w:ascii="Times New Roman" w:eastAsia="Calibri" w:hAnsi="Times New Roman" w:cs="Times New Roman"/>
          <w:color w:val="000000" w:themeColor="text1"/>
          <w:sz w:val="24"/>
          <w:szCs w:val="24"/>
          <w:lang w:val="en-GB"/>
        </w:rPr>
        <w:t>The sector accounted for an average 7.7 percent to the country’s total GDP during the same period (MCTI, 2019).</w:t>
      </w:r>
      <w:r w:rsidR="00C2245F" w:rsidRPr="00191ACB">
        <w:rPr>
          <w:rFonts w:ascii="Times New Roman" w:eastAsia="Calibri" w:hAnsi="Times New Roman" w:cs="Times New Roman"/>
          <w:color w:val="000000" w:themeColor="text1"/>
          <w:sz w:val="24"/>
          <w:szCs w:val="24"/>
          <w:lang w:val="en-GB"/>
        </w:rPr>
        <w:t xml:space="preserve"> </w:t>
      </w:r>
      <w:r w:rsidR="009C1171" w:rsidRPr="00191ACB">
        <w:rPr>
          <w:rFonts w:ascii="Times New Roman" w:eastAsia="Calibri" w:hAnsi="Times New Roman" w:cs="Times New Roman"/>
          <w:color w:val="000000" w:themeColor="text1"/>
          <w:sz w:val="24"/>
          <w:szCs w:val="24"/>
          <w:lang w:val="en-GB"/>
        </w:rPr>
        <w:t>The growth was mainly driven by agro-processing (food and beverages, textiles and leather sub sectors).</w:t>
      </w:r>
    </w:p>
    <w:p w14:paraId="44C41022" w14:textId="77777777" w:rsidR="00BE0D7C" w:rsidRPr="00191ACB" w:rsidRDefault="00BE0D7C" w:rsidP="005E626A">
      <w:pPr>
        <w:widowControl w:val="0"/>
        <w:autoSpaceDE w:val="0"/>
        <w:autoSpaceDN w:val="0"/>
        <w:adjustRightInd w:val="0"/>
        <w:spacing w:after="120" w:line="240" w:lineRule="auto"/>
        <w:jc w:val="both"/>
        <w:rPr>
          <w:rFonts w:ascii="Times New Roman" w:eastAsia="Calibri" w:hAnsi="Times New Roman" w:cs="Times New Roman"/>
          <w:color w:val="000000" w:themeColor="text1"/>
          <w:sz w:val="24"/>
          <w:szCs w:val="24"/>
          <w:lang w:val="en-GB"/>
        </w:rPr>
      </w:pPr>
    </w:p>
    <w:p w14:paraId="6B9A2190" w14:textId="41A6F692" w:rsidR="00EB3A24" w:rsidRPr="00191ACB" w:rsidRDefault="00EB3A24" w:rsidP="0040323D">
      <w:pPr>
        <w:pStyle w:val="Heading3"/>
        <w:numPr>
          <w:ilvl w:val="2"/>
          <w:numId w:val="36"/>
        </w:numPr>
        <w:ind w:left="851" w:hanging="851"/>
        <w:rPr>
          <w:rFonts w:cs="Times New Roman"/>
          <w:b w:val="0"/>
          <w:color w:val="000000" w:themeColor="text1"/>
          <w:szCs w:val="24"/>
        </w:rPr>
      </w:pPr>
      <w:bookmarkStart w:id="62" w:name="_Toc419428303"/>
      <w:bookmarkStart w:id="63" w:name="_Toc57902809"/>
      <w:r w:rsidRPr="0040323D">
        <w:rPr>
          <w:rFonts w:cs="Times New Roman"/>
          <w:bCs/>
          <w:color w:val="000000" w:themeColor="text1"/>
          <w:szCs w:val="24"/>
        </w:rPr>
        <w:t>Energy</w:t>
      </w:r>
      <w:bookmarkEnd w:id="62"/>
      <w:bookmarkEnd w:id="63"/>
    </w:p>
    <w:p w14:paraId="1BB07971" w14:textId="761DF245" w:rsidR="00974E48" w:rsidRPr="00191ACB" w:rsidRDefault="00974E48" w:rsidP="001761DF">
      <w:pPr>
        <w:widowControl w:val="0"/>
        <w:autoSpaceDE w:val="0"/>
        <w:autoSpaceDN w:val="0"/>
        <w:adjustRightInd w:val="0"/>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Energy is a critical input in the socio-economic development of the country as outlined in the country’s Energy Policy. Zambia is endowed with various sources of energy such as wood fuel, hydropower, coal and solar. Wood fuel constitute a major source of energy for cooking which in 2015 accounted for 84 percent of the total number of households’ </w:t>
      </w:r>
      <w:r w:rsidR="00147DFA" w:rsidRPr="00191ACB">
        <w:rPr>
          <w:rFonts w:ascii="Times New Roman" w:hAnsi="Times New Roman" w:cs="Times New Roman"/>
          <w:color w:val="000000" w:themeColor="text1"/>
          <w:sz w:val="24"/>
          <w:szCs w:val="24"/>
        </w:rPr>
        <w:t>nationwide</w:t>
      </w:r>
      <w:r w:rsidRPr="00191ACB">
        <w:rPr>
          <w:rFonts w:ascii="Times New Roman" w:hAnsi="Times New Roman" w:cs="Times New Roman"/>
          <w:color w:val="000000" w:themeColor="text1"/>
          <w:sz w:val="24"/>
          <w:szCs w:val="24"/>
        </w:rPr>
        <w:t xml:space="preserve"> (</w:t>
      </w:r>
      <w:r w:rsidR="000F44A6" w:rsidRPr="00191ACB">
        <w:rPr>
          <w:rFonts w:ascii="Times New Roman" w:hAnsi="Times New Roman" w:cs="Times New Roman"/>
          <w:color w:val="000000" w:themeColor="text1"/>
          <w:sz w:val="24"/>
          <w:szCs w:val="24"/>
        </w:rPr>
        <w:t>ZAMSTATS</w:t>
      </w:r>
      <w:r w:rsidRPr="00191ACB">
        <w:rPr>
          <w:rFonts w:ascii="Times New Roman" w:hAnsi="Times New Roman" w:cs="Times New Roman"/>
          <w:color w:val="000000" w:themeColor="text1"/>
          <w:sz w:val="24"/>
          <w:szCs w:val="24"/>
        </w:rPr>
        <w:t xml:space="preserve">, 2016). The National Energy Policy of 2019 is aimed at guiding the energy sector in the development of electricity generation, transmission and distribution capacity. Further, the Policy promotes security of energy supply through diversification of energy sources and cost reflective pricing which will promote new investments in the sector leading to scaling up access to energy services in rural and urban areas. </w:t>
      </w:r>
    </w:p>
    <w:p w14:paraId="0D34B8F8" w14:textId="7D263257" w:rsidR="00D048AC" w:rsidRPr="00191ACB" w:rsidRDefault="00D048AC" w:rsidP="001761DF">
      <w:pPr>
        <w:widowControl w:val="0"/>
        <w:autoSpaceDE w:val="0"/>
        <w:autoSpaceDN w:val="0"/>
        <w:adjustRightInd w:val="0"/>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national </w:t>
      </w:r>
      <w:r w:rsidR="006B35C1" w:rsidRPr="00191ACB">
        <w:rPr>
          <w:rFonts w:ascii="Times New Roman" w:hAnsi="Times New Roman" w:cs="Times New Roman"/>
          <w:color w:val="000000" w:themeColor="text1"/>
          <w:sz w:val="24"/>
          <w:szCs w:val="24"/>
        </w:rPr>
        <w:t xml:space="preserve">electricity </w:t>
      </w:r>
      <w:r w:rsidRPr="00191ACB">
        <w:rPr>
          <w:rFonts w:ascii="Times New Roman" w:hAnsi="Times New Roman" w:cs="Times New Roman"/>
          <w:color w:val="000000" w:themeColor="text1"/>
          <w:sz w:val="24"/>
          <w:szCs w:val="24"/>
        </w:rPr>
        <w:t xml:space="preserve">installed capacity increased </w:t>
      </w:r>
      <w:r w:rsidR="00652616" w:rsidRPr="00191ACB">
        <w:rPr>
          <w:rFonts w:ascii="Times New Roman" w:hAnsi="Times New Roman" w:cs="Times New Roman"/>
          <w:color w:val="000000" w:themeColor="text1"/>
          <w:sz w:val="24"/>
          <w:szCs w:val="24"/>
        </w:rPr>
        <w:t xml:space="preserve">by </w:t>
      </w:r>
      <w:r w:rsidRPr="00191ACB">
        <w:rPr>
          <w:rFonts w:ascii="Times New Roman" w:hAnsi="Times New Roman" w:cs="Times New Roman"/>
          <w:color w:val="000000" w:themeColor="text1"/>
          <w:sz w:val="24"/>
          <w:szCs w:val="24"/>
        </w:rPr>
        <w:t xml:space="preserve">17.3 percent to 2,827 MW in 2016, from 2,411 MW </w:t>
      </w:r>
      <w:r w:rsidR="00147DFA" w:rsidRPr="00191ACB">
        <w:rPr>
          <w:rFonts w:ascii="Times New Roman" w:hAnsi="Times New Roman" w:cs="Times New Roman"/>
          <w:color w:val="000000" w:themeColor="text1"/>
          <w:sz w:val="24"/>
          <w:szCs w:val="24"/>
        </w:rPr>
        <w:t>in 2015</w:t>
      </w:r>
      <w:r w:rsidRPr="00191ACB">
        <w:rPr>
          <w:rFonts w:ascii="Times New Roman" w:hAnsi="Times New Roman" w:cs="Times New Roman"/>
          <w:color w:val="000000" w:themeColor="text1"/>
          <w:sz w:val="24"/>
          <w:szCs w:val="24"/>
        </w:rPr>
        <w:t xml:space="preserve">. The increase was due to the commissioning of two (2) power plants namely: Maamba </w:t>
      </w:r>
      <w:r w:rsidRPr="00191ACB">
        <w:rPr>
          <w:rFonts w:ascii="Times New Roman" w:hAnsi="Times New Roman" w:cs="Times New Roman"/>
          <w:color w:val="000000" w:themeColor="text1"/>
          <w:sz w:val="24"/>
          <w:szCs w:val="24"/>
        </w:rPr>
        <w:lastRenderedPageBreak/>
        <w:t>coal power and Itezhi-Tezhi hydro power plants with rated capacities of 300 MW and 120 MW, respectively. In 2016, the Electricity Supply Industry (ESI) generation capacity continued to be largely driven from hydro power, which accounted for 84.5 percent (2,388.3 MW) of the total national installed capacity. Power generation from coal was second at 10.6 percent (300 MW), followed by diesel at 3.1 percent (88.6 MW), while Heavy Fuel Oil (HFO) accounted for 1.8 percent (50 MW) and solar photovoltaic (PV), less than 0.1 percent (0.06 MW)</w:t>
      </w:r>
      <w:r w:rsidR="002D7899" w:rsidRPr="00191ACB">
        <w:rPr>
          <w:rFonts w:ascii="Times New Roman" w:hAnsi="Times New Roman" w:cs="Times New Roman"/>
          <w:color w:val="000000" w:themeColor="text1"/>
          <w:sz w:val="24"/>
          <w:szCs w:val="24"/>
        </w:rPr>
        <w:t xml:space="preserve"> </w:t>
      </w:r>
      <w:r w:rsidR="006B35C1" w:rsidRPr="00191ACB">
        <w:rPr>
          <w:rFonts w:ascii="Times New Roman" w:hAnsi="Times New Roman" w:cs="Times New Roman"/>
          <w:color w:val="000000" w:themeColor="text1"/>
          <w:sz w:val="24"/>
          <w:szCs w:val="24"/>
        </w:rPr>
        <w:t>(</w:t>
      </w:r>
      <w:bookmarkStart w:id="64" w:name="_Hlk48662416"/>
      <w:r w:rsidR="006B35C1" w:rsidRPr="00191ACB">
        <w:rPr>
          <w:rFonts w:ascii="Times New Roman" w:hAnsi="Times New Roman" w:cs="Times New Roman"/>
          <w:color w:val="000000" w:themeColor="text1"/>
          <w:sz w:val="24"/>
          <w:szCs w:val="24"/>
        </w:rPr>
        <w:t>ERB, 2016</w:t>
      </w:r>
      <w:bookmarkEnd w:id="64"/>
      <w:r w:rsidR="006B35C1"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w:t>
      </w:r>
      <w:r w:rsidR="003732B5" w:rsidRPr="00191ACB">
        <w:rPr>
          <w:rFonts w:ascii="Times New Roman" w:hAnsi="Times New Roman" w:cs="Times New Roman"/>
          <w:color w:val="000000" w:themeColor="text1"/>
          <w:sz w:val="24"/>
          <w:szCs w:val="24"/>
        </w:rPr>
        <w:t xml:space="preserve"> </w:t>
      </w:r>
      <w:r w:rsidR="00D43D98" w:rsidRPr="00191ACB">
        <w:rPr>
          <w:rFonts w:ascii="Times New Roman" w:hAnsi="Times New Roman" w:cs="Times New Roman"/>
          <w:color w:val="000000" w:themeColor="text1"/>
          <w:sz w:val="24"/>
          <w:szCs w:val="24"/>
        </w:rPr>
        <w:t>By 2018, Zambia’s electricity generation mix had slightly changed and was made up of hydro power accounting for 82.76 percent of total installed generation capacity, coal</w:t>
      </w:r>
      <w:r w:rsidR="00652616" w:rsidRPr="00191ACB">
        <w:rPr>
          <w:rFonts w:ascii="Times New Roman" w:hAnsi="Times New Roman" w:cs="Times New Roman"/>
          <w:color w:val="000000" w:themeColor="text1"/>
          <w:sz w:val="24"/>
          <w:szCs w:val="24"/>
        </w:rPr>
        <w:t>,</w:t>
      </w:r>
      <w:r w:rsidR="00D43D98" w:rsidRPr="00191ACB">
        <w:rPr>
          <w:rFonts w:ascii="Times New Roman" w:hAnsi="Times New Roman" w:cs="Times New Roman"/>
          <w:color w:val="000000" w:themeColor="text1"/>
          <w:sz w:val="24"/>
          <w:szCs w:val="24"/>
        </w:rPr>
        <w:t xml:space="preserve"> 10.35</w:t>
      </w:r>
      <w:r w:rsidR="00652616" w:rsidRPr="00191ACB">
        <w:rPr>
          <w:rFonts w:ascii="Times New Roman" w:hAnsi="Times New Roman" w:cs="Times New Roman"/>
          <w:color w:val="000000" w:themeColor="text1"/>
          <w:sz w:val="24"/>
          <w:szCs w:val="24"/>
        </w:rPr>
        <w:t xml:space="preserve"> percent</w:t>
      </w:r>
      <w:r w:rsidR="00D43D98" w:rsidRPr="00191ACB">
        <w:rPr>
          <w:rFonts w:ascii="Times New Roman" w:hAnsi="Times New Roman" w:cs="Times New Roman"/>
          <w:color w:val="000000" w:themeColor="text1"/>
          <w:sz w:val="24"/>
          <w:szCs w:val="24"/>
        </w:rPr>
        <w:t>; HFO</w:t>
      </w:r>
      <w:r w:rsidR="00652616" w:rsidRPr="00191ACB">
        <w:rPr>
          <w:rFonts w:ascii="Times New Roman" w:hAnsi="Times New Roman" w:cs="Times New Roman"/>
          <w:color w:val="000000" w:themeColor="text1"/>
          <w:sz w:val="24"/>
          <w:szCs w:val="24"/>
        </w:rPr>
        <w:t xml:space="preserve">, </w:t>
      </w:r>
      <w:r w:rsidR="00D43D98" w:rsidRPr="00191ACB">
        <w:rPr>
          <w:rFonts w:ascii="Times New Roman" w:hAnsi="Times New Roman" w:cs="Times New Roman"/>
          <w:color w:val="000000" w:themeColor="text1"/>
          <w:sz w:val="24"/>
          <w:szCs w:val="24"/>
        </w:rPr>
        <w:t>3.8</w:t>
      </w:r>
      <w:r w:rsidR="00652616" w:rsidRPr="00191ACB">
        <w:rPr>
          <w:rFonts w:ascii="Times New Roman" w:hAnsi="Times New Roman" w:cs="Times New Roman"/>
          <w:color w:val="000000" w:themeColor="text1"/>
          <w:sz w:val="24"/>
          <w:szCs w:val="24"/>
        </w:rPr>
        <w:t>0 percent</w:t>
      </w:r>
      <w:r w:rsidR="00D43D98" w:rsidRPr="00191ACB">
        <w:rPr>
          <w:rFonts w:ascii="Times New Roman" w:hAnsi="Times New Roman" w:cs="Times New Roman"/>
          <w:color w:val="000000" w:themeColor="text1"/>
          <w:sz w:val="24"/>
          <w:szCs w:val="24"/>
        </w:rPr>
        <w:t>; diesel</w:t>
      </w:r>
      <w:r w:rsidR="00652616" w:rsidRPr="00191ACB">
        <w:rPr>
          <w:rFonts w:ascii="Times New Roman" w:hAnsi="Times New Roman" w:cs="Times New Roman"/>
          <w:color w:val="000000" w:themeColor="text1"/>
          <w:sz w:val="24"/>
          <w:szCs w:val="24"/>
        </w:rPr>
        <w:t>,</w:t>
      </w:r>
      <w:r w:rsidR="00D43D98" w:rsidRPr="00191ACB">
        <w:rPr>
          <w:rFonts w:ascii="Times New Roman" w:hAnsi="Times New Roman" w:cs="Times New Roman"/>
          <w:color w:val="000000" w:themeColor="text1"/>
          <w:sz w:val="24"/>
          <w:szCs w:val="24"/>
        </w:rPr>
        <w:t xml:space="preserve"> 3.06</w:t>
      </w:r>
      <w:r w:rsidR="00652616" w:rsidRPr="00191ACB">
        <w:rPr>
          <w:rFonts w:ascii="Times New Roman" w:hAnsi="Times New Roman" w:cs="Times New Roman"/>
          <w:color w:val="000000" w:themeColor="text1"/>
          <w:sz w:val="24"/>
          <w:szCs w:val="24"/>
        </w:rPr>
        <w:t xml:space="preserve"> percent</w:t>
      </w:r>
      <w:r w:rsidR="00D43D98" w:rsidRPr="00191ACB">
        <w:rPr>
          <w:rFonts w:ascii="Times New Roman" w:hAnsi="Times New Roman" w:cs="Times New Roman"/>
          <w:color w:val="000000" w:themeColor="text1"/>
          <w:sz w:val="24"/>
          <w:szCs w:val="24"/>
        </w:rPr>
        <w:t>; and solar</w:t>
      </w:r>
      <w:r w:rsidR="00652616" w:rsidRPr="00191ACB">
        <w:rPr>
          <w:rFonts w:ascii="Times New Roman" w:hAnsi="Times New Roman" w:cs="Times New Roman"/>
          <w:color w:val="000000" w:themeColor="text1"/>
          <w:sz w:val="24"/>
          <w:szCs w:val="24"/>
        </w:rPr>
        <w:t xml:space="preserve">, </w:t>
      </w:r>
      <w:r w:rsidR="00D43D98" w:rsidRPr="00191ACB">
        <w:rPr>
          <w:rFonts w:ascii="Times New Roman" w:hAnsi="Times New Roman" w:cs="Times New Roman"/>
          <w:color w:val="000000" w:themeColor="text1"/>
          <w:sz w:val="24"/>
          <w:szCs w:val="24"/>
        </w:rPr>
        <w:t>0.04</w:t>
      </w:r>
      <w:r w:rsidR="00652616" w:rsidRPr="00191ACB">
        <w:rPr>
          <w:rFonts w:ascii="Times New Roman" w:hAnsi="Times New Roman" w:cs="Times New Roman"/>
          <w:color w:val="000000" w:themeColor="text1"/>
          <w:sz w:val="24"/>
          <w:szCs w:val="24"/>
        </w:rPr>
        <w:t xml:space="preserve"> percent (ERB, 2018).</w:t>
      </w:r>
    </w:p>
    <w:p w14:paraId="1D6DED01" w14:textId="2400C639" w:rsidR="00147DFA" w:rsidRPr="00191ACB" w:rsidRDefault="00652616" w:rsidP="001761DF">
      <w:pPr>
        <w:widowControl w:val="0"/>
        <w:autoSpaceDE w:val="0"/>
        <w:autoSpaceDN w:val="0"/>
        <w:adjustRightInd w:val="0"/>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Petroleum is wholly imported</w:t>
      </w:r>
      <w:r w:rsidR="004113F1" w:rsidRPr="00191ACB">
        <w:rPr>
          <w:rFonts w:ascii="Times New Roman" w:hAnsi="Times New Roman" w:cs="Times New Roman"/>
          <w:color w:val="000000" w:themeColor="text1"/>
          <w:sz w:val="24"/>
          <w:szCs w:val="24"/>
        </w:rPr>
        <w:t xml:space="preserve"> by Government and Oil Marketing Companies (OMCs)</w:t>
      </w:r>
      <w:r w:rsidRPr="00191ACB">
        <w:rPr>
          <w:rFonts w:ascii="Times New Roman" w:hAnsi="Times New Roman" w:cs="Times New Roman"/>
          <w:color w:val="000000" w:themeColor="text1"/>
          <w:sz w:val="24"/>
          <w:szCs w:val="24"/>
        </w:rPr>
        <w:t>.</w:t>
      </w:r>
      <w:r w:rsidR="00147DFA" w:rsidRPr="00191ACB">
        <w:rPr>
          <w:rFonts w:ascii="Times New Roman" w:hAnsi="Times New Roman" w:cs="Times New Roman"/>
          <w:color w:val="000000" w:themeColor="text1"/>
          <w:sz w:val="24"/>
          <w:szCs w:val="24"/>
        </w:rPr>
        <w:t xml:space="preserve"> </w:t>
      </w:r>
      <w:r w:rsidR="00272D87" w:rsidRPr="00191ACB">
        <w:rPr>
          <w:rFonts w:ascii="Times New Roman" w:hAnsi="Times New Roman" w:cs="Times New Roman"/>
          <w:color w:val="000000" w:themeColor="text1"/>
          <w:sz w:val="24"/>
          <w:szCs w:val="24"/>
        </w:rPr>
        <w:t>Figure 2.2 shows</w:t>
      </w:r>
      <w:r w:rsidR="00147DFA" w:rsidRPr="00191ACB">
        <w:rPr>
          <w:rFonts w:ascii="Times New Roman" w:hAnsi="Times New Roman" w:cs="Times New Roman"/>
          <w:color w:val="000000" w:themeColor="text1"/>
          <w:sz w:val="24"/>
          <w:szCs w:val="24"/>
        </w:rPr>
        <w:t xml:space="preserve"> the quantity of petroleum feedstock imported in the country for the period 2012 to 2016.</w:t>
      </w:r>
    </w:p>
    <w:p w14:paraId="1D5C2EE7" w14:textId="0BAF0387" w:rsidR="00272D87" w:rsidRPr="00191ACB" w:rsidRDefault="00272D87" w:rsidP="005E626A">
      <w:pPr>
        <w:widowControl w:val="0"/>
        <w:autoSpaceDE w:val="0"/>
        <w:autoSpaceDN w:val="0"/>
        <w:adjustRightInd w:val="0"/>
        <w:spacing w:after="120" w:line="240" w:lineRule="auto"/>
        <w:jc w:val="both"/>
        <w:rPr>
          <w:rFonts w:ascii="Times New Roman" w:hAnsi="Times New Roman" w:cs="Times New Roman"/>
          <w:color w:val="000000" w:themeColor="text1"/>
          <w:sz w:val="24"/>
          <w:szCs w:val="24"/>
        </w:rPr>
      </w:pPr>
    </w:p>
    <w:p w14:paraId="54270538" w14:textId="60E8D337" w:rsidR="00272D87" w:rsidRPr="00191ACB" w:rsidRDefault="00272D87" w:rsidP="005E626A">
      <w:pPr>
        <w:widowControl w:val="0"/>
        <w:autoSpaceDE w:val="0"/>
        <w:autoSpaceDN w:val="0"/>
        <w:adjustRightInd w:val="0"/>
        <w:spacing w:after="12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noProof/>
          <w:sz w:val="24"/>
          <w:szCs w:val="24"/>
          <w:lang w:val="en-GB" w:eastAsia="en-GB"/>
        </w:rPr>
        <w:drawing>
          <wp:inline distT="0" distB="0" distL="0" distR="0" wp14:anchorId="5EFBD5BF" wp14:editId="7E43E862">
            <wp:extent cx="4933951" cy="3124200"/>
            <wp:effectExtent l="0" t="0" r="0" b="0"/>
            <wp:docPr id="20" name="Chart 20">
              <a:extLst xmlns:a="http://schemas.openxmlformats.org/drawingml/2006/main">
                <a:ext uri="{FF2B5EF4-FFF2-40B4-BE49-F238E27FC236}">
                  <a16:creationId xmlns:a16="http://schemas.microsoft.com/office/drawing/2014/main" id="{2A040F1A-4651-449E-9063-95CEA908B1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5AC6BBD" w14:textId="4C39DED0" w:rsidR="00272D87" w:rsidRPr="00191ACB" w:rsidRDefault="00272D87" w:rsidP="00272D87">
      <w:pPr>
        <w:pStyle w:val="Caption"/>
        <w:rPr>
          <w:color w:val="000000" w:themeColor="text1"/>
          <w:sz w:val="24"/>
          <w:szCs w:val="24"/>
        </w:rPr>
      </w:pPr>
      <w:bookmarkStart w:id="65" w:name="_Toc56583843"/>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2</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w:t>
      </w:r>
      <w:r w:rsidR="009D481C">
        <w:rPr>
          <w:sz w:val="24"/>
          <w:szCs w:val="24"/>
        </w:rPr>
        <w:fldChar w:fldCharType="end"/>
      </w:r>
      <w:r w:rsidRPr="00191ACB">
        <w:rPr>
          <w:sz w:val="24"/>
          <w:szCs w:val="24"/>
        </w:rPr>
        <w:t>:</w:t>
      </w:r>
      <w:r w:rsidR="001761DF">
        <w:rPr>
          <w:sz w:val="24"/>
          <w:szCs w:val="24"/>
        </w:rPr>
        <w:t xml:space="preserve"> </w:t>
      </w:r>
      <w:r w:rsidRPr="00191ACB">
        <w:rPr>
          <w:sz w:val="24"/>
          <w:szCs w:val="24"/>
        </w:rPr>
        <w:t>Quantity of petroleum feedstock imported in the country for the period 2012 to 2016</w:t>
      </w:r>
      <w:bookmarkEnd w:id="65"/>
    </w:p>
    <w:p w14:paraId="6D393511" w14:textId="77777777" w:rsidR="00147DFA" w:rsidRPr="00191ACB" w:rsidRDefault="00147DFA" w:rsidP="005E626A">
      <w:pPr>
        <w:widowControl w:val="0"/>
        <w:autoSpaceDE w:val="0"/>
        <w:autoSpaceDN w:val="0"/>
        <w:adjustRightInd w:val="0"/>
        <w:spacing w:after="120" w:line="240" w:lineRule="auto"/>
        <w:jc w:val="both"/>
        <w:rPr>
          <w:rFonts w:ascii="Times New Roman" w:hAnsi="Times New Roman" w:cs="Times New Roman"/>
          <w:color w:val="000000" w:themeColor="text1"/>
          <w:sz w:val="24"/>
          <w:szCs w:val="24"/>
        </w:rPr>
      </w:pPr>
    </w:p>
    <w:p w14:paraId="455DDCE7" w14:textId="1AC550DD" w:rsidR="00D048AC" w:rsidRPr="00191ACB" w:rsidRDefault="00573F3C" w:rsidP="001761DF">
      <w:pPr>
        <w:widowControl w:val="0"/>
        <w:autoSpaceDE w:val="0"/>
        <w:autoSpaceDN w:val="0"/>
        <w:adjustRightInd w:val="0"/>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Additionally, </w:t>
      </w:r>
      <w:r w:rsidR="00AB3879" w:rsidRPr="00191ACB">
        <w:rPr>
          <w:rFonts w:ascii="Times New Roman" w:hAnsi="Times New Roman" w:cs="Times New Roman"/>
          <w:color w:val="000000" w:themeColor="text1"/>
          <w:sz w:val="24"/>
          <w:szCs w:val="24"/>
        </w:rPr>
        <w:t>a total of 334,716 m</w:t>
      </w:r>
      <w:r w:rsidR="00AB3879" w:rsidRPr="00191ACB">
        <w:rPr>
          <w:rFonts w:ascii="Times New Roman" w:hAnsi="Times New Roman" w:cs="Times New Roman"/>
          <w:color w:val="000000" w:themeColor="text1"/>
          <w:sz w:val="24"/>
          <w:szCs w:val="24"/>
          <w:vertAlign w:val="superscript"/>
        </w:rPr>
        <w:t>3</w:t>
      </w:r>
      <w:r w:rsidR="00AB3879" w:rsidRPr="00191ACB">
        <w:rPr>
          <w:rFonts w:ascii="Times New Roman" w:hAnsi="Times New Roman" w:cs="Times New Roman"/>
          <w:color w:val="000000" w:themeColor="text1"/>
          <w:sz w:val="24"/>
          <w:szCs w:val="24"/>
        </w:rPr>
        <w:t xml:space="preserve"> of petrol and 702,538 m</w:t>
      </w:r>
      <w:r w:rsidR="00AB3879" w:rsidRPr="00191ACB">
        <w:rPr>
          <w:rFonts w:ascii="Times New Roman" w:hAnsi="Times New Roman" w:cs="Times New Roman"/>
          <w:color w:val="000000" w:themeColor="text1"/>
          <w:sz w:val="24"/>
          <w:szCs w:val="24"/>
          <w:vertAlign w:val="superscript"/>
        </w:rPr>
        <w:t>3</w:t>
      </w:r>
      <w:r w:rsidR="00AB3879" w:rsidRPr="00191ACB">
        <w:rPr>
          <w:rFonts w:ascii="Times New Roman" w:hAnsi="Times New Roman" w:cs="Times New Roman"/>
          <w:color w:val="000000" w:themeColor="text1"/>
          <w:sz w:val="24"/>
          <w:szCs w:val="24"/>
        </w:rPr>
        <w:t xml:space="preserve"> of low </w:t>
      </w:r>
      <w:r w:rsidR="0043218D" w:rsidRPr="00191ACB">
        <w:rPr>
          <w:rFonts w:ascii="Times New Roman" w:hAnsi="Times New Roman" w:cs="Times New Roman"/>
          <w:color w:val="000000" w:themeColor="text1"/>
          <w:sz w:val="24"/>
          <w:szCs w:val="24"/>
        </w:rPr>
        <w:t>Sulphur</w:t>
      </w:r>
      <w:r w:rsidR="00AB3879" w:rsidRPr="00191ACB">
        <w:rPr>
          <w:rFonts w:ascii="Times New Roman" w:hAnsi="Times New Roman" w:cs="Times New Roman"/>
          <w:color w:val="000000" w:themeColor="text1"/>
          <w:sz w:val="24"/>
          <w:szCs w:val="24"/>
        </w:rPr>
        <w:t xml:space="preserve"> gasoil (low Sulphur diesel) were imported by the Government and OMCs</w:t>
      </w:r>
      <w:r w:rsidR="00742535" w:rsidRPr="00191ACB">
        <w:rPr>
          <w:rFonts w:ascii="Times New Roman" w:hAnsi="Times New Roman" w:cs="Times New Roman"/>
          <w:color w:val="000000" w:themeColor="text1"/>
          <w:sz w:val="24"/>
          <w:szCs w:val="24"/>
        </w:rPr>
        <w:t xml:space="preserve"> in 2016</w:t>
      </w:r>
      <w:r w:rsidR="004113F1" w:rsidRPr="00191ACB">
        <w:rPr>
          <w:rFonts w:ascii="Times New Roman" w:hAnsi="Times New Roman" w:cs="Times New Roman"/>
          <w:color w:val="000000" w:themeColor="text1"/>
          <w:sz w:val="24"/>
          <w:szCs w:val="24"/>
        </w:rPr>
        <w:t xml:space="preserve"> (ERB, 2016)</w:t>
      </w:r>
      <w:r w:rsidR="00AB3879" w:rsidRPr="00191ACB">
        <w:rPr>
          <w:rFonts w:ascii="Times New Roman" w:hAnsi="Times New Roman" w:cs="Times New Roman"/>
          <w:color w:val="000000" w:themeColor="text1"/>
          <w:sz w:val="24"/>
          <w:szCs w:val="24"/>
        </w:rPr>
        <w:t>.</w:t>
      </w:r>
    </w:p>
    <w:p w14:paraId="53EB4049" w14:textId="77777777" w:rsidR="00BE0D7C" w:rsidRPr="00191ACB" w:rsidRDefault="00BE0D7C" w:rsidP="005E626A">
      <w:pPr>
        <w:widowControl w:val="0"/>
        <w:autoSpaceDE w:val="0"/>
        <w:autoSpaceDN w:val="0"/>
        <w:adjustRightInd w:val="0"/>
        <w:spacing w:after="120" w:line="240" w:lineRule="auto"/>
        <w:jc w:val="both"/>
        <w:rPr>
          <w:rFonts w:ascii="Times New Roman" w:hAnsi="Times New Roman" w:cs="Times New Roman"/>
          <w:color w:val="000000" w:themeColor="text1"/>
          <w:sz w:val="24"/>
          <w:szCs w:val="24"/>
        </w:rPr>
      </w:pPr>
    </w:p>
    <w:p w14:paraId="16BCF66F" w14:textId="63966991" w:rsidR="00F867B3" w:rsidRPr="00191ACB" w:rsidRDefault="00EB3A24" w:rsidP="00033860">
      <w:pPr>
        <w:pStyle w:val="Heading2"/>
        <w:numPr>
          <w:ilvl w:val="1"/>
          <w:numId w:val="36"/>
        </w:numPr>
        <w:spacing w:after="120" w:line="240" w:lineRule="auto"/>
        <w:ind w:left="851" w:hanging="851"/>
        <w:rPr>
          <w:rFonts w:ascii="Times New Roman" w:eastAsia="Times New Roman" w:hAnsi="Times New Roman" w:cs="Times New Roman"/>
          <w:b/>
          <w:color w:val="000000" w:themeColor="text1"/>
          <w:sz w:val="24"/>
          <w:szCs w:val="24"/>
        </w:rPr>
      </w:pPr>
      <w:bookmarkStart w:id="66" w:name="_Toc26264992"/>
      <w:bookmarkStart w:id="67" w:name="_Toc57902810"/>
      <w:r w:rsidRPr="00191ACB">
        <w:rPr>
          <w:rFonts w:ascii="Times New Roman" w:eastAsia="Times New Roman" w:hAnsi="Times New Roman" w:cs="Times New Roman"/>
          <w:b/>
          <w:color w:val="000000" w:themeColor="text1"/>
          <w:sz w:val="24"/>
          <w:szCs w:val="24"/>
        </w:rPr>
        <w:t xml:space="preserve">Institutional </w:t>
      </w:r>
      <w:r w:rsidR="00A464C2" w:rsidRPr="00191ACB">
        <w:rPr>
          <w:rFonts w:ascii="Times New Roman" w:eastAsia="Times New Roman" w:hAnsi="Times New Roman" w:cs="Times New Roman"/>
          <w:b/>
          <w:color w:val="000000" w:themeColor="text1"/>
          <w:sz w:val="24"/>
          <w:szCs w:val="24"/>
        </w:rPr>
        <w:t>Arrangement for Climate Change Implementation</w:t>
      </w:r>
      <w:bookmarkEnd w:id="66"/>
      <w:bookmarkEnd w:id="67"/>
    </w:p>
    <w:p w14:paraId="162C14A4" w14:textId="645D6D73" w:rsidR="00573F3C" w:rsidRPr="00191ACB" w:rsidRDefault="00573F3C" w:rsidP="001761DF">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This section describes institutional arrangements relevant to the preparation of the national communications on a continuous basis. Examined are: (i) distribution of responsibilities within government departments, universities, research institutions, and others; (ii) national climate change committees or other relevant coordinating bodies (establishment, funding, membership); (iii) involvement and participation of other stakeholders; and (iv) technical/expert groups or teams </w:t>
      </w:r>
      <w:r w:rsidRPr="00191ACB">
        <w:rPr>
          <w:rFonts w:ascii="Times New Roman" w:eastAsia="Calibri" w:hAnsi="Times New Roman" w:cs="Times New Roman"/>
          <w:color w:val="000000" w:themeColor="text1"/>
          <w:sz w:val="24"/>
          <w:szCs w:val="24"/>
        </w:rPr>
        <w:lastRenderedPageBreak/>
        <w:t>(inventory, vulnerability and adaptation assessment, mitigation and any other team relevant to the work on climate change).</w:t>
      </w:r>
    </w:p>
    <w:p w14:paraId="5F4932BB" w14:textId="77777777" w:rsidR="00573F3C" w:rsidRPr="00191ACB" w:rsidRDefault="00573F3C" w:rsidP="001761DF">
      <w:pPr>
        <w:suppressAutoHyphens/>
        <w:autoSpaceDN w:val="0"/>
        <w:spacing w:after="120" w:line="276" w:lineRule="auto"/>
        <w:jc w:val="both"/>
        <w:textAlignment w:val="baseline"/>
        <w:rPr>
          <w:rFonts w:ascii="Times New Roman" w:eastAsia="Calibri" w:hAnsi="Times New Roman" w:cs="Times New Roman"/>
          <w:color w:val="000000" w:themeColor="text1"/>
          <w:sz w:val="24"/>
          <w:szCs w:val="24"/>
        </w:rPr>
      </w:pPr>
    </w:p>
    <w:p w14:paraId="59211B53" w14:textId="2E6CF955" w:rsidR="009E65B2" w:rsidRPr="00191ACB" w:rsidRDefault="009E65B2" w:rsidP="001761DF">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National Policy on Climate Change (NPCC) defines the climate change coordination structure in the country. The Council of Ministers is the supreme decision-making body for overseeing climate change interventions in the country. The Chairperson of the Council is the Vice President while the Secretariat is provided by the Ministry of National Development Planning which also chairs the Steering Committee of Permanent Secretaries. The Steering Committee is the main advisory body to the Council of Ministers on policy and programme coordination and implementation. The Secretariat to the Steering Committee is provided by the Ministry of Lands and Natural Resources. The Ministry of Lands and Natural Resources (MLNR) is the Chair of the Technical Committee on Climate Change and is also the UNFCCC focal point. The MLNR has delegated the functions of coordinating the compilation of Zambia’s National Communications on climate change to the Zambia Environmental Management Agency (ZEMA). The institutional arrangement is shown in Figure 2.</w:t>
      </w:r>
      <w:r w:rsidR="00272D87" w:rsidRPr="00191ACB">
        <w:rPr>
          <w:rFonts w:ascii="Times New Roman" w:eastAsia="Calibri" w:hAnsi="Times New Roman" w:cs="Times New Roman"/>
          <w:color w:val="000000" w:themeColor="text1"/>
          <w:sz w:val="24"/>
          <w:szCs w:val="24"/>
        </w:rPr>
        <w:t>3</w:t>
      </w:r>
      <w:r w:rsidRPr="00191ACB">
        <w:rPr>
          <w:rFonts w:ascii="Times New Roman" w:eastAsia="Calibri" w:hAnsi="Times New Roman" w:cs="Times New Roman"/>
          <w:color w:val="000000" w:themeColor="text1"/>
          <w:sz w:val="24"/>
          <w:szCs w:val="24"/>
        </w:rPr>
        <w:t>.</w:t>
      </w:r>
    </w:p>
    <w:p w14:paraId="01F70A34" w14:textId="41C46C15" w:rsidR="00EE64C4" w:rsidRPr="00191ACB" w:rsidRDefault="00EE64C4" w:rsidP="00EE64C4">
      <w:pPr>
        <w:keepNext/>
        <w:suppressAutoHyphens/>
        <w:autoSpaceDN w:val="0"/>
        <w:spacing w:line="240" w:lineRule="auto"/>
        <w:ind w:left="709"/>
        <w:textAlignment w:val="baseline"/>
        <w:rPr>
          <w:rFonts w:ascii="Times New Roman" w:eastAsia="Calibri" w:hAnsi="Times New Roman" w:cs="Times New Roman"/>
          <w:b/>
          <w:bCs/>
          <w:color w:val="000000" w:themeColor="text1"/>
          <w:sz w:val="24"/>
          <w:szCs w:val="24"/>
        </w:rPr>
      </w:pPr>
    </w:p>
    <w:p w14:paraId="7D4F1280" w14:textId="77777777" w:rsidR="00EE64C4" w:rsidRPr="00191ACB" w:rsidRDefault="00EE64C4" w:rsidP="00EE64C4">
      <w:pPr>
        <w:suppressAutoHyphens/>
        <w:autoSpaceDN w:val="0"/>
        <w:spacing w:after="100" w:line="240" w:lineRule="auto"/>
        <w:ind w:left="1440" w:hanging="731"/>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noProof/>
          <w:color w:val="000000" w:themeColor="text1"/>
          <w:sz w:val="24"/>
          <w:szCs w:val="24"/>
          <w:lang w:val="en-GB" w:eastAsia="en-GB"/>
        </w:rPr>
        <w:drawing>
          <wp:inline distT="0" distB="0" distL="0" distR="0" wp14:anchorId="2E44D03C" wp14:editId="254AF43F">
            <wp:extent cx="5249286" cy="2735125"/>
            <wp:effectExtent l="19050" t="19050" r="27940" b="27305"/>
            <wp:docPr id="59" name="Picture 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rcRect/>
                    <a:stretch>
                      <a:fillRect/>
                    </a:stretch>
                  </pic:blipFill>
                  <pic:spPr>
                    <a:xfrm>
                      <a:off x="0" y="0"/>
                      <a:ext cx="5249286" cy="2735125"/>
                    </a:xfrm>
                    <a:prstGeom prst="rect">
                      <a:avLst/>
                    </a:prstGeom>
                    <a:noFill/>
                    <a:ln>
                      <a:solidFill>
                        <a:schemeClr val="accent1"/>
                      </a:solidFill>
                      <a:prstDash/>
                    </a:ln>
                  </pic:spPr>
                </pic:pic>
              </a:graphicData>
            </a:graphic>
          </wp:inline>
        </w:drawing>
      </w:r>
    </w:p>
    <w:p w14:paraId="6F19EDE8" w14:textId="47740860" w:rsidR="00EE64C4" w:rsidRPr="00191ACB" w:rsidRDefault="00272D87" w:rsidP="00272D87">
      <w:pPr>
        <w:pStyle w:val="Caption"/>
        <w:rPr>
          <w:rFonts w:eastAsia="Calibri"/>
          <w:b/>
          <w:bCs/>
          <w:color w:val="000000" w:themeColor="text1"/>
          <w:sz w:val="24"/>
          <w:szCs w:val="24"/>
        </w:rPr>
      </w:pPr>
      <w:bookmarkStart w:id="68" w:name="_Toc56583844"/>
      <w:r w:rsidRPr="00191ACB">
        <w:rPr>
          <w:b/>
          <w:bCs/>
          <w:sz w:val="24"/>
          <w:szCs w:val="24"/>
        </w:rPr>
        <w:t xml:space="preserve">Figure </w:t>
      </w:r>
      <w:r w:rsidR="009D481C">
        <w:rPr>
          <w:b/>
          <w:bCs/>
          <w:sz w:val="24"/>
          <w:szCs w:val="24"/>
        </w:rPr>
        <w:fldChar w:fldCharType="begin"/>
      </w:r>
      <w:r w:rsidR="009D481C">
        <w:rPr>
          <w:b/>
          <w:bCs/>
          <w:sz w:val="24"/>
          <w:szCs w:val="24"/>
        </w:rPr>
        <w:instrText xml:space="preserve"> STYLEREF 1 \s </w:instrText>
      </w:r>
      <w:r w:rsidR="009D481C">
        <w:rPr>
          <w:b/>
          <w:bCs/>
          <w:sz w:val="24"/>
          <w:szCs w:val="24"/>
        </w:rPr>
        <w:fldChar w:fldCharType="separate"/>
      </w:r>
      <w:r w:rsidR="009D481C">
        <w:rPr>
          <w:b/>
          <w:bCs/>
          <w:noProof/>
          <w:sz w:val="24"/>
          <w:szCs w:val="24"/>
        </w:rPr>
        <w:t>2</w:t>
      </w:r>
      <w:r w:rsidR="009D481C">
        <w:rPr>
          <w:b/>
          <w:bCs/>
          <w:sz w:val="24"/>
          <w:szCs w:val="24"/>
        </w:rPr>
        <w:fldChar w:fldCharType="end"/>
      </w:r>
      <w:r w:rsidR="009D481C">
        <w:rPr>
          <w:b/>
          <w:bCs/>
          <w:sz w:val="24"/>
          <w:szCs w:val="24"/>
        </w:rPr>
        <w:t>.</w:t>
      </w:r>
      <w:r w:rsidR="009D481C">
        <w:rPr>
          <w:b/>
          <w:bCs/>
          <w:sz w:val="24"/>
          <w:szCs w:val="24"/>
        </w:rPr>
        <w:fldChar w:fldCharType="begin"/>
      </w:r>
      <w:r w:rsidR="009D481C">
        <w:rPr>
          <w:b/>
          <w:bCs/>
          <w:sz w:val="24"/>
          <w:szCs w:val="24"/>
        </w:rPr>
        <w:instrText xml:space="preserve"> SEQ Figure \* ARABIC \s 1 </w:instrText>
      </w:r>
      <w:r w:rsidR="009D481C">
        <w:rPr>
          <w:b/>
          <w:bCs/>
          <w:sz w:val="24"/>
          <w:szCs w:val="24"/>
        </w:rPr>
        <w:fldChar w:fldCharType="separate"/>
      </w:r>
      <w:r w:rsidR="009D481C">
        <w:rPr>
          <w:b/>
          <w:bCs/>
          <w:noProof/>
          <w:sz w:val="24"/>
          <w:szCs w:val="24"/>
        </w:rPr>
        <w:t>3</w:t>
      </w:r>
      <w:r w:rsidR="009D481C">
        <w:rPr>
          <w:b/>
          <w:bCs/>
          <w:sz w:val="24"/>
          <w:szCs w:val="24"/>
        </w:rPr>
        <w:fldChar w:fldCharType="end"/>
      </w:r>
      <w:r w:rsidRPr="00191ACB">
        <w:rPr>
          <w:b/>
          <w:bCs/>
          <w:sz w:val="24"/>
          <w:szCs w:val="24"/>
        </w:rPr>
        <w:t>:Structure for Climate Change Implementation</w:t>
      </w:r>
      <w:bookmarkEnd w:id="68"/>
    </w:p>
    <w:p w14:paraId="2CF0ACE8" w14:textId="77777777" w:rsidR="00272D87" w:rsidRPr="00191ACB" w:rsidRDefault="00272D87" w:rsidP="00272D87">
      <w:pPr>
        <w:suppressAutoHyphens/>
        <w:autoSpaceDN w:val="0"/>
        <w:spacing w:after="0" w:line="240" w:lineRule="auto"/>
        <w:ind w:left="709"/>
        <w:jc w:val="both"/>
        <w:textAlignment w:val="baseline"/>
        <w:rPr>
          <w:rFonts w:ascii="Times New Roman" w:eastAsia="Calibri" w:hAnsi="Times New Roman" w:cs="Times New Roman"/>
          <w:b/>
          <w:bCs/>
          <w:i/>
          <w:iCs/>
          <w:color w:val="000000" w:themeColor="text1"/>
          <w:sz w:val="24"/>
          <w:szCs w:val="24"/>
        </w:rPr>
      </w:pPr>
      <w:r w:rsidRPr="00191ACB">
        <w:rPr>
          <w:rFonts w:ascii="Times New Roman" w:eastAsia="Calibri" w:hAnsi="Times New Roman" w:cs="Times New Roman"/>
          <w:b/>
          <w:bCs/>
          <w:i/>
          <w:iCs/>
          <w:color w:val="000000" w:themeColor="text1"/>
          <w:sz w:val="24"/>
          <w:szCs w:val="24"/>
        </w:rPr>
        <w:t>Source: Climate Change Policy, 2016</w:t>
      </w:r>
    </w:p>
    <w:p w14:paraId="67B1D978" w14:textId="77777777" w:rsidR="00272D87" w:rsidRPr="00191ACB" w:rsidRDefault="00272D87" w:rsidP="00EE64C4">
      <w:pPr>
        <w:suppressAutoHyphens/>
        <w:autoSpaceDN w:val="0"/>
        <w:spacing w:after="0" w:line="240" w:lineRule="auto"/>
        <w:jc w:val="both"/>
        <w:textAlignment w:val="baseline"/>
        <w:rPr>
          <w:rFonts w:ascii="Times New Roman" w:eastAsia="Calibri" w:hAnsi="Times New Roman" w:cs="Times New Roman"/>
          <w:color w:val="000000" w:themeColor="text1"/>
          <w:sz w:val="24"/>
          <w:szCs w:val="24"/>
        </w:rPr>
      </w:pPr>
    </w:p>
    <w:p w14:paraId="50C8D038" w14:textId="071A3674" w:rsidR="00EE64C4" w:rsidRPr="00191ACB" w:rsidRDefault="00EE64C4" w:rsidP="0040323D">
      <w:pPr>
        <w:pStyle w:val="Heading3"/>
        <w:numPr>
          <w:ilvl w:val="2"/>
          <w:numId w:val="36"/>
        </w:numPr>
        <w:ind w:left="851" w:hanging="851"/>
      </w:pPr>
      <w:bookmarkStart w:id="69" w:name="_Toc22394987"/>
      <w:bookmarkStart w:id="70" w:name="_Toc22575142"/>
      <w:bookmarkStart w:id="71" w:name="_Toc23011355"/>
      <w:bookmarkStart w:id="72" w:name="_Toc57902811"/>
      <w:r w:rsidRPr="00191ACB">
        <w:t xml:space="preserve">Institutional Arrangements for </w:t>
      </w:r>
      <w:r w:rsidR="00853EBF" w:rsidRPr="00191ACB">
        <w:t>p</w:t>
      </w:r>
      <w:r w:rsidRPr="00191ACB">
        <w:t>reparation of</w:t>
      </w:r>
      <w:bookmarkEnd w:id="69"/>
      <w:bookmarkEnd w:id="70"/>
      <w:bookmarkEnd w:id="71"/>
      <w:r w:rsidR="009E65B2" w:rsidRPr="00191ACB">
        <w:t xml:space="preserve"> the </w:t>
      </w:r>
      <w:r w:rsidR="00853EBF" w:rsidRPr="00191ACB">
        <w:t>B</w:t>
      </w:r>
      <w:r w:rsidR="009E65B2" w:rsidRPr="00191ACB">
        <w:t xml:space="preserve">iennial </w:t>
      </w:r>
      <w:r w:rsidR="00853EBF" w:rsidRPr="00191ACB">
        <w:t>U</w:t>
      </w:r>
      <w:r w:rsidR="009E65B2" w:rsidRPr="00191ACB">
        <w:t xml:space="preserve">pdate </w:t>
      </w:r>
      <w:r w:rsidR="00853EBF" w:rsidRPr="00191ACB">
        <w:t>R</w:t>
      </w:r>
      <w:r w:rsidR="009E65B2" w:rsidRPr="00191ACB">
        <w:t>eport</w:t>
      </w:r>
      <w:bookmarkEnd w:id="72"/>
    </w:p>
    <w:p w14:paraId="55EB59FD" w14:textId="34D20F66" w:rsidR="009E65B2" w:rsidRPr="00191ACB" w:rsidRDefault="009E65B2" w:rsidP="009E65B2">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institutional arrangement for preparation of the BUR is </w:t>
      </w:r>
      <w:r w:rsidR="00141F11" w:rsidRPr="00191ACB">
        <w:rPr>
          <w:rFonts w:ascii="Times New Roman" w:eastAsia="Calibri" w:hAnsi="Times New Roman" w:cs="Times New Roman"/>
          <w:color w:val="000000" w:themeColor="text1"/>
          <w:sz w:val="24"/>
          <w:szCs w:val="24"/>
        </w:rPr>
        <w:t xml:space="preserve">anchored to institutional framework established in </w:t>
      </w:r>
      <w:r w:rsidRPr="00191ACB">
        <w:rPr>
          <w:rFonts w:ascii="Times New Roman" w:eastAsia="Calibri" w:hAnsi="Times New Roman" w:cs="Times New Roman"/>
          <w:color w:val="000000" w:themeColor="text1"/>
          <w:sz w:val="24"/>
          <w:szCs w:val="24"/>
        </w:rPr>
        <w:t xml:space="preserve">the National Policy of Climate Change. A structure for preparation of the BUR is shown in Figure </w:t>
      </w:r>
      <w:r w:rsidR="00A464C2" w:rsidRPr="00191ACB">
        <w:rPr>
          <w:rFonts w:ascii="Times New Roman" w:eastAsia="Calibri" w:hAnsi="Times New Roman" w:cs="Times New Roman"/>
          <w:color w:val="000000" w:themeColor="text1"/>
          <w:sz w:val="24"/>
          <w:szCs w:val="24"/>
        </w:rPr>
        <w:t>2.4</w:t>
      </w:r>
      <w:r w:rsidRPr="00191ACB">
        <w:rPr>
          <w:rFonts w:ascii="Times New Roman" w:eastAsia="Calibri" w:hAnsi="Times New Roman" w:cs="Times New Roman"/>
          <w:color w:val="000000" w:themeColor="text1"/>
          <w:sz w:val="24"/>
          <w:szCs w:val="24"/>
        </w:rPr>
        <w:t>.</w:t>
      </w:r>
    </w:p>
    <w:p w14:paraId="40E82FD4" w14:textId="1DD78484" w:rsidR="009E65B2" w:rsidRPr="00191ACB" w:rsidRDefault="009E65B2" w:rsidP="009E65B2">
      <w:pPr>
        <w:spacing w:after="0" w:line="276" w:lineRule="auto"/>
        <w:jc w:val="both"/>
        <w:rPr>
          <w:rFonts w:ascii="Times New Roman" w:eastAsia="Calibri" w:hAnsi="Times New Roman" w:cs="Times New Roman"/>
          <w:color w:val="000000" w:themeColor="text1"/>
          <w:sz w:val="24"/>
          <w:szCs w:val="24"/>
        </w:rPr>
      </w:pPr>
    </w:p>
    <w:p w14:paraId="70036EFA" w14:textId="119BEBBB" w:rsidR="00141F11" w:rsidRPr="00191ACB" w:rsidRDefault="00141F11" w:rsidP="009E65B2">
      <w:pPr>
        <w:spacing w:after="0" w:line="276" w:lineRule="auto"/>
        <w:jc w:val="both"/>
        <w:rPr>
          <w:rFonts w:ascii="Times New Roman" w:eastAsia="Calibri" w:hAnsi="Times New Roman" w:cs="Times New Roman"/>
          <w:color w:val="000000" w:themeColor="text1"/>
          <w:sz w:val="24"/>
          <w:szCs w:val="24"/>
        </w:rPr>
      </w:pPr>
      <w:r w:rsidRPr="00191ACB">
        <w:rPr>
          <w:rFonts w:ascii="Times New Roman" w:hAnsi="Times New Roman" w:cs="Times New Roman"/>
          <w:noProof/>
          <w:sz w:val="24"/>
          <w:szCs w:val="24"/>
          <w:lang w:val="en-GB" w:eastAsia="en-GB"/>
        </w:rPr>
        <w:lastRenderedPageBreak/>
        <w:drawing>
          <wp:inline distT="0" distB="0" distL="0" distR="0" wp14:anchorId="25AF120B" wp14:editId="4534EA40">
            <wp:extent cx="4413250" cy="3917768"/>
            <wp:effectExtent l="0" t="0" r="6350" b="698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63019" cy="3961949"/>
                    </a:xfrm>
                    <a:prstGeom prst="rect">
                      <a:avLst/>
                    </a:prstGeom>
                  </pic:spPr>
                </pic:pic>
              </a:graphicData>
            </a:graphic>
          </wp:inline>
        </w:drawing>
      </w:r>
    </w:p>
    <w:p w14:paraId="7F26DDAE" w14:textId="1A0EE5B2" w:rsidR="00A464C2" w:rsidRPr="00191ACB" w:rsidRDefault="00A464C2" w:rsidP="00A464C2">
      <w:pPr>
        <w:pStyle w:val="Caption"/>
        <w:rPr>
          <w:sz w:val="24"/>
          <w:szCs w:val="24"/>
        </w:rPr>
      </w:pPr>
      <w:bookmarkStart w:id="73" w:name="_Toc56583845"/>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2</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4</w:t>
      </w:r>
      <w:r w:rsidR="009D481C">
        <w:rPr>
          <w:sz w:val="24"/>
          <w:szCs w:val="24"/>
        </w:rPr>
        <w:fldChar w:fldCharType="end"/>
      </w:r>
      <w:r w:rsidRPr="00191ACB">
        <w:rPr>
          <w:sz w:val="24"/>
          <w:szCs w:val="24"/>
        </w:rPr>
        <w:t>:. Structure for the preparation of the Biennial Update Report, Source: ZEMA, 2018</w:t>
      </w:r>
      <w:bookmarkEnd w:id="73"/>
    </w:p>
    <w:p w14:paraId="39FBF6D8" w14:textId="77777777" w:rsidR="00315ACC" w:rsidRPr="00191ACB" w:rsidRDefault="00315ACC" w:rsidP="009E65B2">
      <w:pPr>
        <w:suppressAutoHyphens/>
        <w:autoSpaceDN w:val="0"/>
        <w:spacing w:after="120" w:line="240" w:lineRule="auto"/>
        <w:jc w:val="both"/>
        <w:textAlignment w:val="baseline"/>
        <w:rPr>
          <w:rFonts w:ascii="Times New Roman" w:eastAsia="Calibri" w:hAnsi="Times New Roman" w:cs="Times New Roman"/>
          <w:color w:val="000000" w:themeColor="text1"/>
          <w:sz w:val="24"/>
          <w:szCs w:val="24"/>
        </w:rPr>
      </w:pPr>
    </w:p>
    <w:p w14:paraId="3EE1D4FF" w14:textId="57F0550F" w:rsidR="009E65B2" w:rsidRPr="00191ACB" w:rsidRDefault="009E65B2" w:rsidP="001761DF">
      <w:pPr>
        <w:suppressAutoHyphens/>
        <w:autoSpaceDN w:val="0"/>
        <w:spacing w:after="120" w:line="276" w:lineRule="auto"/>
        <w:jc w:val="both"/>
        <w:textAlignment w:val="baseline"/>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GHG Inventory System was developed to address challenges that were identified from past GHG inventories including, (i) Lack of documented procedures; (ii) Limited data storage and sharing systems; (iii) Lack of quality control and quality assurance (QA/QC) system to ensure routine and consistent checks required for data integrity, correctness and completeness from different data sources; and (iv) Lack of in-country capacity for GHG inventory management. </w:t>
      </w:r>
    </w:p>
    <w:p w14:paraId="55C57F28" w14:textId="77777777" w:rsidR="009E65B2" w:rsidRPr="00191ACB" w:rsidRDefault="009E65B2" w:rsidP="001761DF">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Strategies used to address the challenges were: (i) Building a sustainable GHG management system; and (ii) Building national systems and tools for data collection, processing, analysis, archiving and data sharing for Inventory development.</w:t>
      </w:r>
    </w:p>
    <w:p w14:paraId="72459BCF" w14:textId="77777777" w:rsidR="002508F6" w:rsidRPr="00191ACB" w:rsidRDefault="002508F6" w:rsidP="001761DF">
      <w:pPr>
        <w:spacing w:line="276" w:lineRule="auto"/>
        <w:rPr>
          <w:rFonts w:ascii="Times New Roman" w:eastAsia="Calibri" w:hAnsi="Times New Roman" w:cs="Times New Roman"/>
          <w:color w:val="000000" w:themeColor="text1"/>
          <w:sz w:val="24"/>
          <w:szCs w:val="24"/>
        </w:rPr>
      </w:pPr>
    </w:p>
    <w:p w14:paraId="0E578685" w14:textId="0AB45D26" w:rsidR="00EE64C4" w:rsidRPr="00191ACB" w:rsidRDefault="00415D24" w:rsidP="001761DF">
      <w:pPr>
        <w:spacing w:line="276" w:lineRule="auto"/>
        <w:jc w:val="both"/>
        <w:rPr>
          <w:rFonts w:ascii="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assessment on mitigation is undertaken by the mitigation subcommittee and the technology transfer, capacity building and awareness is undertaken by the means of implementation subcommittee of the Technical Committee. </w:t>
      </w:r>
      <w:r w:rsidR="00EE64C4" w:rsidRPr="00191ACB">
        <w:rPr>
          <w:rFonts w:ascii="Times New Roman" w:eastAsia="Calibri" w:hAnsi="Times New Roman" w:cs="Times New Roman"/>
          <w:color w:val="000000" w:themeColor="text1"/>
          <w:sz w:val="24"/>
          <w:szCs w:val="24"/>
        </w:rPr>
        <w:t xml:space="preserve"> The responsibility of awareness creation</w:t>
      </w:r>
      <w:r w:rsidR="002508F6" w:rsidRPr="00191ACB">
        <w:rPr>
          <w:rFonts w:ascii="Times New Roman" w:eastAsia="Calibri" w:hAnsi="Times New Roman" w:cs="Times New Roman"/>
          <w:color w:val="000000" w:themeColor="text1"/>
          <w:sz w:val="24"/>
          <w:szCs w:val="24"/>
        </w:rPr>
        <w:t xml:space="preserve"> lies with the</w:t>
      </w:r>
      <w:r w:rsidR="00EE64C4" w:rsidRPr="00191ACB">
        <w:rPr>
          <w:rFonts w:ascii="Times New Roman" w:eastAsia="Calibri" w:hAnsi="Times New Roman" w:cs="Times New Roman"/>
          <w:color w:val="000000" w:themeColor="text1"/>
          <w:sz w:val="24"/>
          <w:szCs w:val="24"/>
        </w:rPr>
        <w:t xml:space="preserve"> MLNR </w:t>
      </w:r>
      <w:r w:rsidR="002508F6" w:rsidRPr="00191ACB">
        <w:rPr>
          <w:rFonts w:ascii="Times New Roman" w:eastAsia="Calibri" w:hAnsi="Times New Roman" w:cs="Times New Roman"/>
          <w:color w:val="000000" w:themeColor="text1"/>
          <w:sz w:val="24"/>
          <w:szCs w:val="24"/>
        </w:rPr>
        <w:t>in</w:t>
      </w:r>
      <w:r w:rsidR="00EE64C4" w:rsidRPr="00191ACB">
        <w:rPr>
          <w:rFonts w:ascii="Times New Roman" w:eastAsia="Calibri" w:hAnsi="Times New Roman" w:cs="Times New Roman"/>
          <w:color w:val="000000" w:themeColor="text1"/>
          <w:sz w:val="24"/>
          <w:szCs w:val="24"/>
        </w:rPr>
        <w:t xml:space="preserve"> </w:t>
      </w:r>
      <w:r w:rsidR="002508F6" w:rsidRPr="00191ACB">
        <w:rPr>
          <w:rFonts w:ascii="Times New Roman" w:eastAsia="Calibri" w:hAnsi="Times New Roman" w:cs="Times New Roman"/>
          <w:color w:val="000000" w:themeColor="text1"/>
          <w:sz w:val="24"/>
          <w:szCs w:val="24"/>
        </w:rPr>
        <w:t>collaboration wi</w:t>
      </w:r>
      <w:r w:rsidR="00EE64C4" w:rsidRPr="00191ACB">
        <w:rPr>
          <w:rFonts w:ascii="Times New Roman" w:eastAsia="Calibri" w:hAnsi="Times New Roman" w:cs="Times New Roman"/>
          <w:color w:val="000000" w:themeColor="text1"/>
          <w:sz w:val="24"/>
          <w:szCs w:val="24"/>
        </w:rPr>
        <w:t>t</w:t>
      </w:r>
      <w:r w:rsidR="002508F6" w:rsidRPr="00191ACB">
        <w:rPr>
          <w:rFonts w:ascii="Times New Roman" w:eastAsia="Calibri" w:hAnsi="Times New Roman" w:cs="Times New Roman"/>
          <w:color w:val="000000" w:themeColor="text1"/>
          <w:sz w:val="24"/>
          <w:szCs w:val="24"/>
        </w:rPr>
        <w:t>h</w:t>
      </w:r>
      <w:r w:rsidR="00EE64C4" w:rsidRPr="00191ACB">
        <w:rPr>
          <w:rFonts w:ascii="Times New Roman" w:eastAsia="Calibri" w:hAnsi="Times New Roman" w:cs="Times New Roman"/>
          <w:color w:val="000000" w:themeColor="text1"/>
          <w:sz w:val="24"/>
          <w:szCs w:val="24"/>
        </w:rPr>
        <w:t xml:space="preserve"> </w:t>
      </w:r>
      <w:r w:rsidR="002508F6" w:rsidRPr="00191ACB">
        <w:rPr>
          <w:rFonts w:ascii="Times New Roman" w:eastAsia="Calibri" w:hAnsi="Times New Roman" w:cs="Times New Roman"/>
          <w:color w:val="000000" w:themeColor="text1"/>
          <w:sz w:val="24"/>
          <w:szCs w:val="24"/>
        </w:rPr>
        <w:t>other institutions as guided by the National Policy on Climate Change</w:t>
      </w:r>
      <w:r w:rsidR="00EE64C4" w:rsidRPr="00191ACB">
        <w:rPr>
          <w:rFonts w:ascii="Times New Roman" w:eastAsia="Calibri" w:hAnsi="Times New Roman" w:cs="Times New Roman"/>
          <w:color w:val="000000" w:themeColor="text1"/>
          <w:sz w:val="24"/>
          <w:szCs w:val="24"/>
        </w:rPr>
        <w:t>.</w:t>
      </w:r>
      <w:r w:rsidR="00EE64C4" w:rsidRPr="00191ACB">
        <w:rPr>
          <w:rFonts w:ascii="Times New Roman" w:hAnsi="Times New Roman" w:cs="Times New Roman"/>
          <w:color w:val="000000" w:themeColor="text1"/>
          <w:sz w:val="24"/>
          <w:szCs w:val="24"/>
        </w:rPr>
        <w:br w:type="page"/>
      </w:r>
    </w:p>
    <w:p w14:paraId="4ED05E7A" w14:textId="239DAE88" w:rsidR="00A6379A" w:rsidRPr="00191ACB" w:rsidRDefault="00A6379A" w:rsidP="00033860">
      <w:pPr>
        <w:pStyle w:val="Heading1"/>
        <w:numPr>
          <w:ilvl w:val="0"/>
          <w:numId w:val="36"/>
        </w:numPr>
        <w:ind w:left="426" w:hanging="426"/>
        <w:rPr>
          <w:rFonts w:ascii="Times New Roman" w:hAnsi="Times New Roman" w:cs="Times New Roman"/>
          <w:b/>
          <w:bCs/>
          <w:color w:val="auto"/>
          <w:sz w:val="24"/>
          <w:szCs w:val="24"/>
        </w:rPr>
      </w:pPr>
      <w:bookmarkStart w:id="74" w:name="_Toc57902812"/>
      <w:r w:rsidRPr="00191ACB">
        <w:rPr>
          <w:rFonts w:ascii="Times New Roman" w:hAnsi="Times New Roman" w:cs="Times New Roman"/>
          <w:b/>
          <w:bCs/>
          <w:color w:val="auto"/>
          <w:sz w:val="24"/>
          <w:szCs w:val="24"/>
        </w:rPr>
        <w:lastRenderedPageBreak/>
        <w:t>NATIONAL GREENHOUSE GAS INVENTORY</w:t>
      </w:r>
      <w:bookmarkEnd w:id="74"/>
      <w:r w:rsidRPr="00191ACB">
        <w:rPr>
          <w:rFonts w:ascii="Times New Roman" w:hAnsi="Times New Roman" w:cs="Times New Roman"/>
          <w:b/>
          <w:bCs/>
          <w:color w:val="auto"/>
          <w:sz w:val="24"/>
          <w:szCs w:val="24"/>
        </w:rPr>
        <w:t xml:space="preserve">  </w:t>
      </w:r>
    </w:p>
    <w:p w14:paraId="4EE0FE26" w14:textId="77777777" w:rsidR="00192376" w:rsidRPr="00191ACB" w:rsidRDefault="00192376" w:rsidP="005E626A">
      <w:pPr>
        <w:spacing w:after="120" w:line="240" w:lineRule="auto"/>
        <w:jc w:val="both"/>
        <w:rPr>
          <w:rFonts w:ascii="Times New Roman" w:hAnsi="Times New Roman" w:cs="Times New Roman"/>
          <w:color w:val="000000" w:themeColor="text1"/>
          <w:sz w:val="24"/>
          <w:szCs w:val="24"/>
        </w:rPr>
      </w:pPr>
      <w:bookmarkStart w:id="75" w:name="_Hlk533169145"/>
      <w:bookmarkEnd w:id="75"/>
    </w:p>
    <w:p w14:paraId="4992606F" w14:textId="2E60B3DD" w:rsidR="00185F16" w:rsidRPr="00191ACB" w:rsidRDefault="00102CAE"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As a Party to the UNFCCC, Zambia is required to produce and regularly update its </w:t>
      </w:r>
      <w:r w:rsidR="002508F6" w:rsidRPr="00191ACB">
        <w:rPr>
          <w:rFonts w:ascii="Times New Roman" w:hAnsi="Times New Roman" w:cs="Times New Roman"/>
          <w:color w:val="000000" w:themeColor="text1"/>
          <w:sz w:val="24"/>
          <w:szCs w:val="24"/>
        </w:rPr>
        <w:t>GHG</w:t>
      </w:r>
      <w:r w:rsidR="008A115E" w:rsidRPr="00191ACB">
        <w:rPr>
          <w:rFonts w:ascii="Times New Roman" w:hAnsi="Times New Roman" w:cs="Times New Roman"/>
          <w:color w:val="000000" w:themeColor="text1"/>
          <w:sz w:val="24"/>
          <w:szCs w:val="24"/>
        </w:rPr>
        <w:t>i</w:t>
      </w:r>
      <w:r w:rsidRPr="00191ACB">
        <w:rPr>
          <w:rFonts w:ascii="Times New Roman" w:hAnsi="Times New Roman" w:cs="Times New Roman"/>
          <w:color w:val="000000" w:themeColor="text1"/>
          <w:sz w:val="24"/>
          <w:szCs w:val="24"/>
        </w:rPr>
        <w:t xml:space="preserve"> as part of National Communication and Biennial Update Report (BUR), including information on its emissions by sources and removals by sinks of all GHGs not controlled by the Montreal Protocol.</w:t>
      </w:r>
      <w:r w:rsidR="00185F16" w:rsidRPr="00191ACB">
        <w:rPr>
          <w:rFonts w:ascii="Times New Roman" w:hAnsi="Times New Roman" w:cs="Times New Roman"/>
          <w:color w:val="000000" w:themeColor="text1"/>
          <w:sz w:val="24"/>
          <w:szCs w:val="24"/>
        </w:rPr>
        <w:t xml:space="preserve"> The objective of the GHGi was to determine Zambia’s emission levels for 2011 to 2016 using the 2006 IPCC Guidelines.</w:t>
      </w:r>
    </w:p>
    <w:p w14:paraId="7849B336" w14:textId="77777777" w:rsidR="00BE0D7C" w:rsidRPr="00191ACB" w:rsidRDefault="00BE0D7C" w:rsidP="005E626A">
      <w:pPr>
        <w:spacing w:after="120" w:line="240" w:lineRule="auto"/>
        <w:jc w:val="both"/>
        <w:rPr>
          <w:rFonts w:ascii="Times New Roman" w:hAnsi="Times New Roman" w:cs="Times New Roman"/>
          <w:color w:val="000000" w:themeColor="text1"/>
          <w:sz w:val="24"/>
          <w:szCs w:val="24"/>
        </w:rPr>
      </w:pPr>
    </w:p>
    <w:p w14:paraId="33A440E2" w14:textId="2882E1FB" w:rsidR="006B303C" w:rsidRPr="00191ACB" w:rsidRDefault="006B303C" w:rsidP="00033860">
      <w:pPr>
        <w:pStyle w:val="Heading2"/>
        <w:numPr>
          <w:ilvl w:val="1"/>
          <w:numId w:val="36"/>
        </w:numPr>
        <w:spacing w:after="120" w:line="276" w:lineRule="auto"/>
        <w:ind w:left="851" w:hanging="851"/>
        <w:rPr>
          <w:rFonts w:ascii="Times New Roman" w:hAnsi="Times New Roman" w:cs="Times New Roman"/>
          <w:b/>
          <w:color w:val="000000" w:themeColor="text1"/>
          <w:sz w:val="24"/>
          <w:szCs w:val="24"/>
        </w:rPr>
      </w:pPr>
      <w:bookmarkStart w:id="76" w:name="_Toc36572318"/>
      <w:bookmarkStart w:id="77" w:name="_Toc57902813"/>
      <w:r w:rsidRPr="00191ACB">
        <w:rPr>
          <w:rFonts w:ascii="Times New Roman" w:hAnsi="Times New Roman" w:cs="Times New Roman"/>
          <w:b/>
          <w:color w:val="000000" w:themeColor="text1"/>
          <w:sz w:val="24"/>
          <w:szCs w:val="24"/>
        </w:rPr>
        <w:t>Scope</w:t>
      </w:r>
      <w:r w:rsidR="006C2814" w:rsidRPr="00191ACB">
        <w:rPr>
          <w:rFonts w:ascii="Times New Roman" w:hAnsi="Times New Roman" w:cs="Times New Roman"/>
          <w:b/>
          <w:color w:val="000000" w:themeColor="text1"/>
          <w:sz w:val="24"/>
          <w:szCs w:val="24"/>
        </w:rPr>
        <w:t>, Methodologies Used and Data Sources</w:t>
      </w:r>
      <w:bookmarkEnd w:id="76"/>
      <w:bookmarkEnd w:id="77"/>
    </w:p>
    <w:p w14:paraId="041421AE" w14:textId="6F4DAEDA" w:rsidR="00102CAE" w:rsidRPr="00191ACB" w:rsidRDefault="00102CAE" w:rsidP="001761DF">
      <w:pPr>
        <w:spacing w:after="120" w:line="276" w:lineRule="auto"/>
        <w:ind w:right="40"/>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GHGi was prepared in accordance with the requirements of the UNFCCC using the Intergovernmental Panel on Climate Change (IPCC) guidelines. The Inventory used the 2006 IPCC guidelines for National GHG Inventories and the 2006 IPCC software Version 2.69.7235. Further, Emission Factor Database (EFDB) Version 2.7 of November 2017, was used. The GHGi assessed the following sectors: Energy, Industrial Processes and Product Use, Agriculture Forestry and Other Land Use and Waste. The greenhouse gases covered in the Inventory included the following:</w:t>
      </w:r>
    </w:p>
    <w:p w14:paraId="135CC138" w14:textId="77777777" w:rsidR="00102CAE" w:rsidRPr="00191ACB" w:rsidRDefault="00102CAE" w:rsidP="001761DF">
      <w:pPr>
        <w:pStyle w:val="ListParagraph"/>
        <w:numPr>
          <w:ilvl w:val="0"/>
          <w:numId w:val="1"/>
        </w:numPr>
        <w:spacing w:after="120"/>
        <w:ind w:right="40"/>
        <w:jc w:val="both"/>
        <w:rPr>
          <w:color w:val="000000" w:themeColor="text1"/>
        </w:rPr>
      </w:pPr>
      <w:r w:rsidRPr="00191ACB">
        <w:rPr>
          <w:color w:val="000000" w:themeColor="text1"/>
        </w:rPr>
        <w:t>Carbon dioxide (CO</w:t>
      </w:r>
      <w:r w:rsidRPr="00191ACB">
        <w:rPr>
          <w:color w:val="000000" w:themeColor="text1"/>
          <w:vertAlign w:val="subscript"/>
        </w:rPr>
        <w:t>2</w:t>
      </w:r>
      <w:r w:rsidRPr="00191ACB">
        <w:rPr>
          <w:color w:val="000000" w:themeColor="text1"/>
        </w:rPr>
        <w:t>)</w:t>
      </w:r>
    </w:p>
    <w:p w14:paraId="686D2CE0" w14:textId="77777777" w:rsidR="00102CAE" w:rsidRPr="00191ACB" w:rsidRDefault="00102CAE" w:rsidP="001761DF">
      <w:pPr>
        <w:pStyle w:val="ListParagraph"/>
        <w:numPr>
          <w:ilvl w:val="0"/>
          <w:numId w:val="1"/>
        </w:numPr>
        <w:spacing w:after="120"/>
        <w:ind w:right="40"/>
        <w:jc w:val="both"/>
        <w:rPr>
          <w:color w:val="000000" w:themeColor="text1"/>
        </w:rPr>
      </w:pPr>
      <w:r w:rsidRPr="00191ACB">
        <w:rPr>
          <w:color w:val="000000" w:themeColor="text1"/>
        </w:rPr>
        <w:t>Methane (CH</w:t>
      </w:r>
      <w:r w:rsidRPr="00191ACB">
        <w:rPr>
          <w:color w:val="000000" w:themeColor="text1"/>
          <w:vertAlign w:val="subscript"/>
        </w:rPr>
        <w:t>4</w:t>
      </w:r>
      <w:r w:rsidRPr="00191ACB">
        <w:rPr>
          <w:color w:val="000000" w:themeColor="text1"/>
        </w:rPr>
        <w:t>)</w:t>
      </w:r>
    </w:p>
    <w:p w14:paraId="3F5F7BAB" w14:textId="77777777" w:rsidR="00102CAE" w:rsidRPr="00191ACB" w:rsidRDefault="00102CAE" w:rsidP="001761DF">
      <w:pPr>
        <w:pStyle w:val="ListParagraph"/>
        <w:numPr>
          <w:ilvl w:val="0"/>
          <w:numId w:val="1"/>
        </w:numPr>
        <w:spacing w:after="120"/>
        <w:ind w:right="40"/>
        <w:jc w:val="both"/>
        <w:rPr>
          <w:color w:val="000000" w:themeColor="text1"/>
        </w:rPr>
      </w:pPr>
      <w:r w:rsidRPr="00191ACB">
        <w:rPr>
          <w:color w:val="000000" w:themeColor="text1"/>
        </w:rPr>
        <w:t>Nitrous oxide (N</w:t>
      </w:r>
      <w:r w:rsidRPr="00191ACB">
        <w:rPr>
          <w:color w:val="000000" w:themeColor="text1"/>
          <w:vertAlign w:val="subscript"/>
        </w:rPr>
        <w:t>2</w:t>
      </w:r>
      <w:r w:rsidRPr="00191ACB">
        <w:rPr>
          <w:color w:val="000000" w:themeColor="text1"/>
        </w:rPr>
        <w:t>O)</w:t>
      </w:r>
    </w:p>
    <w:p w14:paraId="4D183759" w14:textId="77777777" w:rsidR="00102CAE" w:rsidRPr="00191ACB" w:rsidRDefault="00102CAE" w:rsidP="001761DF">
      <w:pPr>
        <w:pStyle w:val="ListParagraph"/>
        <w:numPr>
          <w:ilvl w:val="0"/>
          <w:numId w:val="1"/>
        </w:numPr>
        <w:spacing w:after="120"/>
        <w:ind w:right="40"/>
        <w:jc w:val="both"/>
        <w:rPr>
          <w:color w:val="000000" w:themeColor="text1"/>
        </w:rPr>
      </w:pPr>
      <w:r w:rsidRPr="00191ACB">
        <w:rPr>
          <w:color w:val="000000" w:themeColor="text1"/>
        </w:rPr>
        <w:t>Hydro fluorocarbons (HFCs)</w:t>
      </w:r>
    </w:p>
    <w:p w14:paraId="35101E36" w14:textId="77777777" w:rsidR="00102CAE" w:rsidRPr="00191ACB" w:rsidRDefault="00102CAE" w:rsidP="001761DF">
      <w:pPr>
        <w:pStyle w:val="ListParagraph"/>
        <w:numPr>
          <w:ilvl w:val="0"/>
          <w:numId w:val="1"/>
        </w:numPr>
        <w:spacing w:after="120"/>
        <w:ind w:right="40"/>
        <w:jc w:val="both"/>
        <w:rPr>
          <w:color w:val="000000" w:themeColor="text1"/>
        </w:rPr>
      </w:pPr>
      <w:r w:rsidRPr="00191ACB">
        <w:rPr>
          <w:color w:val="000000" w:themeColor="text1"/>
        </w:rPr>
        <w:t>Sulphur hexafluoride (SF</w:t>
      </w:r>
      <w:r w:rsidRPr="00191ACB">
        <w:rPr>
          <w:color w:val="000000" w:themeColor="text1"/>
          <w:vertAlign w:val="subscript"/>
        </w:rPr>
        <w:t>6</w:t>
      </w:r>
      <w:r w:rsidRPr="00191ACB">
        <w:rPr>
          <w:color w:val="000000" w:themeColor="text1"/>
        </w:rPr>
        <w:t>)</w:t>
      </w:r>
    </w:p>
    <w:p w14:paraId="7BA45F55" w14:textId="4926C627" w:rsidR="00102CAE" w:rsidRPr="00191ACB" w:rsidRDefault="00102CAE"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w:t>
      </w:r>
      <w:r w:rsidR="008A115E" w:rsidRPr="00191ACB">
        <w:rPr>
          <w:rFonts w:ascii="Times New Roman" w:hAnsi="Times New Roman" w:cs="Times New Roman"/>
          <w:color w:val="000000" w:themeColor="text1"/>
          <w:sz w:val="24"/>
          <w:szCs w:val="24"/>
        </w:rPr>
        <w:t>GHGi</w:t>
      </w:r>
      <w:r w:rsidRPr="00191ACB">
        <w:rPr>
          <w:rFonts w:ascii="Times New Roman" w:hAnsi="Times New Roman" w:cs="Times New Roman"/>
          <w:color w:val="000000" w:themeColor="text1"/>
          <w:sz w:val="24"/>
          <w:szCs w:val="24"/>
        </w:rPr>
        <w:t xml:space="preserve"> also cover</w:t>
      </w:r>
      <w:r w:rsidR="008A115E" w:rsidRPr="00191ACB">
        <w:rPr>
          <w:rFonts w:ascii="Times New Roman" w:hAnsi="Times New Roman" w:cs="Times New Roman"/>
          <w:color w:val="000000" w:themeColor="text1"/>
          <w:sz w:val="24"/>
          <w:szCs w:val="24"/>
        </w:rPr>
        <w:t>ed</w:t>
      </w:r>
      <w:r w:rsidRPr="00191ACB">
        <w:rPr>
          <w:rFonts w:ascii="Times New Roman" w:hAnsi="Times New Roman" w:cs="Times New Roman"/>
          <w:color w:val="000000" w:themeColor="text1"/>
          <w:sz w:val="24"/>
          <w:szCs w:val="24"/>
        </w:rPr>
        <w:t xml:space="preserve"> precursor gases for sector</w:t>
      </w:r>
      <w:r w:rsidR="00C87A2E" w:rsidRPr="00191ACB">
        <w:rPr>
          <w:rFonts w:ascii="Times New Roman" w:hAnsi="Times New Roman" w:cs="Times New Roman"/>
          <w:color w:val="000000" w:themeColor="text1"/>
          <w:sz w:val="24"/>
          <w:szCs w:val="24"/>
        </w:rPr>
        <w:t>s that</w:t>
      </w:r>
      <w:r w:rsidRPr="00191ACB">
        <w:rPr>
          <w:rFonts w:ascii="Times New Roman" w:hAnsi="Times New Roman" w:cs="Times New Roman"/>
          <w:color w:val="000000" w:themeColor="text1"/>
          <w:sz w:val="24"/>
          <w:szCs w:val="24"/>
        </w:rPr>
        <w:t xml:space="preserve"> include; </w:t>
      </w:r>
      <w:r w:rsidR="00C87A2E" w:rsidRPr="00191ACB">
        <w:rPr>
          <w:rFonts w:ascii="Times New Roman" w:hAnsi="Times New Roman" w:cs="Times New Roman"/>
          <w:color w:val="000000" w:themeColor="text1"/>
          <w:sz w:val="24"/>
          <w:szCs w:val="24"/>
        </w:rPr>
        <w:t>E</w:t>
      </w:r>
      <w:r w:rsidRPr="00191ACB">
        <w:rPr>
          <w:rFonts w:ascii="Times New Roman" w:hAnsi="Times New Roman" w:cs="Times New Roman"/>
          <w:color w:val="000000" w:themeColor="text1"/>
          <w:sz w:val="24"/>
          <w:szCs w:val="24"/>
        </w:rPr>
        <w:t>nergy, Industrial Processes and Product use, Agriculture Forestry and Other Land Use (AFOLU) and Waste. The precursor emissions were prepared in accordance with the European Environment Agency EMEP/EEA air pollutant emission inventory guidebook 2019. Although they are not included in global warming potential-weighted greenhouse gas emission totals, emissions of carbon monoxide (CO), oxides of nitrogen (NOx), non-methane volatile organic compounds (NMVOCs), and sulphur dioxide (SO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are reported in greenhouse gas inventories. Carbon monoxide (CO), </w:t>
      </w:r>
      <w:r w:rsidR="00BD590D" w:rsidRPr="00191ACB">
        <w:rPr>
          <w:rFonts w:ascii="Times New Roman" w:hAnsi="Times New Roman" w:cs="Times New Roman"/>
          <w:color w:val="000000" w:themeColor="text1"/>
          <w:sz w:val="24"/>
          <w:szCs w:val="24"/>
        </w:rPr>
        <w:t>Oxides of nitrogen</w:t>
      </w:r>
      <w:r w:rsidRPr="00191ACB">
        <w:rPr>
          <w:rFonts w:ascii="Times New Roman" w:hAnsi="Times New Roman" w:cs="Times New Roman"/>
          <w:color w:val="000000" w:themeColor="text1"/>
          <w:sz w:val="24"/>
          <w:szCs w:val="24"/>
        </w:rPr>
        <w:t xml:space="preserve"> (NOx) and NMVOC in the presence of sunlight contribute to the formation of the greenhouse gas ozone (O</w:t>
      </w:r>
      <w:r w:rsidRPr="00191ACB">
        <w:rPr>
          <w:rFonts w:ascii="Times New Roman" w:hAnsi="Times New Roman" w:cs="Times New Roman"/>
          <w:color w:val="000000" w:themeColor="text1"/>
          <w:sz w:val="24"/>
          <w:szCs w:val="24"/>
          <w:vertAlign w:val="subscript"/>
        </w:rPr>
        <w:t>3</w:t>
      </w:r>
      <w:r w:rsidRPr="00191ACB">
        <w:rPr>
          <w:rFonts w:ascii="Times New Roman" w:hAnsi="Times New Roman" w:cs="Times New Roman"/>
          <w:color w:val="000000" w:themeColor="text1"/>
          <w:sz w:val="24"/>
          <w:szCs w:val="24"/>
        </w:rPr>
        <w:t>) in the troposphere and are therefore often called ‘ozone precursors’. Furthermore, NOx emission plays an important role in the earth’s nitrogen cycle. Sulphur Dioxide emissions lead to formation of sulphate particles, which also play a role in climate change. Ammonia (NH</w:t>
      </w:r>
      <w:r w:rsidRPr="00191ACB">
        <w:rPr>
          <w:rFonts w:ascii="Times New Roman" w:hAnsi="Times New Roman" w:cs="Times New Roman"/>
          <w:color w:val="000000" w:themeColor="text1"/>
          <w:sz w:val="24"/>
          <w:szCs w:val="24"/>
          <w:vertAlign w:val="subscript"/>
        </w:rPr>
        <w:t>3</w:t>
      </w:r>
      <w:r w:rsidRPr="00191ACB">
        <w:rPr>
          <w:rFonts w:ascii="Times New Roman" w:hAnsi="Times New Roman" w:cs="Times New Roman"/>
          <w:color w:val="000000" w:themeColor="text1"/>
          <w:sz w:val="24"/>
          <w:szCs w:val="24"/>
        </w:rPr>
        <w:t>) is an aerosol precursor, but is less important for aerosol formation than SO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w:t>
      </w:r>
    </w:p>
    <w:p w14:paraId="73D7E5DE" w14:textId="77777777" w:rsidR="00102CAE" w:rsidRPr="00191ACB" w:rsidRDefault="00102CAE"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Tier 1 method and default emissions factors were used to estimate emissions for the Energy, IPPU, and Waste sectors. Tier 2 method was employed for Land sub category under AFOLU while Tier 1 was used for the remaining sub categories under AFOLU. For precursor emissions estimates, the European Environment Agency EMEP/EEA air pollutant emission inventory guidebook 2019 were used.</w:t>
      </w:r>
    </w:p>
    <w:p w14:paraId="2E1860E3" w14:textId="77777777" w:rsidR="00BE0D7C" w:rsidRPr="00191ACB" w:rsidRDefault="00BE0D7C" w:rsidP="005E626A">
      <w:pPr>
        <w:spacing w:after="120" w:line="240" w:lineRule="auto"/>
        <w:jc w:val="both"/>
        <w:rPr>
          <w:rFonts w:ascii="Times New Roman" w:hAnsi="Times New Roman" w:cs="Times New Roman"/>
          <w:color w:val="000000" w:themeColor="text1"/>
          <w:sz w:val="24"/>
          <w:szCs w:val="24"/>
        </w:rPr>
      </w:pPr>
    </w:p>
    <w:p w14:paraId="3C9A6E95" w14:textId="7646EA54" w:rsidR="00102CAE" w:rsidRPr="001761DF" w:rsidRDefault="00102CAE" w:rsidP="00033860">
      <w:pPr>
        <w:pStyle w:val="Heading3"/>
        <w:numPr>
          <w:ilvl w:val="2"/>
          <w:numId w:val="36"/>
        </w:numPr>
        <w:ind w:left="851" w:hanging="709"/>
        <w:rPr>
          <w:rFonts w:cs="Times New Roman"/>
          <w:bCs/>
          <w:szCs w:val="24"/>
        </w:rPr>
      </w:pPr>
      <w:bookmarkStart w:id="78" w:name="_Toc36572319"/>
      <w:bookmarkStart w:id="79" w:name="_Toc57902814"/>
      <w:r w:rsidRPr="001761DF">
        <w:rPr>
          <w:rFonts w:cs="Times New Roman"/>
          <w:bCs/>
          <w:szCs w:val="24"/>
        </w:rPr>
        <w:lastRenderedPageBreak/>
        <w:t>Quality Assurance and Quality Control (QA/QC)</w:t>
      </w:r>
      <w:bookmarkEnd w:id="78"/>
      <w:bookmarkEnd w:id="79"/>
    </w:p>
    <w:p w14:paraId="0B912A91" w14:textId="77777777" w:rsidR="00102CAE" w:rsidRPr="00191ACB" w:rsidRDefault="00102CAE"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Quality control was conducted at three levels of the inventory process as follows:</w:t>
      </w:r>
    </w:p>
    <w:p w14:paraId="5B1AA762" w14:textId="77777777" w:rsidR="00102CAE" w:rsidRPr="00191ACB" w:rsidRDefault="00102CAE" w:rsidP="001761DF">
      <w:pPr>
        <w:pStyle w:val="ListParagraph"/>
        <w:numPr>
          <w:ilvl w:val="0"/>
          <w:numId w:val="2"/>
        </w:numPr>
        <w:spacing w:after="120"/>
        <w:jc w:val="both"/>
        <w:rPr>
          <w:color w:val="000000" w:themeColor="text1"/>
        </w:rPr>
      </w:pPr>
      <w:r w:rsidRPr="00191ACB">
        <w:rPr>
          <w:color w:val="000000" w:themeColor="text1"/>
        </w:rPr>
        <w:t xml:space="preserve">Pre-inventory preparation quality control: This involved activity data compilation and cleaning of the data by sector teams prior to inventory compilation. </w:t>
      </w:r>
    </w:p>
    <w:p w14:paraId="289448F9" w14:textId="77777777" w:rsidR="00102CAE" w:rsidRPr="00191ACB" w:rsidRDefault="00102CAE" w:rsidP="001761DF">
      <w:pPr>
        <w:pStyle w:val="ListParagraph"/>
        <w:numPr>
          <w:ilvl w:val="0"/>
          <w:numId w:val="2"/>
        </w:numPr>
        <w:spacing w:after="120"/>
        <w:jc w:val="both"/>
        <w:rPr>
          <w:color w:val="000000" w:themeColor="text1"/>
        </w:rPr>
      </w:pPr>
      <w:r w:rsidRPr="00191ACB">
        <w:rPr>
          <w:color w:val="000000" w:themeColor="text1"/>
        </w:rPr>
        <w:t>Quality control during inventory preparation: This involved checking and verification of activity data and emissions factors and ensuring correct entry of figures in the software.</w:t>
      </w:r>
    </w:p>
    <w:p w14:paraId="450272EF" w14:textId="38B55C49" w:rsidR="00DB7A2E" w:rsidRPr="00191ACB" w:rsidRDefault="00102CAE" w:rsidP="001761DF">
      <w:pPr>
        <w:pStyle w:val="ListParagraph"/>
        <w:numPr>
          <w:ilvl w:val="0"/>
          <w:numId w:val="2"/>
        </w:numPr>
        <w:spacing w:after="120"/>
        <w:jc w:val="both"/>
        <w:rPr>
          <w:color w:val="000000" w:themeColor="text1"/>
        </w:rPr>
      </w:pPr>
      <w:r w:rsidRPr="00191ACB">
        <w:rPr>
          <w:color w:val="000000" w:themeColor="text1"/>
        </w:rPr>
        <w:t xml:space="preserve">Post inventory preparation Quality Control: This involved checking and verification of activity data, emission factors and results of emissions. </w:t>
      </w:r>
    </w:p>
    <w:p w14:paraId="67C13461" w14:textId="77777777" w:rsidR="00CA3650" w:rsidRPr="00191ACB" w:rsidRDefault="00102CAE" w:rsidP="001761DF">
      <w:pPr>
        <w:spacing w:after="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GHG emission inventory includes calculation of emissions from all relevant sources where data was available and are occurring in Zambia in accordance with the </w:t>
      </w:r>
      <w:r w:rsidR="00BD590D" w:rsidRPr="00191ACB">
        <w:rPr>
          <w:rFonts w:ascii="Times New Roman" w:hAnsi="Times New Roman" w:cs="Times New Roman"/>
          <w:color w:val="000000" w:themeColor="text1"/>
          <w:sz w:val="24"/>
          <w:szCs w:val="24"/>
        </w:rPr>
        <w:t xml:space="preserve">2006 </w:t>
      </w:r>
      <w:r w:rsidRPr="00191ACB">
        <w:rPr>
          <w:rFonts w:ascii="Times New Roman" w:hAnsi="Times New Roman" w:cs="Times New Roman"/>
          <w:color w:val="000000" w:themeColor="text1"/>
          <w:sz w:val="24"/>
          <w:szCs w:val="24"/>
        </w:rPr>
        <w:t xml:space="preserve">IPCC Guidelines. </w:t>
      </w:r>
      <w:r w:rsidR="00CA3650" w:rsidRPr="00191ACB">
        <w:rPr>
          <w:rFonts w:ascii="Times New Roman" w:hAnsi="Times New Roman" w:cs="Times New Roman"/>
          <w:color w:val="000000" w:themeColor="text1"/>
          <w:sz w:val="24"/>
          <w:szCs w:val="24"/>
        </w:rPr>
        <w:t>The IPCC good practice guidance requires the country’s Inventory to be Transparent, Accurate, Consistent, Complete and Comparable (TACCC) to other inventories. In adherence to this, the GHG Inventory report was submitted to the Global Support Programme (GSP) for quality assurance. Further, the report highlighted information gaps where estimations could not be undertaken and the levels of uncertainties.</w:t>
      </w:r>
    </w:p>
    <w:p w14:paraId="59331935" w14:textId="7A034EA4" w:rsidR="00102CAE" w:rsidRPr="00191ACB" w:rsidRDefault="00102CAE" w:rsidP="005E626A">
      <w:pPr>
        <w:autoSpaceDE w:val="0"/>
        <w:autoSpaceDN w:val="0"/>
        <w:adjustRightInd w:val="0"/>
        <w:spacing w:after="120" w:line="240" w:lineRule="auto"/>
        <w:jc w:val="both"/>
        <w:rPr>
          <w:rFonts w:ascii="Times New Roman" w:hAnsi="Times New Roman" w:cs="Times New Roman"/>
          <w:color w:val="000000" w:themeColor="text1"/>
          <w:sz w:val="24"/>
          <w:szCs w:val="24"/>
        </w:rPr>
      </w:pPr>
    </w:p>
    <w:p w14:paraId="667C44DA" w14:textId="77777777" w:rsidR="00BE0D7C" w:rsidRPr="00191ACB" w:rsidRDefault="00BE0D7C" w:rsidP="00192376">
      <w:pPr>
        <w:pStyle w:val="Heading2"/>
        <w:spacing w:after="120" w:line="240" w:lineRule="auto"/>
        <w:ind w:left="1440"/>
        <w:rPr>
          <w:rFonts w:ascii="Times New Roman" w:hAnsi="Times New Roman" w:cs="Times New Roman"/>
          <w:b/>
          <w:color w:val="000000" w:themeColor="text1"/>
          <w:sz w:val="24"/>
          <w:szCs w:val="24"/>
        </w:rPr>
      </w:pPr>
    </w:p>
    <w:p w14:paraId="185AD9CD" w14:textId="4C16AC0D" w:rsidR="00102CAE" w:rsidRPr="00191ACB" w:rsidRDefault="00102CAE" w:rsidP="00033860">
      <w:pPr>
        <w:pStyle w:val="Heading2"/>
        <w:numPr>
          <w:ilvl w:val="1"/>
          <w:numId w:val="36"/>
        </w:numPr>
        <w:spacing w:after="120" w:line="240" w:lineRule="auto"/>
        <w:ind w:left="851" w:hanging="709"/>
        <w:rPr>
          <w:rFonts w:ascii="Times New Roman" w:hAnsi="Times New Roman" w:cs="Times New Roman"/>
          <w:b/>
          <w:bCs/>
          <w:color w:val="auto"/>
          <w:sz w:val="24"/>
          <w:szCs w:val="24"/>
        </w:rPr>
      </w:pPr>
      <w:bookmarkStart w:id="80" w:name="_Toc36572321"/>
      <w:bookmarkStart w:id="81" w:name="_Toc57902815"/>
      <w:r w:rsidRPr="00191ACB">
        <w:rPr>
          <w:rFonts w:ascii="Times New Roman" w:hAnsi="Times New Roman" w:cs="Times New Roman"/>
          <w:b/>
          <w:bCs/>
          <w:color w:val="auto"/>
          <w:sz w:val="24"/>
          <w:szCs w:val="24"/>
        </w:rPr>
        <w:t xml:space="preserve">Trends </w:t>
      </w:r>
      <w:r w:rsidR="00154848" w:rsidRPr="00191ACB">
        <w:rPr>
          <w:rFonts w:ascii="Times New Roman" w:hAnsi="Times New Roman" w:cs="Times New Roman"/>
          <w:b/>
          <w:bCs/>
          <w:color w:val="auto"/>
          <w:sz w:val="24"/>
          <w:szCs w:val="24"/>
        </w:rPr>
        <w:t>in Greenhouse Gas Emissions</w:t>
      </w:r>
      <w:bookmarkEnd w:id="80"/>
      <w:bookmarkEnd w:id="81"/>
    </w:p>
    <w:p w14:paraId="2B1727B4" w14:textId="571CA30D" w:rsidR="00C16CBB" w:rsidRPr="0040323D" w:rsidRDefault="00C16CBB" w:rsidP="00033860">
      <w:pPr>
        <w:pStyle w:val="Heading3"/>
        <w:numPr>
          <w:ilvl w:val="2"/>
          <w:numId w:val="36"/>
        </w:numPr>
        <w:ind w:left="851" w:hanging="709"/>
        <w:rPr>
          <w:rFonts w:cs="Times New Roman"/>
          <w:szCs w:val="24"/>
        </w:rPr>
      </w:pPr>
      <w:bookmarkStart w:id="82" w:name="_Toc48427288"/>
      <w:bookmarkStart w:id="83" w:name="_Toc57902816"/>
      <w:bookmarkStart w:id="84" w:name="_Toc36572323"/>
      <w:r w:rsidRPr="0040323D">
        <w:rPr>
          <w:rFonts w:cs="Times New Roman"/>
          <w:szCs w:val="24"/>
        </w:rPr>
        <w:t>Emissions trends for GHG emissions</w:t>
      </w:r>
      <w:bookmarkEnd w:id="82"/>
      <w:bookmarkEnd w:id="83"/>
      <w:r w:rsidRPr="0040323D">
        <w:rPr>
          <w:rFonts w:cs="Times New Roman"/>
          <w:szCs w:val="24"/>
        </w:rPr>
        <w:t xml:space="preserve">    </w:t>
      </w:r>
      <w:r w:rsidRPr="0040323D">
        <w:rPr>
          <w:rFonts w:cs="Times New Roman"/>
          <w:szCs w:val="24"/>
        </w:rPr>
        <w:tab/>
      </w:r>
    </w:p>
    <w:p w14:paraId="325AEBCC" w14:textId="4B681C77" w:rsidR="00C16CBB" w:rsidRPr="00191ACB" w:rsidRDefault="00C16CBB" w:rsidP="001761DF">
      <w:pPr>
        <w:spacing w:after="120" w:line="276" w:lineRule="auto"/>
        <w:jc w:val="both"/>
        <w:rPr>
          <w:rFonts w:ascii="Times New Roman" w:eastAsia="Arial" w:hAnsi="Times New Roman" w:cs="Times New Roman"/>
          <w:color w:val="000000" w:themeColor="text1"/>
          <w:sz w:val="24"/>
          <w:szCs w:val="24"/>
        </w:rPr>
      </w:pPr>
      <w:r w:rsidRPr="00191ACB">
        <w:rPr>
          <w:rFonts w:ascii="Times New Roman" w:hAnsi="Times New Roman" w:cs="Times New Roman"/>
          <w:color w:val="000000" w:themeColor="text1"/>
          <w:sz w:val="24"/>
          <w:szCs w:val="24"/>
        </w:rPr>
        <w:t>The net GHG emissions indicate that Zambia was a net Sink for the period 1994 to 2010., The net sink has been reducing from -56,866.0 Gg CO</w:t>
      </w:r>
      <w:r w:rsidRPr="00191ACB">
        <w:rPr>
          <w:rFonts w:ascii="Times New Roman" w:hAnsi="Times New Roman" w:cs="Times New Roman"/>
          <w:color w:val="000000" w:themeColor="text1"/>
          <w:sz w:val="24"/>
          <w:szCs w:val="24"/>
          <w:vertAlign w:val="subscript"/>
        </w:rPr>
        <w:t>2eq.</w:t>
      </w:r>
      <w:r w:rsidR="002F5B81"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-16,718.0 Gg CO</w:t>
      </w:r>
      <w:r w:rsidRPr="00191ACB">
        <w:rPr>
          <w:rFonts w:ascii="Times New Roman" w:hAnsi="Times New Roman" w:cs="Times New Roman"/>
          <w:color w:val="000000" w:themeColor="text1"/>
          <w:sz w:val="24"/>
          <w:szCs w:val="24"/>
          <w:vertAlign w:val="subscript"/>
        </w:rPr>
        <w:t xml:space="preserve">2 </w:t>
      </w:r>
      <w:r w:rsidRPr="00191ACB">
        <w:rPr>
          <w:rFonts w:ascii="Times New Roman" w:hAnsi="Times New Roman" w:cs="Times New Roman"/>
          <w:color w:val="000000" w:themeColor="text1"/>
          <w:sz w:val="24"/>
          <w:szCs w:val="24"/>
        </w:rPr>
        <w:t>and -9,508.5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in 1994, 2010 and 2016, respectively</w:t>
      </w:r>
      <w:r w:rsidR="00E03142"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 xml:space="preserve">(Figure </w:t>
      </w:r>
      <w:r w:rsidR="00154848" w:rsidRPr="00191ACB">
        <w:rPr>
          <w:rFonts w:ascii="Times New Roman" w:hAnsi="Times New Roman" w:cs="Times New Roman"/>
          <w:color w:val="000000" w:themeColor="text1"/>
          <w:sz w:val="24"/>
          <w:szCs w:val="24"/>
        </w:rPr>
        <w:t>3.1</w:t>
      </w:r>
      <w:r w:rsidRPr="00191ACB">
        <w:rPr>
          <w:rFonts w:ascii="Times New Roman" w:hAnsi="Times New Roman" w:cs="Times New Roman"/>
          <w:color w:val="000000" w:themeColor="text1"/>
          <w:sz w:val="24"/>
          <w:szCs w:val="24"/>
        </w:rPr>
        <w:t>). Compared with the 1994 base year, this implies the sink reduced by 70.6% and 83.3% in 2010 and 2016, respectively. The Total GHG emissions increased from 86,063.2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eq. in 1994 to 120,604.0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and 126, 758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in 2010 and 2016 representing a growth of 40.4% and 47.3%, respectively. On the other hand, total emissions removals reduced from-142,929.2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in 1994 to -137,322.9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and -136,266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.in 2010 and 2016 representing a decline of 3.9% and 4.7%, respectively. </w:t>
      </w:r>
    </w:p>
    <w:p w14:paraId="0BDE38E0" w14:textId="5C9EC783" w:rsidR="00C16CBB" w:rsidRPr="00191ACB" w:rsidRDefault="00C16CBB" w:rsidP="00154848">
      <w:pPr>
        <w:jc w:val="both"/>
        <w:rPr>
          <w:rFonts w:ascii="Times New Roman" w:hAnsi="Times New Roman" w:cs="Times New Roman"/>
          <w:color w:val="000000" w:themeColor="text1"/>
          <w:sz w:val="24"/>
          <w:szCs w:val="24"/>
        </w:rPr>
      </w:pPr>
      <w:r w:rsidRPr="00191ACB">
        <w:rPr>
          <w:rFonts w:ascii="Times New Roman" w:eastAsia="Arial" w:hAnsi="Times New Roman" w:cs="Times New Roman"/>
          <w:noProof/>
          <w:color w:val="000000" w:themeColor="text1"/>
          <w:sz w:val="24"/>
          <w:szCs w:val="24"/>
          <w:lang w:val="en-GB" w:eastAsia="en-GB"/>
        </w:rPr>
        <w:lastRenderedPageBreak/>
        <w:drawing>
          <wp:inline distT="0" distB="0" distL="0" distR="0" wp14:anchorId="01769C2C" wp14:editId="6F37BDAF">
            <wp:extent cx="6233160" cy="3406140"/>
            <wp:effectExtent l="0" t="0" r="15240" b="381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258C8FA" w14:textId="5CF00843" w:rsidR="00154848" w:rsidRPr="00191ACB" w:rsidRDefault="00154848" w:rsidP="00154848">
      <w:pPr>
        <w:pStyle w:val="Caption"/>
        <w:rPr>
          <w:i w:val="0"/>
          <w:color w:val="000000" w:themeColor="text1"/>
          <w:sz w:val="24"/>
          <w:szCs w:val="24"/>
        </w:rPr>
      </w:pPr>
      <w:bookmarkStart w:id="85" w:name="_Toc56583846"/>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1</w:t>
      </w:r>
      <w:r w:rsidR="009D481C">
        <w:rPr>
          <w:sz w:val="24"/>
          <w:szCs w:val="24"/>
        </w:rPr>
        <w:fldChar w:fldCharType="end"/>
      </w:r>
      <w:r w:rsidRPr="00191ACB">
        <w:rPr>
          <w:sz w:val="24"/>
          <w:szCs w:val="24"/>
        </w:rPr>
        <w:t>:Trends of GHG emissions and removals</w:t>
      </w:r>
      <w:bookmarkEnd w:id="85"/>
    </w:p>
    <w:p w14:paraId="6738A517" w14:textId="6CC63BB4" w:rsidR="00C16CBB" w:rsidRDefault="002F5B81"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2016, AFOLU sector was highest at 93.00% followed by energy at 5.08%</w:t>
      </w:r>
      <w:r w:rsidR="00DE2A4D"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IPPU a</w:t>
      </w:r>
      <w:r w:rsidR="00DE2A4D" w:rsidRPr="00191ACB">
        <w:rPr>
          <w:rFonts w:ascii="Times New Roman" w:hAnsi="Times New Roman" w:cs="Times New Roman"/>
          <w:color w:val="000000" w:themeColor="text1"/>
          <w:sz w:val="24"/>
          <w:szCs w:val="24"/>
        </w:rPr>
        <w:t>t</w:t>
      </w:r>
      <w:r w:rsidRPr="00191ACB">
        <w:rPr>
          <w:rFonts w:ascii="Times New Roman" w:hAnsi="Times New Roman" w:cs="Times New Roman"/>
          <w:color w:val="000000" w:themeColor="text1"/>
          <w:sz w:val="24"/>
          <w:szCs w:val="24"/>
        </w:rPr>
        <w:t xml:space="preserve"> 1.65% and the least was waste at 0.26% whilst in 2010</w:t>
      </w:r>
      <w:r w:rsidR="00DE2A4D" w:rsidRPr="00191ACB">
        <w:rPr>
          <w:rFonts w:ascii="Times New Roman" w:hAnsi="Times New Roman" w:cs="Times New Roman"/>
          <w:color w:val="000000" w:themeColor="text1"/>
          <w:sz w:val="24"/>
          <w:szCs w:val="24"/>
        </w:rPr>
        <w:t>,</w:t>
      </w:r>
      <w:r w:rsidR="00C16CBB" w:rsidRPr="00191ACB">
        <w:rPr>
          <w:rFonts w:ascii="Times New Roman" w:hAnsi="Times New Roman" w:cs="Times New Roman"/>
          <w:color w:val="000000" w:themeColor="text1"/>
          <w:sz w:val="24"/>
          <w:szCs w:val="24"/>
        </w:rPr>
        <w:t xml:space="preserve"> AFOLU</w:t>
      </w:r>
      <w:r w:rsidR="00DE2A4D" w:rsidRPr="00191ACB">
        <w:rPr>
          <w:rFonts w:ascii="Times New Roman" w:hAnsi="Times New Roman" w:cs="Times New Roman"/>
          <w:color w:val="000000" w:themeColor="text1"/>
          <w:sz w:val="24"/>
          <w:szCs w:val="24"/>
        </w:rPr>
        <w:t xml:space="preserve"> was</w:t>
      </w:r>
      <w:r w:rsidR="00C16CBB" w:rsidRPr="00191ACB">
        <w:rPr>
          <w:rFonts w:ascii="Times New Roman" w:hAnsi="Times New Roman" w:cs="Times New Roman"/>
          <w:color w:val="000000" w:themeColor="text1"/>
          <w:sz w:val="24"/>
          <w:szCs w:val="24"/>
        </w:rPr>
        <w:t xml:space="preserve"> at 95.75% followed by energy at 2.62%</w:t>
      </w:r>
      <w:r w:rsidR="00DE2A4D" w:rsidRPr="00191ACB">
        <w:rPr>
          <w:rFonts w:ascii="Times New Roman" w:hAnsi="Times New Roman" w:cs="Times New Roman"/>
          <w:color w:val="000000" w:themeColor="text1"/>
          <w:sz w:val="24"/>
          <w:szCs w:val="24"/>
        </w:rPr>
        <w:t>,</w:t>
      </w:r>
      <w:r w:rsidR="00C16CBB" w:rsidRPr="00191ACB">
        <w:rPr>
          <w:rFonts w:ascii="Times New Roman" w:hAnsi="Times New Roman" w:cs="Times New Roman"/>
          <w:color w:val="000000" w:themeColor="text1"/>
          <w:sz w:val="24"/>
          <w:szCs w:val="24"/>
        </w:rPr>
        <w:t xml:space="preserve"> IPPU </w:t>
      </w:r>
      <w:r w:rsidR="00DE2A4D" w:rsidRPr="00191ACB">
        <w:rPr>
          <w:rFonts w:ascii="Times New Roman" w:hAnsi="Times New Roman" w:cs="Times New Roman"/>
          <w:color w:val="000000" w:themeColor="text1"/>
          <w:sz w:val="24"/>
          <w:szCs w:val="24"/>
        </w:rPr>
        <w:t>at</w:t>
      </w:r>
      <w:r w:rsidR="00C16CBB" w:rsidRPr="00191ACB">
        <w:rPr>
          <w:rFonts w:ascii="Times New Roman" w:hAnsi="Times New Roman" w:cs="Times New Roman"/>
          <w:color w:val="000000" w:themeColor="text1"/>
          <w:sz w:val="24"/>
          <w:szCs w:val="24"/>
        </w:rPr>
        <w:t xml:space="preserve"> 1.35% and the least was waste at 0.25%.</w:t>
      </w:r>
      <w:r w:rsidRPr="00191ACB">
        <w:rPr>
          <w:rFonts w:ascii="Times New Roman" w:hAnsi="Times New Roman" w:cs="Times New Roman"/>
          <w:color w:val="000000" w:themeColor="text1"/>
          <w:sz w:val="24"/>
          <w:szCs w:val="24"/>
        </w:rPr>
        <w:t xml:space="preserve"> </w:t>
      </w:r>
      <w:r w:rsidR="00C16CBB" w:rsidRPr="00191ACB">
        <w:rPr>
          <w:rFonts w:ascii="Times New Roman" w:hAnsi="Times New Roman" w:cs="Times New Roman"/>
          <w:color w:val="000000" w:themeColor="text1"/>
          <w:sz w:val="24"/>
          <w:szCs w:val="24"/>
        </w:rPr>
        <w:t xml:space="preserve">(Figure </w:t>
      </w:r>
      <w:r w:rsidR="00872147" w:rsidRPr="00191ACB">
        <w:rPr>
          <w:rFonts w:ascii="Times New Roman" w:hAnsi="Times New Roman" w:cs="Times New Roman"/>
          <w:color w:val="000000" w:themeColor="text1"/>
          <w:sz w:val="24"/>
          <w:szCs w:val="24"/>
        </w:rPr>
        <w:t>3.2)</w:t>
      </w:r>
      <w:r w:rsidR="00C16CBB" w:rsidRPr="00191ACB">
        <w:rPr>
          <w:rFonts w:ascii="Times New Roman" w:hAnsi="Times New Roman" w:cs="Times New Roman"/>
          <w:color w:val="000000" w:themeColor="text1"/>
          <w:sz w:val="24"/>
          <w:szCs w:val="24"/>
        </w:rPr>
        <w:t>. The trend is similar for all the time series where emissions are highest in AFOLU followed by energy, IPPU and waste.</w:t>
      </w:r>
    </w:p>
    <w:p w14:paraId="0BED4B13" w14:textId="77777777" w:rsidR="00033860" w:rsidRPr="00191ACB" w:rsidRDefault="00033860" w:rsidP="001761DF">
      <w:pPr>
        <w:spacing w:after="120" w:line="276" w:lineRule="auto"/>
        <w:jc w:val="both"/>
        <w:rPr>
          <w:rFonts w:ascii="Times New Roman" w:hAnsi="Times New Roman" w:cs="Times New Roman"/>
          <w:color w:val="000000" w:themeColor="text1"/>
          <w:sz w:val="24"/>
          <w:szCs w:val="24"/>
        </w:rPr>
      </w:pPr>
    </w:p>
    <w:p w14:paraId="15847AD5" w14:textId="6C166C8A" w:rsidR="00C16CBB" w:rsidRPr="00191ACB" w:rsidRDefault="00C16CBB" w:rsidP="00C16CBB">
      <w:pPr>
        <w:pStyle w:val="NoSpacing"/>
        <w:rPr>
          <w:rFonts w:ascii="Times New Roman" w:hAnsi="Times New Roman" w:cs="Times New Roman"/>
          <w:color w:val="000000" w:themeColor="text1"/>
          <w:sz w:val="24"/>
          <w:szCs w:val="24"/>
        </w:rPr>
      </w:pPr>
      <w:bookmarkStart w:id="86" w:name="_Toc15311595"/>
      <w:r w:rsidRPr="00191ACB">
        <w:rPr>
          <w:rFonts w:ascii="Times New Roman" w:hAnsi="Times New Roman" w:cs="Times New Roman"/>
          <w:noProof/>
          <w:color w:val="000000" w:themeColor="text1"/>
          <w:sz w:val="24"/>
          <w:szCs w:val="24"/>
          <w:lang w:val="en-GB" w:eastAsia="en-GB"/>
        </w:rPr>
        <w:drawing>
          <wp:inline distT="0" distB="0" distL="0" distR="0" wp14:anchorId="3E51E8B3" wp14:editId="1D7B15BC">
            <wp:extent cx="3032760" cy="2621280"/>
            <wp:effectExtent l="0" t="0" r="15240" b="762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191ACB">
        <w:rPr>
          <w:rFonts w:ascii="Times New Roman" w:hAnsi="Times New Roman" w:cs="Times New Roman"/>
          <w:noProof/>
          <w:color w:val="000000" w:themeColor="text1"/>
          <w:sz w:val="24"/>
          <w:szCs w:val="24"/>
          <w:lang w:val="en-GB" w:eastAsia="en-GB"/>
        </w:rPr>
        <w:drawing>
          <wp:inline distT="0" distB="0" distL="0" distR="0" wp14:anchorId="6758F504" wp14:editId="129A77ED">
            <wp:extent cx="3116580" cy="2636520"/>
            <wp:effectExtent l="0" t="0" r="7620" b="11430"/>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6690709" w14:textId="0BFDE6B7" w:rsidR="00C16CBB" w:rsidRPr="00191ACB" w:rsidRDefault="00154848" w:rsidP="00154848">
      <w:pPr>
        <w:pStyle w:val="Caption"/>
        <w:rPr>
          <w:color w:val="000000" w:themeColor="text1"/>
          <w:sz w:val="24"/>
          <w:szCs w:val="24"/>
        </w:rPr>
      </w:pPr>
      <w:bookmarkStart w:id="87" w:name="_Toc56583847"/>
      <w:bookmarkEnd w:id="86"/>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w:t>
      </w:r>
      <w:r w:rsidR="009D481C">
        <w:rPr>
          <w:sz w:val="24"/>
          <w:szCs w:val="24"/>
        </w:rPr>
        <w:fldChar w:fldCharType="end"/>
      </w:r>
      <w:r w:rsidRPr="00191ACB">
        <w:rPr>
          <w:sz w:val="24"/>
          <w:szCs w:val="24"/>
        </w:rPr>
        <w:t>:Emissions contribution by sector for 2010 and 2016</w:t>
      </w:r>
      <w:bookmarkEnd w:id="87"/>
    </w:p>
    <w:p w14:paraId="563FACF3" w14:textId="77777777" w:rsidR="00C16CBB" w:rsidRPr="00191ACB" w:rsidRDefault="00C16CBB" w:rsidP="005E626A">
      <w:pPr>
        <w:pStyle w:val="NoSpacing"/>
        <w:spacing w:after="120"/>
        <w:rPr>
          <w:rFonts w:ascii="Times New Roman" w:hAnsi="Times New Roman" w:cs="Times New Roman"/>
          <w:color w:val="000000" w:themeColor="text1"/>
          <w:sz w:val="24"/>
          <w:szCs w:val="24"/>
        </w:rPr>
      </w:pPr>
    </w:p>
    <w:p w14:paraId="63DAC775" w14:textId="23B1A8B6" w:rsidR="00C16CBB" w:rsidRPr="00191ACB" w:rsidRDefault="00C16CBB"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lastRenderedPageBreak/>
        <w:t xml:space="preserve">The sub category with highest emissions contribution in 2010 was Forest Land with 55.93% (i.e.  28.3% is from firewood and charcoal production while 27.6% is from wood removal for timber). Emissions from crop land is second with 17.2% and third is emissions from biomass burning settlements 8.1%. Emissions from settlement is fourth at 7.77% (Table </w:t>
      </w:r>
      <w:r w:rsidR="00154848" w:rsidRPr="00191ACB">
        <w:rPr>
          <w:rFonts w:ascii="Times New Roman" w:hAnsi="Times New Roman" w:cs="Times New Roman"/>
          <w:color w:val="000000" w:themeColor="text1"/>
          <w:sz w:val="24"/>
          <w:szCs w:val="24"/>
        </w:rPr>
        <w:t>3.1</w:t>
      </w:r>
      <w:r w:rsidRPr="00191ACB">
        <w:rPr>
          <w:rFonts w:ascii="Times New Roman" w:hAnsi="Times New Roman" w:cs="Times New Roman"/>
          <w:color w:val="000000" w:themeColor="text1"/>
          <w:sz w:val="24"/>
          <w:szCs w:val="24"/>
        </w:rPr>
        <w:t>).</w:t>
      </w:r>
    </w:p>
    <w:p w14:paraId="5FC213B6" w14:textId="1EC7B1E1" w:rsidR="00C16CBB" w:rsidRPr="00191ACB" w:rsidRDefault="00154848" w:rsidP="00154848">
      <w:pPr>
        <w:pStyle w:val="Caption"/>
        <w:rPr>
          <w:color w:val="000000" w:themeColor="text1"/>
          <w:sz w:val="24"/>
          <w:szCs w:val="24"/>
        </w:rPr>
      </w:pPr>
      <w:bookmarkStart w:id="88" w:name="_Toc56583762"/>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w:t>
      </w:r>
      <w:r w:rsidR="00875942">
        <w:rPr>
          <w:sz w:val="24"/>
          <w:szCs w:val="24"/>
        </w:rPr>
        <w:fldChar w:fldCharType="end"/>
      </w:r>
      <w:r w:rsidRPr="00191ACB">
        <w:rPr>
          <w:sz w:val="24"/>
          <w:szCs w:val="24"/>
        </w:rPr>
        <w:t>:Percentage contribution to overall emissions by sub category for 2016</w:t>
      </w:r>
      <w:bookmarkEnd w:id="88"/>
    </w:p>
    <w:tbl>
      <w:tblPr>
        <w:tblW w:w="9526" w:type="dxa"/>
        <w:tblInd w:w="108" w:type="dxa"/>
        <w:tblLook w:val="04A0" w:firstRow="1" w:lastRow="0" w:firstColumn="1" w:lastColumn="0" w:noHBand="0" w:noVBand="1"/>
      </w:tblPr>
      <w:tblGrid>
        <w:gridCol w:w="4707"/>
        <w:gridCol w:w="4819"/>
      </w:tblGrid>
      <w:tr w:rsidR="00976442" w:rsidRPr="00191ACB" w14:paraId="5D7F759C" w14:textId="77777777" w:rsidTr="00976442">
        <w:trPr>
          <w:trHeight w:val="159"/>
          <w:tblHeader/>
        </w:trPr>
        <w:tc>
          <w:tcPr>
            <w:tcW w:w="4707" w:type="dxa"/>
            <w:tcBorders>
              <w:top w:val="single" w:sz="4" w:space="0" w:color="auto"/>
              <w:left w:val="single" w:sz="4" w:space="0" w:color="auto"/>
              <w:bottom w:val="single" w:sz="4" w:space="0" w:color="auto"/>
              <w:right w:val="single" w:sz="4" w:space="0" w:color="auto"/>
            </w:tcBorders>
            <w:shd w:val="clear" w:color="auto" w:fill="5B9BD5"/>
            <w:noWrap/>
            <w:vAlign w:val="bottom"/>
            <w:hideMark/>
          </w:tcPr>
          <w:p w14:paraId="337B200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Subcategory</w:t>
            </w:r>
          </w:p>
        </w:tc>
        <w:tc>
          <w:tcPr>
            <w:tcW w:w="4819" w:type="dxa"/>
            <w:tcBorders>
              <w:top w:val="single" w:sz="4" w:space="0" w:color="auto"/>
              <w:left w:val="nil"/>
              <w:bottom w:val="single" w:sz="4" w:space="0" w:color="auto"/>
              <w:right w:val="single" w:sz="4" w:space="0" w:color="auto"/>
            </w:tcBorders>
            <w:shd w:val="clear" w:color="auto" w:fill="5B9BD5"/>
            <w:vAlign w:val="bottom"/>
            <w:hideMark/>
          </w:tcPr>
          <w:p w14:paraId="1589AB5B"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Percentage Contribution to total GHG emissions(%)</w:t>
            </w:r>
          </w:p>
        </w:tc>
      </w:tr>
      <w:tr w:rsidR="00976442" w:rsidRPr="00191ACB" w14:paraId="0CB4DFA2"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7DCFBA4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1.A.1 - Energy Industries </w:t>
            </w:r>
          </w:p>
        </w:tc>
        <w:tc>
          <w:tcPr>
            <w:tcW w:w="4819" w:type="dxa"/>
            <w:tcBorders>
              <w:top w:val="nil"/>
              <w:left w:val="nil"/>
              <w:bottom w:val="single" w:sz="4" w:space="0" w:color="auto"/>
              <w:right w:val="single" w:sz="4" w:space="0" w:color="auto"/>
            </w:tcBorders>
            <w:noWrap/>
            <w:vAlign w:val="bottom"/>
            <w:hideMark/>
          </w:tcPr>
          <w:p w14:paraId="252B6455"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0.86</w:t>
            </w:r>
          </w:p>
        </w:tc>
      </w:tr>
      <w:tr w:rsidR="00976442" w:rsidRPr="00191ACB" w14:paraId="1A9F3330"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11F3F9A9"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1.A.2 - Manufacturing Industries and Construction </w:t>
            </w:r>
          </w:p>
        </w:tc>
        <w:tc>
          <w:tcPr>
            <w:tcW w:w="4819" w:type="dxa"/>
            <w:tcBorders>
              <w:top w:val="nil"/>
              <w:left w:val="nil"/>
              <w:bottom w:val="single" w:sz="4" w:space="0" w:color="auto"/>
              <w:right w:val="single" w:sz="4" w:space="0" w:color="auto"/>
            </w:tcBorders>
            <w:noWrap/>
            <w:vAlign w:val="bottom"/>
            <w:hideMark/>
          </w:tcPr>
          <w:p w14:paraId="57BD7786"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1.79</w:t>
            </w:r>
          </w:p>
        </w:tc>
      </w:tr>
      <w:tr w:rsidR="00976442" w:rsidRPr="00191ACB" w14:paraId="51CC5D5B"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687B744E"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1.A.3 - Transport </w:t>
            </w:r>
          </w:p>
        </w:tc>
        <w:tc>
          <w:tcPr>
            <w:tcW w:w="4819" w:type="dxa"/>
            <w:tcBorders>
              <w:top w:val="nil"/>
              <w:left w:val="nil"/>
              <w:bottom w:val="single" w:sz="4" w:space="0" w:color="auto"/>
              <w:right w:val="single" w:sz="4" w:space="0" w:color="auto"/>
            </w:tcBorders>
            <w:noWrap/>
            <w:vAlign w:val="bottom"/>
            <w:hideMark/>
          </w:tcPr>
          <w:p w14:paraId="6329B331"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0.96</w:t>
            </w:r>
          </w:p>
        </w:tc>
      </w:tr>
      <w:tr w:rsidR="00976442" w:rsidRPr="00191ACB" w14:paraId="2AA7FA29"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28263DE2"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1.A.4 - Other Sectors </w:t>
            </w:r>
          </w:p>
        </w:tc>
        <w:tc>
          <w:tcPr>
            <w:tcW w:w="4819" w:type="dxa"/>
            <w:tcBorders>
              <w:top w:val="nil"/>
              <w:left w:val="nil"/>
              <w:bottom w:val="single" w:sz="4" w:space="0" w:color="auto"/>
              <w:right w:val="single" w:sz="4" w:space="0" w:color="auto"/>
            </w:tcBorders>
            <w:noWrap/>
            <w:vAlign w:val="bottom"/>
            <w:hideMark/>
          </w:tcPr>
          <w:p w14:paraId="5E20C810"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1.47</w:t>
            </w:r>
          </w:p>
        </w:tc>
      </w:tr>
      <w:tr w:rsidR="00976442" w:rsidRPr="00191ACB" w14:paraId="49B59BF2"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0934C366"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1.B.1 - Solid Fuels Fugitive emissions </w:t>
            </w:r>
          </w:p>
        </w:tc>
        <w:tc>
          <w:tcPr>
            <w:tcW w:w="4819" w:type="dxa"/>
            <w:tcBorders>
              <w:top w:val="nil"/>
              <w:left w:val="nil"/>
              <w:bottom w:val="single" w:sz="4" w:space="0" w:color="auto"/>
              <w:right w:val="single" w:sz="4" w:space="0" w:color="auto"/>
            </w:tcBorders>
            <w:noWrap/>
            <w:vAlign w:val="bottom"/>
            <w:hideMark/>
          </w:tcPr>
          <w:p w14:paraId="4838E4FD"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0.001</w:t>
            </w:r>
          </w:p>
        </w:tc>
      </w:tr>
      <w:tr w:rsidR="00976442" w:rsidRPr="00191ACB" w14:paraId="7138BDB4"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572C6B2E"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2.A.1 - Cement production </w:t>
            </w:r>
          </w:p>
        </w:tc>
        <w:tc>
          <w:tcPr>
            <w:tcW w:w="4819" w:type="dxa"/>
            <w:tcBorders>
              <w:top w:val="nil"/>
              <w:left w:val="nil"/>
              <w:bottom w:val="single" w:sz="4" w:space="0" w:color="auto"/>
              <w:right w:val="single" w:sz="4" w:space="0" w:color="auto"/>
            </w:tcBorders>
            <w:noWrap/>
            <w:vAlign w:val="bottom"/>
            <w:hideMark/>
          </w:tcPr>
          <w:p w14:paraId="5E189C80"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0.73</w:t>
            </w:r>
          </w:p>
        </w:tc>
      </w:tr>
      <w:tr w:rsidR="00976442" w:rsidRPr="00191ACB" w14:paraId="2D27C284" w14:textId="77777777" w:rsidTr="00976442">
        <w:trPr>
          <w:trHeight w:val="210"/>
        </w:trPr>
        <w:tc>
          <w:tcPr>
            <w:tcW w:w="4707" w:type="dxa"/>
            <w:tcBorders>
              <w:top w:val="nil"/>
              <w:left w:val="single" w:sz="4" w:space="0" w:color="auto"/>
              <w:bottom w:val="single" w:sz="4" w:space="0" w:color="auto"/>
              <w:right w:val="single" w:sz="4" w:space="0" w:color="auto"/>
            </w:tcBorders>
            <w:noWrap/>
            <w:vAlign w:val="bottom"/>
            <w:hideMark/>
          </w:tcPr>
          <w:p w14:paraId="28D28F1D"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2.A.2 - Lime production </w:t>
            </w:r>
          </w:p>
        </w:tc>
        <w:tc>
          <w:tcPr>
            <w:tcW w:w="4819" w:type="dxa"/>
            <w:tcBorders>
              <w:top w:val="nil"/>
              <w:left w:val="nil"/>
              <w:bottom w:val="single" w:sz="4" w:space="0" w:color="auto"/>
              <w:right w:val="single" w:sz="4" w:space="0" w:color="auto"/>
            </w:tcBorders>
            <w:noWrap/>
            <w:vAlign w:val="bottom"/>
            <w:hideMark/>
          </w:tcPr>
          <w:p w14:paraId="30C91497"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0.80</w:t>
            </w:r>
          </w:p>
        </w:tc>
      </w:tr>
      <w:tr w:rsidR="00976442" w:rsidRPr="00191ACB" w14:paraId="71D8FF6A" w14:textId="77777777" w:rsidTr="00976442">
        <w:trPr>
          <w:trHeight w:val="210"/>
        </w:trPr>
        <w:tc>
          <w:tcPr>
            <w:tcW w:w="4707" w:type="dxa"/>
            <w:tcBorders>
              <w:top w:val="nil"/>
              <w:left w:val="single" w:sz="4" w:space="0" w:color="auto"/>
              <w:bottom w:val="single" w:sz="4" w:space="0" w:color="auto"/>
              <w:right w:val="single" w:sz="4" w:space="0" w:color="auto"/>
            </w:tcBorders>
            <w:noWrap/>
            <w:vAlign w:val="bottom"/>
            <w:hideMark/>
          </w:tcPr>
          <w:p w14:paraId="695E1DBD"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2.A.4 - Other Process Uses of Carbonates </w:t>
            </w:r>
          </w:p>
        </w:tc>
        <w:tc>
          <w:tcPr>
            <w:tcW w:w="4819" w:type="dxa"/>
            <w:tcBorders>
              <w:top w:val="nil"/>
              <w:left w:val="nil"/>
              <w:bottom w:val="single" w:sz="4" w:space="0" w:color="auto"/>
              <w:right w:val="single" w:sz="4" w:space="0" w:color="auto"/>
            </w:tcBorders>
            <w:noWrap/>
            <w:vAlign w:val="bottom"/>
            <w:hideMark/>
          </w:tcPr>
          <w:p w14:paraId="5AA7C90E"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0.01</w:t>
            </w:r>
          </w:p>
        </w:tc>
      </w:tr>
      <w:tr w:rsidR="00976442" w:rsidRPr="00191ACB" w14:paraId="4F474F3F"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2CCB83D7"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2.C.1 - Iron and Steel Production </w:t>
            </w:r>
          </w:p>
        </w:tc>
        <w:tc>
          <w:tcPr>
            <w:tcW w:w="4819" w:type="dxa"/>
            <w:tcBorders>
              <w:top w:val="nil"/>
              <w:left w:val="nil"/>
              <w:bottom w:val="single" w:sz="4" w:space="0" w:color="auto"/>
              <w:right w:val="single" w:sz="4" w:space="0" w:color="auto"/>
            </w:tcBorders>
            <w:noWrap/>
            <w:vAlign w:val="bottom"/>
            <w:hideMark/>
          </w:tcPr>
          <w:p w14:paraId="168D8C2D"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0.003</w:t>
            </w:r>
          </w:p>
        </w:tc>
      </w:tr>
      <w:tr w:rsidR="00976442" w:rsidRPr="00191ACB" w14:paraId="5EF18C92"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7DB806DD"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2.D.1 - Lubricant Use </w:t>
            </w:r>
          </w:p>
        </w:tc>
        <w:tc>
          <w:tcPr>
            <w:tcW w:w="4819" w:type="dxa"/>
            <w:tcBorders>
              <w:top w:val="nil"/>
              <w:left w:val="nil"/>
              <w:bottom w:val="single" w:sz="4" w:space="0" w:color="auto"/>
              <w:right w:val="single" w:sz="4" w:space="0" w:color="auto"/>
            </w:tcBorders>
            <w:noWrap/>
            <w:vAlign w:val="bottom"/>
            <w:hideMark/>
          </w:tcPr>
          <w:p w14:paraId="17EC4A78"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0.02</w:t>
            </w:r>
          </w:p>
        </w:tc>
      </w:tr>
      <w:tr w:rsidR="00976442" w:rsidRPr="00191ACB" w14:paraId="0E2E54DD"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73AAB8F8"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2.F.1 - Refrigeration and Air Conditioning </w:t>
            </w:r>
          </w:p>
        </w:tc>
        <w:tc>
          <w:tcPr>
            <w:tcW w:w="4819" w:type="dxa"/>
            <w:tcBorders>
              <w:top w:val="nil"/>
              <w:left w:val="nil"/>
              <w:bottom w:val="single" w:sz="4" w:space="0" w:color="auto"/>
              <w:right w:val="single" w:sz="4" w:space="0" w:color="auto"/>
            </w:tcBorders>
            <w:noWrap/>
            <w:vAlign w:val="bottom"/>
            <w:hideMark/>
          </w:tcPr>
          <w:p w14:paraId="7786EC90"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0.09</w:t>
            </w:r>
          </w:p>
        </w:tc>
      </w:tr>
      <w:tr w:rsidR="00976442" w:rsidRPr="00191ACB" w14:paraId="065883D5"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227A6233"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2.G.1 - Electrical Equipment </w:t>
            </w:r>
          </w:p>
        </w:tc>
        <w:tc>
          <w:tcPr>
            <w:tcW w:w="4819" w:type="dxa"/>
            <w:tcBorders>
              <w:top w:val="nil"/>
              <w:left w:val="nil"/>
              <w:bottom w:val="single" w:sz="4" w:space="0" w:color="auto"/>
              <w:right w:val="single" w:sz="4" w:space="0" w:color="auto"/>
            </w:tcBorders>
            <w:noWrap/>
            <w:vAlign w:val="bottom"/>
            <w:hideMark/>
          </w:tcPr>
          <w:p w14:paraId="4C16160B"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0.000</w:t>
            </w:r>
          </w:p>
        </w:tc>
      </w:tr>
      <w:tr w:rsidR="00976442" w:rsidRPr="00191ACB" w14:paraId="5F71F100"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0CC64212"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3.A.1 - Livestock Enteric Fermentation </w:t>
            </w:r>
          </w:p>
        </w:tc>
        <w:tc>
          <w:tcPr>
            <w:tcW w:w="4819" w:type="dxa"/>
            <w:tcBorders>
              <w:top w:val="nil"/>
              <w:left w:val="nil"/>
              <w:bottom w:val="single" w:sz="4" w:space="0" w:color="auto"/>
              <w:right w:val="single" w:sz="4" w:space="0" w:color="auto"/>
            </w:tcBorders>
            <w:noWrap/>
            <w:vAlign w:val="bottom"/>
            <w:hideMark/>
          </w:tcPr>
          <w:p w14:paraId="2CE16F27"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3.12</w:t>
            </w:r>
          </w:p>
        </w:tc>
      </w:tr>
      <w:tr w:rsidR="00976442" w:rsidRPr="00191ACB" w14:paraId="0F5F3E81"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313771EE"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3.A.2 - Livestock Manure Management </w:t>
            </w:r>
          </w:p>
        </w:tc>
        <w:tc>
          <w:tcPr>
            <w:tcW w:w="4819" w:type="dxa"/>
            <w:tcBorders>
              <w:top w:val="nil"/>
              <w:left w:val="nil"/>
              <w:bottom w:val="single" w:sz="4" w:space="0" w:color="auto"/>
              <w:right w:val="single" w:sz="4" w:space="0" w:color="auto"/>
            </w:tcBorders>
            <w:noWrap/>
            <w:vAlign w:val="bottom"/>
            <w:hideMark/>
          </w:tcPr>
          <w:p w14:paraId="371A84A3"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0.19</w:t>
            </w:r>
          </w:p>
        </w:tc>
      </w:tr>
      <w:tr w:rsidR="00976442" w:rsidRPr="00191ACB" w14:paraId="756CBC33" w14:textId="77777777" w:rsidTr="00976442">
        <w:trPr>
          <w:trHeight w:val="395"/>
        </w:trPr>
        <w:tc>
          <w:tcPr>
            <w:tcW w:w="4707" w:type="dxa"/>
            <w:tcBorders>
              <w:top w:val="nil"/>
              <w:left w:val="single" w:sz="4" w:space="0" w:color="auto"/>
              <w:bottom w:val="single" w:sz="4" w:space="0" w:color="auto"/>
              <w:right w:val="single" w:sz="4" w:space="0" w:color="auto"/>
            </w:tcBorders>
            <w:noWrap/>
            <w:vAlign w:val="bottom"/>
            <w:hideMark/>
          </w:tcPr>
          <w:p w14:paraId="53ED93C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3.B.1 - Forest land </w:t>
            </w:r>
          </w:p>
        </w:tc>
        <w:tc>
          <w:tcPr>
            <w:tcW w:w="4819" w:type="dxa"/>
            <w:tcBorders>
              <w:top w:val="nil"/>
              <w:left w:val="nil"/>
              <w:bottom w:val="single" w:sz="4" w:space="0" w:color="auto"/>
              <w:right w:val="single" w:sz="4" w:space="0" w:color="auto"/>
            </w:tcBorders>
            <w:vAlign w:val="bottom"/>
            <w:hideMark/>
          </w:tcPr>
          <w:p w14:paraId="5C4C47D6"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55.93% (i.e. firewood and charcoal 28.3% and Timber 27.6%)</w:t>
            </w:r>
          </w:p>
        </w:tc>
      </w:tr>
      <w:tr w:rsidR="00976442" w:rsidRPr="00191ACB" w14:paraId="001E9398"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677CDA19"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3.B.2 - Cropland </w:t>
            </w:r>
          </w:p>
        </w:tc>
        <w:tc>
          <w:tcPr>
            <w:tcW w:w="4819" w:type="dxa"/>
            <w:tcBorders>
              <w:top w:val="nil"/>
              <w:left w:val="nil"/>
              <w:bottom w:val="single" w:sz="4" w:space="0" w:color="auto"/>
              <w:right w:val="single" w:sz="4" w:space="0" w:color="auto"/>
            </w:tcBorders>
            <w:noWrap/>
            <w:vAlign w:val="bottom"/>
            <w:hideMark/>
          </w:tcPr>
          <w:p w14:paraId="3BC7EEBD"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17.24</w:t>
            </w:r>
          </w:p>
        </w:tc>
      </w:tr>
      <w:tr w:rsidR="00976442" w:rsidRPr="00191ACB" w14:paraId="24E81E23"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3010D3E9"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3.B.5 - Settlements </w:t>
            </w:r>
          </w:p>
        </w:tc>
        <w:tc>
          <w:tcPr>
            <w:tcW w:w="4819" w:type="dxa"/>
            <w:tcBorders>
              <w:top w:val="nil"/>
              <w:left w:val="nil"/>
              <w:bottom w:val="single" w:sz="4" w:space="0" w:color="auto"/>
              <w:right w:val="single" w:sz="4" w:space="0" w:color="auto"/>
            </w:tcBorders>
            <w:noWrap/>
            <w:vAlign w:val="bottom"/>
            <w:hideMark/>
          </w:tcPr>
          <w:p w14:paraId="109E5323"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7.77</w:t>
            </w:r>
          </w:p>
        </w:tc>
      </w:tr>
      <w:tr w:rsidR="00976442" w:rsidRPr="00191ACB" w14:paraId="4B73AF04"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77D8F5E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3.C.1 - Emissions from biomass burning </w:t>
            </w:r>
          </w:p>
        </w:tc>
        <w:tc>
          <w:tcPr>
            <w:tcW w:w="4819" w:type="dxa"/>
            <w:tcBorders>
              <w:top w:val="nil"/>
              <w:left w:val="nil"/>
              <w:bottom w:val="single" w:sz="4" w:space="0" w:color="auto"/>
              <w:right w:val="single" w:sz="4" w:space="0" w:color="auto"/>
            </w:tcBorders>
            <w:noWrap/>
            <w:vAlign w:val="bottom"/>
            <w:hideMark/>
          </w:tcPr>
          <w:p w14:paraId="595FCE21"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8.09</w:t>
            </w:r>
          </w:p>
        </w:tc>
      </w:tr>
      <w:tr w:rsidR="00976442" w:rsidRPr="00191ACB" w14:paraId="3C10286E"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300DFCED"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3.C.2 - Liming </w:t>
            </w:r>
          </w:p>
        </w:tc>
        <w:tc>
          <w:tcPr>
            <w:tcW w:w="4819" w:type="dxa"/>
            <w:tcBorders>
              <w:top w:val="nil"/>
              <w:left w:val="nil"/>
              <w:bottom w:val="single" w:sz="4" w:space="0" w:color="auto"/>
              <w:right w:val="single" w:sz="4" w:space="0" w:color="auto"/>
            </w:tcBorders>
            <w:noWrap/>
            <w:vAlign w:val="bottom"/>
            <w:hideMark/>
          </w:tcPr>
          <w:p w14:paraId="23ACED16"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w:t>
            </w:r>
          </w:p>
        </w:tc>
      </w:tr>
      <w:tr w:rsidR="00976442" w:rsidRPr="00191ACB" w14:paraId="1F023123"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52EBC9B8"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3.C.3 - Urea application </w:t>
            </w:r>
          </w:p>
        </w:tc>
        <w:tc>
          <w:tcPr>
            <w:tcW w:w="4819" w:type="dxa"/>
            <w:tcBorders>
              <w:top w:val="nil"/>
              <w:left w:val="nil"/>
              <w:bottom w:val="single" w:sz="4" w:space="0" w:color="auto"/>
              <w:right w:val="single" w:sz="4" w:space="0" w:color="auto"/>
            </w:tcBorders>
            <w:noWrap/>
            <w:vAlign w:val="bottom"/>
            <w:hideMark/>
          </w:tcPr>
          <w:p w14:paraId="3AA675CE"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0.08</w:t>
            </w:r>
          </w:p>
        </w:tc>
      </w:tr>
      <w:tr w:rsidR="00976442" w:rsidRPr="00191ACB" w14:paraId="5BE2CCDD"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3223C24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3.C.4 - Direct N2O Emissions from managed soils </w:t>
            </w:r>
          </w:p>
        </w:tc>
        <w:tc>
          <w:tcPr>
            <w:tcW w:w="4819" w:type="dxa"/>
            <w:tcBorders>
              <w:top w:val="nil"/>
              <w:left w:val="nil"/>
              <w:bottom w:val="single" w:sz="4" w:space="0" w:color="auto"/>
              <w:right w:val="single" w:sz="4" w:space="0" w:color="auto"/>
            </w:tcBorders>
            <w:noWrap/>
            <w:vAlign w:val="bottom"/>
            <w:hideMark/>
          </w:tcPr>
          <w:p w14:paraId="20E0672C"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0.52</w:t>
            </w:r>
          </w:p>
        </w:tc>
      </w:tr>
      <w:tr w:rsidR="00976442" w:rsidRPr="00191ACB" w14:paraId="058AA889"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26DA17D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3.C.5 - Indirect N2O Emissions from managed soils </w:t>
            </w:r>
          </w:p>
        </w:tc>
        <w:tc>
          <w:tcPr>
            <w:tcW w:w="4819" w:type="dxa"/>
            <w:tcBorders>
              <w:top w:val="nil"/>
              <w:left w:val="nil"/>
              <w:bottom w:val="single" w:sz="4" w:space="0" w:color="auto"/>
              <w:right w:val="single" w:sz="4" w:space="0" w:color="auto"/>
            </w:tcBorders>
            <w:noWrap/>
            <w:vAlign w:val="bottom"/>
            <w:hideMark/>
          </w:tcPr>
          <w:p w14:paraId="17D29AD5"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0.03</w:t>
            </w:r>
          </w:p>
        </w:tc>
      </w:tr>
      <w:tr w:rsidR="00976442" w:rsidRPr="00191ACB" w14:paraId="6DC127F3"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33704A5D"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3.C.7 - Rice cultivations </w:t>
            </w:r>
          </w:p>
        </w:tc>
        <w:tc>
          <w:tcPr>
            <w:tcW w:w="4819" w:type="dxa"/>
            <w:tcBorders>
              <w:top w:val="nil"/>
              <w:left w:val="nil"/>
              <w:bottom w:val="single" w:sz="4" w:space="0" w:color="auto"/>
              <w:right w:val="single" w:sz="4" w:space="0" w:color="auto"/>
            </w:tcBorders>
            <w:noWrap/>
            <w:vAlign w:val="bottom"/>
            <w:hideMark/>
          </w:tcPr>
          <w:p w14:paraId="75E1AD45"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0.02</w:t>
            </w:r>
          </w:p>
        </w:tc>
      </w:tr>
      <w:tr w:rsidR="00976442" w:rsidRPr="00191ACB" w14:paraId="7F742E4F"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26268718"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4.A - Solid Waste Disposal </w:t>
            </w:r>
          </w:p>
        </w:tc>
        <w:tc>
          <w:tcPr>
            <w:tcW w:w="4819" w:type="dxa"/>
            <w:tcBorders>
              <w:top w:val="nil"/>
              <w:left w:val="nil"/>
              <w:bottom w:val="single" w:sz="4" w:space="0" w:color="auto"/>
              <w:right w:val="single" w:sz="4" w:space="0" w:color="auto"/>
            </w:tcBorders>
            <w:noWrap/>
            <w:vAlign w:val="bottom"/>
            <w:hideMark/>
          </w:tcPr>
          <w:p w14:paraId="2F197A43"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0.07</w:t>
            </w:r>
          </w:p>
        </w:tc>
      </w:tr>
      <w:tr w:rsidR="00976442" w:rsidRPr="00191ACB" w14:paraId="13663515"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272181F7"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4.C - Incineration and Open Burning of Waste </w:t>
            </w:r>
          </w:p>
        </w:tc>
        <w:tc>
          <w:tcPr>
            <w:tcW w:w="4819" w:type="dxa"/>
            <w:tcBorders>
              <w:top w:val="nil"/>
              <w:left w:val="nil"/>
              <w:bottom w:val="single" w:sz="4" w:space="0" w:color="auto"/>
              <w:right w:val="single" w:sz="4" w:space="0" w:color="auto"/>
            </w:tcBorders>
            <w:noWrap/>
            <w:vAlign w:val="bottom"/>
            <w:hideMark/>
          </w:tcPr>
          <w:p w14:paraId="4B839E8C"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0.002</w:t>
            </w:r>
          </w:p>
        </w:tc>
      </w:tr>
      <w:tr w:rsidR="00976442" w:rsidRPr="00191ACB" w14:paraId="6335B9E3" w14:textId="77777777" w:rsidTr="00976442">
        <w:trPr>
          <w:trHeight w:val="255"/>
        </w:trPr>
        <w:tc>
          <w:tcPr>
            <w:tcW w:w="4707" w:type="dxa"/>
            <w:tcBorders>
              <w:top w:val="nil"/>
              <w:left w:val="single" w:sz="4" w:space="0" w:color="auto"/>
              <w:bottom w:val="single" w:sz="4" w:space="0" w:color="auto"/>
              <w:right w:val="single" w:sz="4" w:space="0" w:color="auto"/>
            </w:tcBorders>
            <w:noWrap/>
            <w:vAlign w:val="bottom"/>
            <w:hideMark/>
          </w:tcPr>
          <w:p w14:paraId="530F2066"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4.D - Wastewater Treatment and Discharge </w:t>
            </w:r>
          </w:p>
        </w:tc>
        <w:tc>
          <w:tcPr>
            <w:tcW w:w="4819" w:type="dxa"/>
            <w:tcBorders>
              <w:top w:val="nil"/>
              <w:left w:val="nil"/>
              <w:bottom w:val="single" w:sz="4" w:space="0" w:color="auto"/>
              <w:right w:val="single" w:sz="4" w:space="0" w:color="auto"/>
            </w:tcBorders>
            <w:noWrap/>
            <w:vAlign w:val="bottom"/>
            <w:hideMark/>
          </w:tcPr>
          <w:p w14:paraId="065AC49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0.19</w:t>
            </w:r>
          </w:p>
        </w:tc>
      </w:tr>
    </w:tbl>
    <w:p w14:paraId="5E05263F" w14:textId="77777777" w:rsidR="00976442" w:rsidRPr="00191ACB" w:rsidRDefault="00976442" w:rsidP="005E626A">
      <w:pPr>
        <w:spacing w:after="120" w:line="240" w:lineRule="auto"/>
        <w:jc w:val="both"/>
        <w:rPr>
          <w:rFonts w:ascii="Times New Roman" w:hAnsi="Times New Roman" w:cs="Times New Roman"/>
          <w:color w:val="000000" w:themeColor="text1"/>
          <w:sz w:val="24"/>
          <w:szCs w:val="24"/>
        </w:rPr>
      </w:pPr>
    </w:p>
    <w:p w14:paraId="08D026BD" w14:textId="2965D3EC" w:rsidR="00C16CBB" w:rsidRDefault="00C16CBB"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emissions in the energy sector increased from 2,179.4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the 1994 base year to 3,155.8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in 2010 and </w:t>
      </w:r>
      <w:r w:rsidRPr="00191ACB">
        <w:rPr>
          <w:rFonts w:ascii="Times New Roman" w:eastAsia="Times New Roman" w:hAnsi="Times New Roman" w:cs="Times New Roman"/>
          <w:color w:val="000000" w:themeColor="text1"/>
          <w:sz w:val="24"/>
          <w:szCs w:val="24"/>
        </w:rPr>
        <w:t xml:space="preserve">6,443.7 </w:t>
      </w:r>
      <w:r w:rsidRPr="00191ACB">
        <w:rPr>
          <w:rFonts w:ascii="Times New Roman" w:hAnsi="Times New Roman" w:cs="Times New Roman"/>
          <w:color w:val="000000" w:themeColor="text1"/>
          <w:sz w:val="24"/>
          <w:szCs w:val="24"/>
        </w:rPr>
        <w:t>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2016</w:t>
      </w:r>
      <w:r w:rsidR="00E03142"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(Figure</w:t>
      </w:r>
      <w:r w:rsidR="00154848" w:rsidRPr="00191ACB">
        <w:rPr>
          <w:rFonts w:ascii="Times New Roman" w:hAnsi="Times New Roman" w:cs="Times New Roman"/>
          <w:color w:val="000000" w:themeColor="text1"/>
          <w:sz w:val="24"/>
          <w:szCs w:val="24"/>
        </w:rPr>
        <w:t xml:space="preserve"> 3.3</w:t>
      </w:r>
      <w:r w:rsidRPr="00191ACB">
        <w:rPr>
          <w:rFonts w:ascii="Times New Roman" w:hAnsi="Times New Roman" w:cs="Times New Roman"/>
          <w:color w:val="000000" w:themeColor="text1"/>
          <w:sz w:val="24"/>
          <w:szCs w:val="24"/>
        </w:rPr>
        <w:t xml:space="preserve">). Compared to the 1994 base year, the emissions increased by 44.8% and 195.6% in 2010 and 2016, respectively. Emissions in the IPPU sector increased from 431.2 Gg CO2 eq. in 1994 to 1,621.0 Gg CO2 eq. in 2010 and 2,091.4 Gg CO2 </w:t>
      </w:r>
      <w:r w:rsidRPr="00191ACB">
        <w:rPr>
          <w:rFonts w:ascii="Times New Roman" w:hAnsi="Times New Roman" w:cs="Times New Roman"/>
          <w:color w:val="000000" w:themeColor="text1"/>
          <w:sz w:val="24"/>
          <w:szCs w:val="24"/>
        </w:rPr>
        <w:lastRenderedPageBreak/>
        <w:t xml:space="preserve">eq. in 2016. In the Waste sector, emissions increased from 204.5Gg in 1994 based year to 335.8 Gg CO2 eq. in 2016 representing a growth of 64.2%.  </w:t>
      </w:r>
    </w:p>
    <w:p w14:paraId="427FCB2B" w14:textId="77777777" w:rsidR="00033860" w:rsidRPr="00191ACB" w:rsidRDefault="00033860" w:rsidP="001761DF">
      <w:pPr>
        <w:spacing w:after="120" w:line="276" w:lineRule="auto"/>
        <w:jc w:val="both"/>
        <w:rPr>
          <w:rFonts w:ascii="Times New Roman" w:hAnsi="Times New Roman" w:cs="Times New Roman"/>
          <w:color w:val="000000" w:themeColor="text1"/>
          <w:sz w:val="24"/>
          <w:szCs w:val="24"/>
        </w:rPr>
      </w:pPr>
    </w:p>
    <w:p w14:paraId="045891DC" w14:textId="68BD1107" w:rsidR="00C16CBB" w:rsidRPr="00191ACB" w:rsidRDefault="00C16CBB" w:rsidP="00C16CBB">
      <w:pPr>
        <w:jc w:val="both"/>
        <w:rPr>
          <w:rFonts w:ascii="Times New Roman" w:hAnsi="Times New Roman" w:cs="Times New Roman"/>
          <w:color w:val="000000" w:themeColor="text1"/>
          <w:sz w:val="24"/>
          <w:szCs w:val="24"/>
        </w:rPr>
      </w:pPr>
      <w:r w:rsidRPr="00191ACB">
        <w:rPr>
          <w:rFonts w:ascii="Times New Roman" w:eastAsia="Arial" w:hAnsi="Times New Roman" w:cs="Times New Roman"/>
          <w:noProof/>
          <w:color w:val="000000" w:themeColor="text1"/>
          <w:sz w:val="24"/>
          <w:szCs w:val="24"/>
          <w:lang w:val="en-GB" w:eastAsia="en-GB"/>
        </w:rPr>
        <w:drawing>
          <wp:inline distT="0" distB="0" distL="0" distR="0" wp14:anchorId="5ABC8586" wp14:editId="3DF69236">
            <wp:extent cx="6233160" cy="3482340"/>
            <wp:effectExtent l="0" t="0" r="15240" b="381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4E06429" w14:textId="4C25A419" w:rsidR="00C16CBB" w:rsidRPr="00191ACB" w:rsidRDefault="00154848" w:rsidP="00154848">
      <w:pPr>
        <w:pStyle w:val="Caption"/>
        <w:rPr>
          <w:i w:val="0"/>
          <w:color w:val="000000" w:themeColor="text1"/>
          <w:sz w:val="24"/>
          <w:szCs w:val="24"/>
        </w:rPr>
      </w:pPr>
      <w:bookmarkStart w:id="89" w:name="_Toc56583848"/>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3</w:t>
      </w:r>
      <w:r w:rsidR="009D481C">
        <w:rPr>
          <w:sz w:val="24"/>
          <w:szCs w:val="24"/>
        </w:rPr>
        <w:fldChar w:fldCharType="end"/>
      </w:r>
      <w:r w:rsidRPr="00191ACB">
        <w:rPr>
          <w:sz w:val="24"/>
          <w:szCs w:val="24"/>
        </w:rPr>
        <w:t>:Trends of emissions and removals by sector</w:t>
      </w:r>
      <w:bookmarkEnd w:id="89"/>
    </w:p>
    <w:p w14:paraId="3F6F5E6C" w14:textId="567CF32D" w:rsidR="00C16CBB" w:rsidRPr="00191ACB" w:rsidRDefault="00C16CBB"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Emissions indicates increasing trends for all sectors over the period 1994 to 2016. Emission removals have been reducing over the same period. Total emissions without AFOLU was 2,812.4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1994 base year and </w:t>
      </w:r>
      <w:r w:rsidRPr="00191ACB">
        <w:rPr>
          <w:rFonts w:ascii="Times New Roman" w:eastAsia="Times New Roman" w:hAnsi="Times New Roman" w:cs="Times New Roman"/>
          <w:color w:val="000000" w:themeColor="text1"/>
          <w:sz w:val="24"/>
          <w:szCs w:val="24"/>
        </w:rPr>
        <w:t xml:space="preserve">8,871.0 </w:t>
      </w:r>
      <w:r w:rsidRPr="00191ACB">
        <w:rPr>
          <w:rFonts w:ascii="Times New Roman" w:hAnsi="Times New Roman" w:cs="Times New Roman"/>
          <w:color w:val="000000" w:themeColor="text1"/>
          <w:sz w:val="24"/>
          <w:szCs w:val="24"/>
        </w:rPr>
        <w:t>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2016. Total emissions with AFOLU was 86,063.2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1994 base year and </w:t>
      </w:r>
      <w:r w:rsidRPr="00191ACB">
        <w:rPr>
          <w:rFonts w:ascii="Times New Roman" w:eastAsia="Times New Roman" w:hAnsi="Times New Roman" w:cs="Times New Roman"/>
          <w:color w:val="000000" w:themeColor="text1"/>
          <w:sz w:val="24"/>
          <w:szCs w:val="24"/>
        </w:rPr>
        <w:t xml:space="preserve">126,758.5 </w:t>
      </w:r>
      <w:r w:rsidRPr="00191ACB">
        <w:rPr>
          <w:rFonts w:ascii="Times New Roman" w:hAnsi="Times New Roman" w:cs="Times New Roman"/>
          <w:color w:val="000000" w:themeColor="text1"/>
          <w:sz w:val="24"/>
          <w:szCs w:val="24"/>
        </w:rPr>
        <w:t>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2016</w:t>
      </w:r>
      <w:r w:rsidR="004337E4"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 xml:space="preserve">(Table </w:t>
      </w:r>
      <w:r w:rsidR="00F37A8D" w:rsidRPr="00191ACB">
        <w:rPr>
          <w:rFonts w:ascii="Times New Roman" w:hAnsi="Times New Roman" w:cs="Times New Roman"/>
          <w:color w:val="000000" w:themeColor="text1"/>
          <w:sz w:val="24"/>
          <w:szCs w:val="24"/>
        </w:rPr>
        <w:t>3.2</w:t>
      </w:r>
      <w:r w:rsidRPr="00191ACB">
        <w:rPr>
          <w:rFonts w:ascii="Times New Roman" w:hAnsi="Times New Roman" w:cs="Times New Roman"/>
          <w:color w:val="000000" w:themeColor="text1"/>
          <w:sz w:val="24"/>
          <w:szCs w:val="24"/>
        </w:rPr>
        <w:t>).</w:t>
      </w:r>
    </w:p>
    <w:p w14:paraId="2E8633CC" w14:textId="4F5B0787" w:rsidR="00C16CBB" w:rsidRPr="00191ACB" w:rsidRDefault="005F541A"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Significant amount of emissions </w:t>
      </w:r>
      <w:r w:rsidR="003E52C4" w:rsidRPr="00191ACB">
        <w:rPr>
          <w:rFonts w:ascii="Times New Roman" w:hAnsi="Times New Roman" w:cs="Times New Roman"/>
          <w:color w:val="000000" w:themeColor="text1"/>
          <w:sz w:val="24"/>
          <w:szCs w:val="24"/>
        </w:rPr>
        <w:t>was</w:t>
      </w:r>
      <w:r w:rsidRPr="00191ACB">
        <w:rPr>
          <w:rFonts w:ascii="Times New Roman" w:hAnsi="Times New Roman" w:cs="Times New Roman"/>
          <w:color w:val="000000" w:themeColor="text1"/>
          <w:sz w:val="24"/>
          <w:szCs w:val="24"/>
        </w:rPr>
        <w:t xml:space="preserve"> from AFOLU sector particularly in the Land category. The main sources of emissions in the Land category are from wood removals, and fuelwood removals. The emissions trends for all categories in the Land Category is provided in Figure </w:t>
      </w:r>
      <w:r w:rsidR="00E36262" w:rsidRPr="00191ACB">
        <w:rPr>
          <w:rFonts w:ascii="Times New Roman" w:hAnsi="Times New Roman" w:cs="Times New Roman"/>
          <w:color w:val="000000" w:themeColor="text1"/>
          <w:sz w:val="24"/>
          <w:szCs w:val="24"/>
        </w:rPr>
        <w:t>3.</w:t>
      </w:r>
      <w:r w:rsidR="00F37A8D" w:rsidRPr="00191ACB">
        <w:rPr>
          <w:rFonts w:ascii="Times New Roman" w:hAnsi="Times New Roman" w:cs="Times New Roman"/>
          <w:color w:val="000000" w:themeColor="text1"/>
          <w:sz w:val="24"/>
          <w:szCs w:val="24"/>
        </w:rPr>
        <w:t>4</w:t>
      </w:r>
      <w:r w:rsidRPr="00191ACB">
        <w:rPr>
          <w:rFonts w:ascii="Times New Roman" w:hAnsi="Times New Roman" w:cs="Times New Roman"/>
          <w:color w:val="000000" w:themeColor="text1"/>
          <w:sz w:val="24"/>
          <w:szCs w:val="24"/>
        </w:rPr>
        <w:t xml:space="preserve">. Across the years from 1994 to 2014, emissions from commercial wood </w:t>
      </w:r>
      <w:r w:rsidR="00DE2A4D" w:rsidRPr="00191ACB">
        <w:rPr>
          <w:rFonts w:ascii="Times New Roman" w:hAnsi="Times New Roman" w:cs="Times New Roman"/>
          <w:color w:val="000000" w:themeColor="text1"/>
          <w:sz w:val="24"/>
          <w:szCs w:val="24"/>
        </w:rPr>
        <w:t>wer</w:t>
      </w:r>
      <w:r w:rsidRPr="00191ACB">
        <w:rPr>
          <w:rFonts w:ascii="Times New Roman" w:hAnsi="Times New Roman" w:cs="Times New Roman"/>
          <w:color w:val="000000" w:themeColor="text1"/>
          <w:sz w:val="24"/>
          <w:szCs w:val="24"/>
        </w:rPr>
        <w:t xml:space="preserve">e higher followed by fuel wood removals </w:t>
      </w:r>
      <w:r w:rsidR="00087AA1" w:rsidRPr="00191ACB">
        <w:rPr>
          <w:rFonts w:ascii="Times New Roman" w:hAnsi="Times New Roman" w:cs="Times New Roman"/>
          <w:color w:val="000000" w:themeColor="text1"/>
          <w:sz w:val="24"/>
          <w:szCs w:val="24"/>
        </w:rPr>
        <w:t>whereas</w:t>
      </w:r>
      <w:r w:rsidRPr="00191ACB">
        <w:rPr>
          <w:rFonts w:ascii="Times New Roman" w:hAnsi="Times New Roman" w:cs="Times New Roman"/>
          <w:color w:val="000000" w:themeColor="text1"/>
          <w:sz w:val="24"/>
          <w:szCs w:val="24"/>
        </w:rPr>
        <w:t xml:space="preserve">, in 2015 and 2016, emissions from fuel wood </w:t>
      </w:r>
      <w:r w:rsidR="00087AA1" w:rsidRPr="00191ACB">
        <w:rPr>
          <w:rFonts w:ascii="Times New Roman" w:hAnsi="Times New Roman" w:cs="Times New Roman"/>
          <w:color w:val="000000" w:themeColor="text1"/>
          <w:sz w:val="24"/>
          <w:szCs w:val="24"/>
        </w:rPr>
        <w:t>were</w:t>
      </w:r>
      <w:r w:rsidRPr="00191ACB">
        <w:rPr>
          <w:rFonts w:ascii="Times New Roman" w:hAnsi="Times New Roman" w:cs="Times New Roman"/>
          <w:color w:val="000000" w:themeColor="text1"/>
          <w:sz w:val="24"/>
          <w:szCs w:val="24"/>
        </w:rPr>
        <w:t xml:space="preserve"> higher than that of commercial wood removal</w:t>
      </w:r>
      <w:r w:rsidR="00A3005C" w:rsidRPr="00191ACB">
        <w:rPr>
          <w:rFonts w:ascii="Times New Roman" w:hAnsi="Times New Roman" w:cs="Times New Roman"/>
          <w:color w:val="000000" w:themeColor="text1"/>
          <w:sz w:val="24"/>
          <w:szCs w:val="24"/>
        </w:rPr>
        <w:t>s</w:t>
      </w:r>
      <w:r w:rsidRPr="00191ACB">
        <w:rPr>
          <w:rFonts w:ascii="Times New Roman" w:hAnsi="Times New Roman" w:cs="Times New Roman"/>
          <w:color w:val="000000" w:themeColor="text1"/>
          <w:sz w:val="24"/>
          <w:szCs w:val="24"/>
        </w:rPr>
        <w:t xml:space="preserve">. </w:t>
      </w:r>
      <w:r w:rsidR="00A3005C" w:rsidRPr="00191ACB">
        <w:rPr>
          <w:rFonts w:ascii="Times New Roman" w:hAnsi="Times New Roman" w:cs="Times New Roman"/>
          <w:color w:val="000000" w:themeColor="text1"/>
          <w:sz w:val="24"/>
          <w:szCs w:val="24"/>
        </w:rPr>
        <w:t>The least of emissions were from cropland and settlements.</w:t>
      </w:r>
    </w:p>
    <w:p w14:paraId="6D7DD56D" w14:textId="77777777" w:rsidR="00C16CBB" w:rsidRPr="00191ACB" w:rsidRDefault="00C16CBB" w:rsidP="005E626A">
      <w:pPr>
        <w:pStyle w:val="NoSpacing"/>
        <w:spacing w:after="120"/>
        <w:jc w:val="both"/>
        <w:rPr>
          <w:rFonts w:ascii="Times New Roman" w:hAnsi="Times New Roman" w:cs="Times New Roman"/>
          <w:color w:val="000000" w:themeColor="text1"/>
          <w:sz w:val="24"/>
          <w:szCs w:val="24"/>
        </w:rPr>
      </w:pPr>
    </w:p>
    <w:p w14:paraId="0F7198E8" w14:textId="77777777" w:rsidR="00C16CBB" w:rsidRPr="00191ACB" w:rsidRDefault="00C16CBB" w:rsidP="00C16CBB">
      <w:pPr>
        <w:spacing w:line="240" w:lineRule="auto"/>
        <w:rPr>
          <w:rFonts w:ascii="Times New Roman" w:hAnsi="Times New Roman" w:cs="Times New Roman"/>
          <w:color w:val="000000" w:themeColor="text1"/>
          <w:sz w:val="24"/>
          <w:szCs w:val="24"/>
        </w:rPr>
        <w:sectPr w:rsidR="00C16CBB" w:rsidRPr="00191ACB" w:rsidSect="005F315B">
          <w:footerReference w:type="first" r:id="rId35"/>
          <w:pgSz w:w="12240" w:h="15840"/>
          <w:pgMar w:top="1276" w:right="1008" w:bottom="1008" w:left="1440" w:header="720" w:footer="720" w:gutter="0"/>
          <w:pgNumType w:start="1"/>
          <w:cols w:space="720"/>
          <w:titlePg/>
          <w:docGrid w:linePitch="299"/>
        </w:sectPr>
      </w:pPr>
    </w:p>
    <w:p w14:paraId="1403BBC0" w14:textId="5B6CA6FD" w:rsidR="00C16CBB" w:rsidRPr="00191ACB" w:rsidRDefault="00154848" w:rsidP="00154848">
      <w:pPr>
        <w:pStyle w:val="Caption"/>
        <w:rPr>
          <w:color w:val="000000" w:themeColor="text1"/>
          <w:sz w:val="24"/>
          <w:szCs w:val="24"/>
        </w:rPr>
      </w:pPr>
      <w:bookmarkStart w:id="90" w:name="_Toc56583763"/>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w:t>
      </w:r>
      <w:r w:rsidR="00875942">
        <w:rPr>
          <w:sz w:val="24"/>
          <w:szCs w:val="24"/>
        </w:rPr>
        <w:fldChar w:fldCharType="end"/>
      </w:r>
      <w:r w:rsidRPr="00191ACB">
        <w:rPr>
          <w:sz w:val="24"/>
          <w:szCs w:val="24"/>
        </w:rPr>
        <w:t>:GHG emissions (Gg CO2 eq.) by sector from 1994 to 2016</w:t>
      </w:r>
      <w:bookmarkEnd w:id="90"/>
    </w:p>
    <w:tbl>
      <w:tblPr>
        <w:tblW w:w="13750" w:type="dxa"/>
        <w:tblInd w:w="-5" w:type="dxa"/>
        <w:tblLook w:val="04A0" w:firstRow="1" w:lastRow="0" w:firstColumn="1" w:lastColumn="0" w:noHBand="0" w:noVBand="1"/>
      </w:tblPr>
      <w:tblGrid>
        <w:gridCol w:w="955"/>
        <w:gridCol w:w="2109"/>
        <w:gridCol w:w="2294"/>
        <w:gridCol w:w="932"/>
        <w:gridCol w:w="932"/>
        <w:gridCol w:w="1942"/>
        <w:gridCol w:w="847"/>
        <w:gridCol w:w="1833"/>
        <w:gridCol w:w="1973"/>
      </w:tblGrid>
      <w:tr w:rsidR="00C16CBB" w:rsidRPr="00191ACB" w14:paraId="5B31DF9C" w14:textId="77777777" w:rsidTr="005A0F44">
        <w:trPr>
          <w:trHeight w:val="149"/>
        </w:trPr>
        <w:tc>
          <w:tcPr>
            <w:tcW w:w="960" w:type="dxa"/>
            <w:tcBorders>
              <w:top w:val="single" w:sz="4" w:space="0" w:color="auto"/>
              <w:left w:val="single" w:sz="4" w:space="0" w:color="auto"/>
              <w:bottom w:val="single" w:sz="4" w:space="0" w:color="auto"/>
              <w:right w:val="single" w:sz="4" w:space="0" w:color="auto"/>
            </w:tcBorders>
            <w:shd w:val="clear" w:color="auto" w:fill="D0CECE"/>
            <w:noWrap/>
            <w:vAlign w:val="bottom"/>
            <w:hideMark/>
          </w:tcPr>
          <w:p w14:paraId="6E46627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w:t>
            </w:r>
          </w:p>
        </w:tc>
        <w:tc>
          <w:tcPr>
            <w:tcW w:w="2120" w:type="dxa"/>
            <w:tcBorders>
              <w:top w:val="single" w:sz="4" w:space="0" w:color="auto"/>
              <w:left w:val="nil"/>
              <w:bottom w:val="single" w:sz="4" w:space="0" w:color="auto"/>
              <w:right w:val="single" w:sz="4" w:space="0" w:color="auto"/>
            </w:tcBorders>
            <w:shd w:val="clear" w:color="auto" w:fill="D0CECE"/>
            <w:noWrap/>
            <w:vAlign w:val="bottom"/>
            <w:hideMark/>
          </w:tcPr>
          <w:p w14:paraId="1D3BF4B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Total With AFOLU</w:t>
            </w:r>
          </w:p>
        </w:tc>
        <w:tc>
          <w:tcPr>
            <w:tcW w:w="2307" w:type="dxa"/>
            <w:tcBorders>
              <w:top w:val="single" w:sz="4" w:space="0" w:color="auto"/>
              <w:left w:val="nil"/>
              <w:bottom w:val="single" w:sz="4" w:space="0" w:color="auto"/>
              <w:right w:val="single" w:sz="4" w:space="0" w:color="auto"/>
            </w:tcBorders>
            <w:shd w:val="clear" w:color="auto" w:fill="D0CECE"/>
            <w:noWrap/>
            <w:vAlign w:val="bottom"/>
            <w:hideMark/>
          </w:tcPr>
          <w:p w14:paraId="20275AE9"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Total Without AFOLU</w:t>
            </w:r>
          </w:p>
        </w:tc>
        <w:tc>
          <w:tcPr>
            <w:tcW w:w="850" w:type="dxa"/>
            <w:tcBorders>
              <w:top w:val="single" w:sz="4" w:space="0" w:color="auto"/>
              <w:left w:val="nil"/>
              <w:bottom w:val="single" w:sz="4" w:space="0" w:color="auto"/>
              <w:right w:val="single" w:sz="4" w:space="0" w:color="auto"/>
            </w:tcBorders>
            <w:shd w:val="clear" w:color="auto" w:fill="D0CECE"/>
            <w:vAlign w:val="bottom"/>
            <w:hideMark/>
          </w:tcPr>
          <w:p w14:paraId="20D754FE"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Energy</w:t>
            </w:r>
          </w:p>
        </w:tc>
        <w:tc>
          <w:tcPr>
            <w:tcW w:w="883" w:type="dxa"/>
            <w:tcBorders>
              <w:top w:val="single" w:sz="4" w:space="0" w:color="auto"/>
              <w:left w:val="nil"/>
              <w:bottom w:val="single" w:sz="4" w:space="0" w:color="auto"/>
              <w:right w:val="single" w:sz="4" w:space="0" w:color="auto"/>
            </w:tcBorders>
            <w:shd w:val="clear" w:color="auto" w:fill="D0CECE"/>
            <w:vAlign w:val="bottom"/>
            <w:hideMark/>
          </w:tcPr>
          <w:p w14:paraId="7FE45E86"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IPPU</w:t>
            </w:r>
          </w:p>
        </w:tc>
        <w:tc>
          <w:tcPr>
            <w:tcW w:w="1952" w:type="dxa"/>
            <w:tcBorders>
              <w:top w:val="single" w:sz="4" w:space="0" w:color="auto"/>
              <w:left w:val="nil"/>
              <w:bottom w:val="single" w:sz="4" w:space="0" w:color="auto"/>
              <w:right w:val="single" w:sz="4" w:space="0" w:color="auto"/>
            </w:tcBorders>
            <w:shd w:val="clear" w:color="auto" w:fill="D0CECE"/>
            <w:vAlign w:val="bottom"/>
            <w:hideMark/>
          </w:tcPr>
          <w:p w14:paraId="770B3B1B"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AFOLU Emissions</w:t>
            </w:r>
          </w:p>
        </w:tc>
        <w:tc>
          <w:tcPr>
            <w:tcW w:w="851" w:type="dxa"/>
            <w:tcBorders>
              <w:top w:val="single" w:sz="4" w:space="0" w:color="auto"/>
              <w:left w:val="nil"/>
              <w:bottom w:val="single" w:sz="4" w:space="0" w:color="auto"/>
              <w:right w:val="single" w:sz="4" w:space="0" w:color="auto"/>
            </w:tcBorders>
            <w:shd w:val="clear" w:color="auto" w:fill="D0CECE"/>
            <w:vAlign w:val="bottom"/>
            <w:hideMark/>
          </w:tcPr>
          <w:p w14:paraId="04E7618A"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Waste</w:t>
            </w:r>
          </w:p>
        </w:tc>
        <w:tc>
          <w:tcPr>
            <w:tcW w:w="1843" w:type="dxa"/>
            <w:tcBorders>
              <w:top w:val="single" w:sz="4" w:space="0" w:color="auto"/>
              <w:left w:val="nil"/>
              <w:bottom w:val="single" w:sz="4" w:space="0" w:color="auto"/>
              <w:right w:val="single" w:sz="4" w:space="0" w:color="auto"/>
            </w:tcBorders>
            <w:shd w:val="clear" w:color="auto" w:fill="D0CECE"/>
            <w:vAlign w:val="bottom"/>
            <w:hideMark/>
          </w:tcPr>
          <w:p w14:paraId="3B959FC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AFOLU Removals</w:t>
            </w:r>
          </w:p>
        </w:tc>
        <w:tc>
          <w:tcPr>
            <w:tcW w:w="1984" w:type="dxa"/>
            <w:tcBorders>
              <w:top w:val="single" w:sz="4" w:space="0" w:color="auto"/>
              <w:left w:val="nil"/>
              <w:bottom w:val="single" w:sz="4" w:space="0" w:color="auto"/>
              <w:right w:val="single" w:sz="4" w:space="0" w:color="auto"/>
            </w:tcBorders>
            <w:shd w:val="clear" w:color="auto" w:fill="D0CECE"/>
            <w:vAlign w:val="bottom"/>
            <w:hideMark/>
          </w:tcPr>
          <w:p w14:paraId="76209646"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Total Net Emissions</w:t>
            </w:r>
          </w:p>
        </w:tc>
      </w:tr>
      <w:tr w:rsidR="00C16CBB" w:rsidRPr="00191ACB" w14:paraId="51A6E1D4" w14:textId="77777777" w:rsidTr="005A0F44">
        <w:trPr>
          <w:trHeight w:val="264"/>
        </w:trPr>
        <w:tc>
          <w:tcPr>
            <w:tcW w:w="960" w:type="dxa"/>
            <w:tcBorders>
              <w:top w:val="nil"/>
              <w:left w:val="single" w:sz="4" w:space="0" w:color="auto"/>
              <w:bottom w:val="single" w:sz="4" w:space="0" w:color="auto"/>
              <w:right w:val="single" w:sz="4" w:space="0" w:color="auto"/>
            </w:tcBorders>
            <w:shd w:val="clear" w:color="auto" w:fill="D0CECE"/>
            <w:noWrap/>
            <w:vAlign w:val="bottom"/>
            <w:hideMark/>
          </w:tcPr>
          <w:p w14:paraId="235C37F8"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1994</w:t>
            </w:r>
          </w:p>
        </w:tc>
        <w:tc>
          <w:tcPr>
            <w:tcW w:w="2120" w:type="dxa"/>
            <w:tcBorders>
              <w:top w:val="nil"/>
              <w:left w:val="nil"/>
              <w:bottom w:val="single" w:sz="4" w:space="0" w:color="auto"/>
              <w:right w:val="single" w:sz="4" w:space="0" w:color="auto"/>
            </w:tcBorders>
            <w:shd w:val="clear" w:color="auto" w:fill="D0CECE"/>
            <w:noWrap/>
            <w:vAlign w:val="bottom"/>
            <w:hideMark/>
          </w:tcPr>
          <w:p w14:paraId="23DBE5D5"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86,063.2</w:t>
            </w:r>
          </w:p>
        </w:tc>
        <w:tc>
          <w:tcPr>
            <w:tcW w:w="2307" w:type="dxa"/>
            <w:tcBorders>
              <w:top w:val="nil"/>
              <w:left w:val="nil"/>
              <w:bottom w:val="single" w:sz="4" w:space="0" w:color="auto"/>
              <w:right w:val="single" w:sz="4" w:space="0" w:color="auto"/>
            </w:tcBorders>
            <w:shd w:val="clear" w:color="auto" w:fill="D0CECE"/>
            <w:noWrap/>
            <w:vAlign w:val="bottom"/>
            <w:hideMark/>
          </w:tcPr>
          <w:p w14:paraId="460CF3D2"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2,812.4</w:t>
            </w:r>
          </w:p>
        </w:tc>
        <w:tc>
          <w:tcPr>
            <w:tcW w:w="850" w:type="dxa"/>
            <w:tcBorders>
              <w:top w:val="nil"/>
              <w:left w:val="nil"/>
              <w:bottom w:val="single" w:sz="4" w:space="0" w:color="auto"/>
              <w:right w:val="single" w:sz="4" w:space="0" w:color="auto"/>
            </w:tcBorders>
            <w:shd w:val="clear" w:color="auto" w:fill="D0CECE"/>
            <w:noWrap/>
            <w:vAlign w:val="bottom"/>
            <w:hideMark/>
          </w:tcPr>
          <w:p w14:paraId="79F29827"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2,179.4</w:t>
            </w:r>
          </w:p>
        </w:tc>
        <w:tc>
          <w:tcPr>
            <w:tcW w:w="883" w:type="dxa"/>
            <w:tcBorders>
              <w:top w:val="nil"/>
              <w:left w:val="nil"/>
              <w:bottom w:val="single" w:sz="4" w:space="0" w:color="auto"/>
              <w:right w:val="single" w:sz="4" w:space="0" w:color="auto"/>
            </w:tcBorders>
            <w:shd w:val="clear" w:color="auto" w:fill="D0CECE"/>
            <w:noWrap/>
            <w:vAlign w:val="bottom"/>
            <w:hideMark/>
          </w:tcPr>
          <w:p w14:paraId="6AC3FA57"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428.5</w:t>
            </w:r>
          </w:p>
        </w:tc>
        <w:tc>
          <w:tcPr>
            <w:tcW w:w="1952" w:type="dxa"/>
            <w:tcBorders>
              <w:top w:val="nil"/>
              <w:left w:val="nil"/>
              <w:bottom w:val="single" w:sz="4" w:space="0" w:color="auto"/>
              <w:right w:val="single" w:sz="4" w:space="0" w:color="auto"/>
            </w:tcBorders>
            <w:shd w:val="clear" w:color="auto" w:fill="D0CECE"/>
            <w:noWrap/>
            <w:vAlign w:val="bottom"/>
            <w:hideMark/>
          </w:tcPr>
          <w:p w14:paraId="7B67C447"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83250.8</w:t>
            </w:r>
          </w:p>
        </w:tc>
        <w:tc>
          <w:tcPr>
            <w:tcW w:w="851" w:type="dxa"/>
            <w:tcBorders>
              <w:top w:val="nil"/>
              <w:left w:val="nil"/>
              <w:bottom w:val="single" w:sz="4" w:space="0" w:color="auto"/>
              <w:right w:val="single" w:sz="4" w:space="0" w:color="auto"/>
            </w:tcBorders>
            <w:shd w:val="clear" w:color="auto" w:fill="D0CECE"/>
            <w:noWrap/>
            <w:vAlign w:val="bottom"/>
            <w:hideMark/>
          </w:tcPr>
          <w:p w14:paraId="56E1CE7A"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204.5</w:t>
            </w:r>
          </w:p>
        </w:tc>
        <w:tc>
          <w:tcPr>
            <w:tcW w:w="1843" w:type="dxa"/>
            <w:tcBorders>
              <w:top w:val="nil"/>
              <w:left w:val="nil"/>
              <w:bottom w:val="single" w:sz="4" w:space="0" w:color="auto"/>
              <w:right w:val="single" w:sz="4" w:space="0" w:color="auto"/>
            </w:tcBorders>
            <w:shd w:val="clear" w:color="auto" w:fill="D0CECE"/>
            <w:noWrap/>
            <w:vAlign w:val="bottom"/>
            <w:hideMark/>
          </w:tcPr>
          <w:p w14:paraId="2FBB13BC"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-142,929.2</w:t>
            </w:r>
          </w:p>
        </w:tc>
        <w:tc>
          <w:tcPr>
            <w:tcW w:w="1984" w:type="dxa"/>
            <w:tcBorders>
              <w:top w:val="nil"/>
              <w:left w:val="nil"/>
              <w:bottom w:val="single" w:sz="4" w:space="0" w:color="auto"/>
              <w:right w:val="single" w:sz="4" w:space="0" w:color="auto"/>
            </w:tcBorders>
            <w:shd w:val="clear" w:color="auto" w:fill="D0CECE"/>
            <w:noWrap/>
            <w:vAlign w:val="bottom"/>
            <w:hideMark/>
          </w:tcPr>
          <w:p w14:paraId="36F0DEFA"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-56,866.0</w:t>
            </w:r>
          </w:p>
        </w:tc>
      </w:tr>
      <w:tr w:rsidR="00C16CBB" w:rsidRPr="00191ACB" w14:paraId="34907FB7" w14:textId="77777777" w:rsidTr="005A0F44">
        <w:trPr>
          <w:trHeight w:val="264"/>
        </w:trPr>
        <w:tc>
          <w:tcPr>
            <w:tcW w:w="960" w:type="dxa"/>
            <w:tcBorders>
              <w:top w:val="nil"/>
              <w:left w:val="single" w:sz="4" w:space="0" w:color="auto"/>
              <w:bottom w:val="single" w:sz="4" w:space="0" w:color="auto"/>
              <w:right w:val="single" w:sz="4" w:space="0" w:color="auto"/>
            </w:tcBorders>
            <w:shd w:val="clear" w:color="auto" w:fill="D0CECE"/>
            <w:noWrap/>
            <w:vAlign w:val="bottom"/>
            <w:hideMark/>
          </w:tcPr>
          <w:p w14:paraId="0A326706"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2000</w:t>
            </w:r>
          </w:p>
        </w:tc>
        <w:tc>
          <w:tcPr>
            <w:tcW w:w="2120" w:type="dxa"/>
            <w:tcBorders>
              <w:top w:val="nil"/>
              <w:left w:val="nil"/>
              <w:bottom w:val="single" w:sz="4" w:space="0" w:color="auto"/>
              <w:right w:val="single" w:sz="4" w:space="0" w:color="auto"/>
            </w:tcBorders>
            <w:shd w:val="clear" w:color="auto" w:fill="D0CECE"/>
            <w:noWrap/>
            <w:vAlign w:val="bottom"/>
            <w:hideMark/>
          </w:tcPr>
          <w:p w14:paraId="4AA6FEF6"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102,236.8</w:t>
            </w:r>
          </w:p>
        </w:tc>
        <w:tc>
          <w:tcPr>
            <w:tcW w:w="2307" w:type="dxa"/>
            <w:tcBorders>
              <w:top w:val="nil"/>
              <w:left w:val="nil"/>
              <w:bottom w:val="single" w:sz="4" w:space="0" w:color="auto"/>
              <w:right w:val="single" w:sz="4" w:space="0" w:color="auto"/>
            </w:tcBorders>
            <w:shd w:val="clear" w:color="auto" w:fill="D0CECE"/>
            <w:noWrap/>
            <w:vAlign w:val="bottom"/>
            <w:hideMark/>
          </w:tcPr>
          <w:p w14:paraId="038FFC89"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3,052.9</w:t>
            </w:r>
          </w:p>
        </w:tc>
        <w:tc>
          <w:tcPr>
            <w:tcW w:w="850" w:type="dxa"/>
            <w:tcBorders>
              <w:top w:val="nil"/>
              <w:left w:val="nil"/>
              <w:bottom w:val="single" w:sz="4" w:space="0" w:color="auto"/>
              <w:right w:val="single" w:sz="4" w:space="0" w:color="auto"/>
            </w:tcBorders>
            <w:shd w:val="clear" w:color="auto" w:fill="D0CECE"/>
            <w:noWrap/>
            <w:vAlign w:val="bottom"/>
            <w:hideMark/>
          </w:tcPr>
          <w:p w14:paraId="45D7CD17"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1,743.5</w:t>
            </w:r>
          </w:p>
        </w:tc>
        <w:tc>
          <w:tcPr>
            <w:tcW w:w="883" w:type="dxa"/>
            <w:tcBorders>
              <w:top w:val="nil"/>
              <w:left w:val="nil"/>
              <w:bottom w:val="single" w:sz="4" w:space="0" w:color="auto"/>
              <w:right w:val="single" w:sz="4" w:space="0" w:color="auto"/>
            </w:tcBorders>
            <w:shd w:val="clear" w:color="auto" w:fill="D0CECE"/>
            <w:noWrap/>
            <w:vAlign w:val="bottom"/>
            <w:hideMark/>
          </w:tcPr>
          <w:p w14:paraId="02E3C37A"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1,086.9</w:t>
            </w:r>
          </w:p>
        </w:tc>
        <w:tc>
          <w:tcPr>
            <w:tcW w:w="1952" w:type="dxa"/>
            <w:tcBorders>
              <w:top w:val="nil"/>
              <w:left w:val="nil"/>
              <w:bottom w:val="single" w:sz="4" w:space="0" w:color="auto"/>
              <w:right w:val="single" w:sz="4" w:space="0" w:color="auto"/>
            </w:tcBorders>
            <w:shd w:val="clear" w:color="auto" w:fill="D0CECE"/>
            <w:noWrap/>
            <w:vAlign w:val="bottom"/>
            <w:hideMark/>
          </w:tcPr>
          <w:p w14:paraId="76CEC3C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99183.8</w:t>
            </w:r>
          </w:p>
        </w:tc>
        <w:tc>
          <w:tcPr>
            <w:tcW w:w="851" w:type="dxa"/>
            <w:tcBorders>
              <w:top w:val="nil"/>
              <w:left w:val="nil"/>
              <w:bottom w:val="single" w:sz="4" w:space="0" w:color="auto"/>
              <w:right w:val="single" w:sz="4" w:space="0" w:color="auto"/>
            </w:tcBorders>
            <w:shd w:val="clear" w:color="auto" w:fill="D0CECE"/>
            <w:noWrap/>
            <w:vAlign w:val="bottom"/>
            <w:hideMark/>
          </w:tcPr>
          <w:p w14:paraId="753AC7A5"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222.5</w:t>
            </w:r>
          </w:p>
        </w:tc>
        <w:tc>
          <w:tcPr>
            <w:tcW w:w="1843" w:type="dxa"/>
            <w:tcBorders>
              <w:top w:val="nil"/>
              <w:left w:val="nil"/>
              <w:bottom w:val="single" w:sz="4" w:space="0" w:color="auto"/>
              <w:right w:val="single" w:sz="4" w:space="0" w:color="auto"/>
            </w:tcBorders>
            <w:shd w:val="clear" w:color="auto" w:fill="D0CECE"/>
            <w:noWrap/>
            <w:vAlign w:val="bottom"/>
            <w:hideMark/>
          </w:tcPr>
          <w:p w14:paraId="6B0A07FD"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-139,624.2</w:t>
            </w:r>
          </w:p>
        </w:tc>
        <w:tc>
          <w:tcPr>
            <w:tcW w:w="1984" w:type="dxa"/>
            <w:tcBorders>
              <w:top w:val="nil"/>
              <w:left w:val="nil"/>
              <w:bottom w:val="single" w:sz="4" w:space="0" w:color="auto"/>
              <w:right w:val="single" w:sz="4" w:space="0" w:color="auto"/>
            </w:tcBorders>
            <w:shd w:val="clear" w:color="auto" w:fill="D0CECE"/>
            <w:noWrap/>
            <w:vAlign w:val="bottom"/>
            <w:hideMark/>
          </w:tcPr>
          <w:p w14:paraId="7AE16945"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-37,387.5</w:t>
            </w:r>
          </w:p>
        </w:tc>
      </w:tr>
      <w:tr w:rsidR="00C16CBB" w:rsidRPr="00191ACB" w14:paraId="6DB612B5" w14:textId="77777777" w:rsidTr="005A0F44">
        <w:trPr>
          <w:trHeight w:val="264"/>
        </w:trPr>
        <w:tc>
          <w:tcPr>
            <w:tcW w:w="960" w:type="dxa"/>
            <w:tcBorders>
              <w:top w:val="nil"/>
              <w:left w:val="single" w:sz="4" w:space="0" w:color="auto"/>
              <w:bottom w:val="single" w:sz="4" w:space="0" w:color="auto"/>
              <w:right w:val="single" w:sz="4" w:space="0" w:color="auto"/>
            </w:tcBorders>
            <w:shd w:val="clear" w:color="auto" w:fill="D0CECE"/>
            <w:noWrap/>
            <w:vAlign w:val="bottom"/>
            <w:hideMark/>
          </w:tcPr>
          <w:p w14:paraId="26806EDE"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2005</w:t>
            </w:r>
          </w:p>
        </w:tc>
        <w:tc>
          <w:tcPr>
            <w:tcW w:w="2120" w:type="dxa"/>
            <w:tcBorders>
              <w:top w:val="nil"/>
              <w:left w:val="nil"/>
              <w:bottom w:val="single" w:sz="4" w:space="0" w:color="auto"/>
              <w:right w:val="single" w:sz="4" w:space="0" w:color="auto"/>
            </w:tcBorders>
            <w:shd w:val="clear" w:color="auto" w:fill="D0CECE"/>
            <w:noWrap/>
            <w:vAlign w:val="bottom"/>
            <w:hideMark/>
          </w:tcPr>
          <w:p w14:paraId="2829F6E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105,938.4</w:t>
            </w:r>
          </w:p>
        </w:tc>
        <w:tc>
          <w:tcPr>
            <w:tcW w:w="2307" w:type="dxa"/>
            <w:tcBorders>
              <w:top w:val="nil"/>
              <w:left w:val="nil"/>
              <w:bottom w:val="single" w:sz="4" w:space="0" w:color="auto"/>
              <w:right w:val="single" w:sz="4" w:space="0" w:color="auto"/>
            </w:tcBorders>
            <w:shd w:val="clear" w:color="auto" w:fill="D0CECE"/>
            <w:noWrap/>
            <w:vAlign w:val="bottom"/>
            <w:hideMark/>
          </w:tcPr>
          <w:p w14:paraId="6CF1642A"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3,735.0</w:t>
            </w:r>
          </w:p>
        </w:tc>
        <w:tc>
          <w:tcPr>
            <w:tcW w:w="850" w:type="dxa"/>
            <w:tcBorders>
              <w:top w:val="nil"/>
              <w:left w:val="nil"/>
              <w:bottom w:val="single" w:sz="4" w:space="0" w:color="auto"/>
              <w:right w:val="single" w:sz="4" w:space="0" w:color="auto"/>
            </w:tcBorders>
            <w:shd w:val="clear" w:color="auto" w:fill="D0CECE"/>
            <w:noWrap/>
            <w:vAlign w:val="bottom"/>
            <w:hideMark/>
          </w:tcPr>
          <w:p w14:paraId="039C8936"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2,158.9</w:t>
            </w:r>
          </w:p>
        </w:tc>
        <w:tc>
          <w:tcPr>
            <w:tcW w:w="883" w:type="dxa"/>
            <w:tcBorders>
              <w:top w:val="nil"/>
              <w:left w:val="nil"/>
              <w:bottom w:val="single" w:sz="4" w:space="0" w:color="auto"/>
              <w:right w:val="single" w:sz="4" w:space="0" w:color="auto"/>
            </w:tcBorders>
            <w:shd w:val="clear" w:color="auto" w:fill="D0CECE"/>
            <w:noWrap/>
            <w:vAlign w:val="bottom"/>
            <w:hideMark/>
          </w:tcPr>
          <w:p w14:paraId="27488A1A"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1,318.8</w:t>
            </w:r>
          </w:p>
        </w:tc>
        <w:tc>
          <w:tcPr>
            <w:tcW w:w="1952" w:type="dxa"/>
            <w:tcBorders>
              <w:top w:val="nil"/>
              <w:left w:val="nil"/>
              <w:bottom w:val="single" w:sz="4" w:space="0" w:color="auto"/>
              <w:right w:val="single" w:sz="4" w:space="0" w:color="auto"/>
            </w:tcBorders>
            <w:shd w:val="clear" w:color="auto" w:fill="D0CECE"/>
            <w:noWrap/>
            <w:vAlign w:val="bottom"/>
            <w:hideMark/>
          </w:tcPr>
          <w:p w14:paraId="24E6C4BD"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102203.5</w:t>
            </w:r>
          </w:p>
        </w:tc>
        <w:tc>
          <w:tcPr>
            <w:tcW w:w="851" w:type="dxa"/>
            <w:tcBorders>
              <w:top w:val="nil"/>
              <w:left w:val="nil"/>
              <w:bottom w:val="single" w:sz="4" w:space="0" w:color="auto"/>
              <w:right w:val="single" w:sz="4" w:space="0" w:color="auto"/>
            </w:tcBorders>
            <w:shd w:val="clear" w:color="auto" w:fill="D0CECE"/>
            <w:noWrap/>
            <w:vAlign w:val="bottom"/>
            <w:hideMark/>
          </w:tcPr>
          <w:p w14:paraId="44165077"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257.3</w:t>
            </w:r>
          </w:p>
        </w:tc>
        <w:tc>
          <w:tcPr>
            <w:tcW w:w="1843" w:type="dxa"/>
            <w:tcBorders>
              <w:top w:val="nil"/>
              <w:left w:val="nil"/>
              <w:bottom w:val="single" w:sz="4" w:space="0" w:color="auto"/>
              <w:right w:val="single" w:sz="4" w:space="0" w:color="auto"/>
            </w:tcBorders>
            <w:shd w:val="clear" w:color="auto" w:fill="D0CECE"/>
            <w:noWrap/>
            <w:vAlign w:val="bottom"/>
            <w:hideMark/>
          </w:tcPr>
          <w:p w14:paraId="2719BBD9"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-138,259.0</w:t>
            </w:r>
          </w:p>
        </w:tc>
        <w:tc>
          <w:tcPr>
            <w:tcW w:w="1984" w:type="dxa"/>
            <w:tcBorders>
              <w:top w:val="nil"/>
              <w:left w:val="nil"/>
              <w:bottom w:val="single" w:sz="4" w:space="0" w:color="auto"/>
              <w:right w:val="single" w:sz="4" w:space="0" w:color="auto"/>
            </w:tcBorders>
            <w:shd w:val="clear" w:color="auto" w:fill="D0CECE"/>
            <w:noWrap/>
            <w:vAlign w:val="bottom"/>
            <w:hideMark/>
          </w:tcPr>
          <w:p w14:paraId="21484CC6"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-32,320.6</w:t>
            </w:r>
          </w:p>
        </w:tc>
      </w:tr>
      <w:tr w:rsidR="00C16CBB" w:rsidRPr="00191ACB" w14:paraId="3A78D420" w14:textId="77777777" w:rsidTr="005A0F44">
        <w:trPr>
          <w:trHeight w:val="264"/>
        </w:trPr>
        <w:tc>
          <w:tcPr>
            <w:tcW w:w="960" w:type="dxa"/>
            <w:tcBorders>
              <w:top w:val="nil"/>
              <w:left w:val="single" w:sz="4" w:space="0" w:color="auto"/>
              <w:bottom w:val="single" w:sz="4" w:space="0" w:color="auto"/>
              <w:right w:val="single" w:sz="4" w:space="0" w:color="auto"/>
            </w:tcBorders>
            <w:shd w:val="clear" w:color="auto" w:fill="D0CECE"/>
            <w:noWrap/>
            <w:vAlign w:val="bottom"/>
            <w:hideMark/>
          </w:tcPr>
          <w:p w14:paraId="7CF88E3B"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2010</w:t>
            </w:r>
          </w:p>
        </w:tc>
        <w:tc>
          <w:tcPr>
            <w:tcW w:w="2120" w:type="dxa"/>
            <w:tcBorders>
              <w:top w:val="nil"/>
              <w:left w:val="nil"/>
              <w:bottom w:val="single" w:sz="4" w:space="0" w:color="auto"/>
              <w:right w:val="single" w:sz="4" w:space="0" w:color="auto"/>
            </w:tcBorders>
            <w:shd w:val="clear" w:color="auto" w:fill="D0CECE"/>
            <w:noWrap/>
            <w:vAlign w:val="bottom"/>
            <w:hideMark/>
          </w:tcPr>
          <w:p w14:paraId="66755D99"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120,604.7</w:t>
            </w:r>
          </w:p>
        </w:tc>
        <w:tc>
          <w:tcPr>
            <w:tcW w:w="2307" w:type="dxa"/>
            <w:tcBorders>
              <w:top w:val="nil"/>
              <w:left w:val="nil"/>
              <w:bottom w:val="single" w:sz="4" w:space="0" w:color="auto"/>
              <w:right w:val="single" w:sz="4" w:space="0" w:color="auto"/>
            </w:tcBorders>
            <w:shd w:val="clear" w:color="auto" w:fill="D0CECE"/>
            <w:noWrap/>
            <w:vAlign w:val="bottom"/>
            <w:hideMark/>
          </w:tcPr>
          <w:p w14:paraId="3F94B3A3"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5,021.1</w:t>
            </w:r>
          </w:p>
        </w:tc>
        <w:tc>
          <w:tcPr>
            <w:tcW w:w="850" w:type="dxa"/>
            <w:tcBorders>
              <w:top w:val="nil"/>
              <w:left w:val="nil"/>
              <w:bottom w:val="single" w:sz="4" w:space="0" w:color="auto"/>
              <w:right w:val="single" w:sz="4" w:space="0" w:color="auto"/>
            </w:tcBorders>
            <w:shd w:val="clear" w:color="auto" w:fill="D0CECE"/>
            <w:noWrap/>
            <w:vAlign w:val="bottom"/>
            <w:hideMark/>
          </w:tcPr>
          <w:p w14:paraId="46BC541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3,155.8</w:t>
            </w:r>
          </w:p>
        </w:tc>
        <w:tc>
          <w:tcPr>
            <w:tcW w:w="883" w:type="dxa"/>
            <w:tcBorders>
              <w:top w:val="nil"/>
              <w:left w:val="nil"/>
              <w:bottom w:val="single" w:sz="4" w:space="0" w:color="auto"/>
              <w:right w:val="single" w:sz="4" w:space="0" w:color="auto"/>
            </w:tcBorders>
            <w:shd w:val="clear" w:color="auto" w:fill="D0CECE"/>
            <w:noWrap/>
            <w:vAlign w:val="bottom"/>
            <w:hideMark/>
          </w:tcPr>
          <w:p w14:paraId="41F41648"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1,559.4</w:t>
            </w:r>
          </w:p>
        </w:tc>
        <w:tc>
          <w:tcPr>
            <w:tcW w:w="1952" w:type="dxa"/>
            <w:tcBorders>
              <w:top w:val="nil"/>
              <w:left w:val="nil"/>
              <w:bottom w:val="single" w:sz="4" w:space="0" w:color="auto"/>
              <w:right w:val="single" w:sz="4" w:space="0" w:color="auto"/>
            </w:tcBorders>
            <w:shd w:val="clear" w:color="auto" w:fill="D0CECE"/>
            <w:noWrap/>
            <w:vAlign w:val="bottom"/>
            <w:hideMark/>
          </w:tcPr>
          <w:p w14:paraId="4C07AD02"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115583.6</w:t>
            </w:r>
          </w:p>
        </w:tc>
        <w:tc>
          <w:tcPr>
            <w:tcW w:w="851" w:type="dxa"/>
            <w:tcBorders>
              <w:top w:val="nil"/>
              <w:left w:val="nil"/>
              <w:bottom w:val="single" w:sz="4" w:space="0" w:color="auto"/>
              <w:right w:val="single" w:sz="4" w:space="0" w:color="auto"/>
            </w:tcBorders>
            <w:shd w:val="clear" w:color="auto" w:fill="D0CECE"/>
            <w:noWrap/>
            <w:vAlign w:val="bottom"/>
            <w:hideMark/>
          </w:tcPr>
          <w:p w14:paraId="5D85124C"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305.9</w:t>
            </w:r>
          </w:p>
        </w:tc>
        <w:tc>
          <w:tcPr>
            <w:tcW w:w="1843" w:type="dxa"/>
            <w:tcBorders>
              <w:top w:val="nil"/>
              <w:left w:val="nil"/>
              <w:bottom w:val="single" w:sz="4" w:space="0" w:color="auto"/>
              <w:right w:val="single" w:sz="4" w:space="0" w:color="auto"/>
            </w:tcBorders>
            <w:shd w:val="clear" w:color="auto" w:fill="D0CECE"/>
            <w:noWrap/>
            <w:vAlign w:val="bottom"/>
            <w:hideMark/>
          </w:tcPr>
          <w:p w14:paraId="551BCF0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-137,322.9</w:t>
            </w:r>
          </w:p>
        </w:tc>
        <w:tc>
          <w:tcPr>
            <w:tcW w:w="1984" w:type="dxa"/>
            <w:tcBorders>
              <w:top w:val="nil"/>
              <w:left w:val="nil"/>
              <w:bottom w:val="single" w:sz="4" w:space="0" w:color="auto"/>
              <w:right w:val="single" w:sz="4" w:space="0" w:color="auto"/>
            </w:tcBorders>
            <w:shd w:val="clear" w:color="auto" w:fill="D0CECE"/>
            <w:noWrap/>
            <w:vAlign w:val="bottom"/>
            <w:hideMark/>
          </w:tcPr>
          <w:p w14:paraId="26E1AB6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-16,718.2</w:t>
            </w:r>
          </w:p>
        </w:tc>
      </w:tr>
      <w:tr w:rsidR="00C16CBB" w:rsidRPr="00191ACB" w14:paraId="700B56C3" w14:textId="77777777" w:rsidTr="005A0F44">
        <w:trPr>
          <w:trHeight w:val="264"/>
        </w:trPr>
        <w:tc>
          <w:tcPr>
            <w:tcW w:w="960" w:type="dxa"/>
            <w:tcBorders>
              <w:top w:val="nil"/>
              <w:left w:val="single" w:sz="4" w:space="0" w:color="auto"/>
              <w:bottom w:val="single" w:sz="4" w:space="0" w:color="auto"/>
              <w:right w:val="single" w:sz="4" w:space="0" w:color="auto"/>
            </w:tcBorders>
            <w:shd w:val="clear" w:color="auto" w:fill="D0CECE"/>
            <w:noWrap/>
            <w:vAlign w:val="bottom"/>
            <w:hideMark/>
          </w:tcPr>
          <w:p w14:paraId="486E9D53"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2011</w:t>
            </w:r>
          </w:p>
        </w:tc>
        <w:tc>
          <w:tcPr>
            <w:tcW w:w="2120" w:type="dxa"/>
            <w:tcBorders>
              <w:top w:val="nil"/>
              <w:left w:val="nil"/>
              <w:bottom w:val="single" w:sz="4" w:space="0" w:color="auto"/>
              <w:right w:val="single" w:sz="4" w:space="0" w:color="auto"/>
            </w:tcBorders>
            <w:shd w:val="clear" w:color="auto" w:fill="D0CECE"/>
            <w:noWrap/>
            <w:vAlign w:val="bottom"/>
            <w:hideMark/>
          </w:tcPr>
          <w:p w14:paraId="569660DA"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117,654.1</w:t>
            </w:r>
          </w:p>
        </w:tc>
        <w:tc>
          <w:tcPr>
            <w:tcW w:w="2307" w:type="dxa"/>
            <w:tcBorders>
              <w:top w:val="nil"/>
              <w:left w:val="nil"/>
              <w:bottom w:val="single" w:sz="4" w:space="0" w:color="auto"/>
              <w:right w:val="single" w:sz="4" w:space="0" w:color="auto"/>
            </w:tcBorders>
            <w:shd w:val="clear" w:color="auto" w:fill="D0CECE"/>
            <w:noWrap/>
            <w:vAlign w:val="bottom"/>
            <w:hideMark/>
          </w:tcPr>
          <w:p w14:paraId="620E7405"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5,254.5</w:t>
            </w:r>
          </w:p>
        </w:tc>
        <w:tc>
          <w:tcPr>
            <w:tcW w:w="850" w:type="dxa"/>
            <w:tcBorders>
              <w:top w:val="nil"/>
              <w:left w:val="nil"/>
              <w:bottom w:val="single" w:sz="4" w:space="0" w:color="auto"/>
              <w:right w:val="single" w:sz="4" w:space="0" w:color="auto"/>
            </w:tcBorders>
            <w:shd w:val="clear" w:color="auto" w:fill="D0CECE"/>
            <w:noWrap/>
            <w:vAlign w:val="bottom"/>
            <w:hideMark/>
          </w:tcPr>
          <w:p w14:paraId="5F85C213"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3,400.6</w:t>
            </w:r>
          </w:p>
        </w:tc>
        <w:tc>
          <w:tcPr>
            <w:tcW w:w="883" w:type="dxa"/>
            <w:tcBorders>
              <w:top w:val="nil"/>
              <w:left w:val="nil"/>
              <w:bottom w:val="single" w:sz="4" w:space="0" w:color="auto"/>
              <w:right w:val="single" w:sz="4" w:space="0" w:color="auto"/>
            </w:tcBorders>
            <w:shd w:val="clear" w:color="auto" w:fill="D0CECE"/>
            <w:noWrap/>
            <w:vAlign w:val="bottom"/>
            <w:hideMark/>
          </w:tcPr>
          <w:p w14:paraId="29734013"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1,544.1</w:t>
            </w:r>
          </w:p>
        </w:tc>
        <w:tc>
          <w:tcPr>
            <w:tcW w:w="1952" w:type="dxa"/>
            <w:tcBorders>
              <w:top w:val="nil"/>
              <w:left w:val="nil"/>
              <w:bottom w:val="single" w:sz="4" w:space="0" w:color="auto"/>
              <w:right w:val="single" w:sz="4" w:space="0" w:color="auto"/>
            </w:tcBorders>
            <w:shd w:val="clear" w:color="auto" w:fill="D0CECE"/>
            <w:noWrap/>
            <w:vAlign w:val="bottom"/>
            <w:hideMark/>
          </w:tcPr>
          <w:p w14:paraId="456DE55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112,399.6</w:t>
            </w:r>
          </w:p>
        </w:tc>
        <w:tc>
          <w:tcPr>
            <w:tcW w:w="851" w:type="dxa"/>
            <w:tcBorders>
              <w:top w:val="nil"/>
              <w:left w:val="nil"/>
              <w:bottom w:val="single" w:sz="4" w:space="0" w:color="auto"/>
              <w:right w:val="single" w:sz="4" w:space="0" w:color="auto"/>
            </w:tcBorders>
            <w:shd w:val="clear" w:color="auto" w:fill="D0CECE"/>
            <w:noWrap/>
            <w:vAlign w:val="bottom"/>
            <w:hideMark/>
          </w:tcPr>
          <w:p w14:paraId="2403ABD9"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309.9</w:t>
            </w:r>
          </w:p>
        </w:tc>
        <w:tc>
          <w:tcPr>
            <w:tcW w:w="1843" w:type="dxa"/>
            <w:tcBorders>
              <w:top w:val="nil"/>
              <w:left w:val="nil"/>
              <w:bottom w:val="single" w:sz="4" w:space="0" w:color="auto"/>
              <w:right w:val="single" w:sz="4" w:space="0" w:color="auto"/>
            </w:tcBorders>
            <w:shd w:val="clear" w:color="auto" w:fill="D0CECE"/>
            <w:noWrap/>
            <w:vAlign w:val="bottom"/>
            <w:hideMark/>
          </w:tcPr>
          <w:p w14:paraId="3BE45FA0"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-137,213.6</w:t>
            </w:r>
          </w:p>
        </w:tc>
        <w:tc>
          <w:tcPr>
            <w:tcW w:w="1984" w:type="dxa"/>
            <w:tcBorders>
              <w:top w:val="nil"/>
              <w:left w:val="nil"/>
              <w:bottom w:val="single" w:sz="4" w:space="0" w:color="auto"/>
              <w:right w:val="single" w:sz="4" w:space="0" w:color="auto"/>
            </w:tcBorders>
            <w:shd w:val="clear" w:color="auto" w:fill="D0CECE"/>
            <w:noWrap/>
            <w:vAlign w:val="bottom"/>
            <w:hideMark/>
          </w:tcPr>
          <w:p w14:paraId="4335550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-19,559.5</w:t>
            </w:r>
          </w:p>
        </w:tc>
      </w:tr>
      <w:tr w:rsidR="00C16CBB" w:rsidRPr="00191ACB" w14:paraId="2CDF1A86" w14:textId="77777777" w:rsidTr="005A0F44">
        <w:trPr>
          <w:trHeight w:val="264"/>
        </w:trPr>
        <w:tc>
          <w:tcPr>
            <w:tcW w:w="960" w:type="dxa"/>
            <w:tcBorders>
              <w:top w:val="nil"/>
              <w:left w:val="single" w:sz="4" w:space="0" w:color="auto"/>
              <w:bottom w:val="single" w:sz="4" w:space="0" w:color="auto"/>
              <w:right w:val="single" w:sz="4" w:space="0" w:color="auto"/>
            </w:tcBorders>
            <w:shd w:val="clear" w:color="auto" w:fill="D0CECE"/>
            <w:noWrap/>
            <w:vAlign w:val="bottom"/>
            <w:hideMark/>
          </w:tcPr>
          <w:p w14:paraId="7E0C6EA6"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2012</w:t>
            </w:r>
          </w:p>
        </w:tc>
        <w:tc>
          <w:tcPr>
            <w:tcW w:w="2120" w:type="dxa"/>
            <w:tcBorders>
              <w:top w:val="nil"/>
              <w:left w:val="nil"/>
              <w:bottom w:val="single" w:sz="4" w:space="0" w:color="auto"/>
              <w:right w:val="single" w:sz="4" w:space="0" w:color="auto"/>
            </w:tcBorders>
            <w:shd w:val="clear" w:color="auto" w:fill="D0CECE"/>
            <w:noWrap/>
            <w:vAlign w:val="bottom"/>
            <w:hideMark/>
          </w:tcPr>
          <w:p w14:paraId="3DFDC13A"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121,775.6</w:t>
            </w:r>
          </w:p>
        </w:tc>
        <w:tc>
          <w:tcPr>
            <w:tcW w:w="2307" w:type="dxa"/>
            <w:tcBorders>
              <w:top w:val="nil"/>
              <w:left w:val="nil"/>
              <w:bottom w:val="single" w:sz="4" w:space="0" w:color="auto"/>
              <w:right w:val="single" w:sz="4" w:space="0" w:color="auto"/>
            </w:tcBorders>
            <w:shd w:val="clear" w:color="auto" w:fill="D0CECE"/>
            <w:noWrap/>
            <w:vAlign w:val="bottom"/>
            <w:hideMark/>
          </w:tcPr>
          <w:p w14:paraId="4AEAAFB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8,753.4</w:t>
            </w:r>
          </w:p>
        </w:tc>
        <w:tc>
          <w:tcPr>
            <w:tcW w:w="850" w:type="dxa"/>
            <w:tcBorders>
              <w:top w:val="nil"/>
              <w:left w:val="nil"/>
              <w:bottom w:val="single" w:sz="4" w:space="0" w:color="auto"/>
              <w:right w:val="single" w:sz="4" w:space="0" w:color="auto"/>
            </w:tcBorders>
            <w:shd w:val="clear" w:color="auto" w:fill="D0CECE"/>
            <w:noWrap/>
            <w:vAlign w:val="bottom"/>
            <w:hideMark/>
          </w:tcPr>
          <w:p w14:paraId="286359DE"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6,796.9</w:t>
            </w:r>
          </w:p>
        </w:tc>
        <w:tc>
          <w:tcPr>
            <w:tcW w:w="883" w:type="dxa"/>
            <w:tcBorders>
              <w:top w:val="nil"/>
              <w:left w:val="nil"/>
              <w:bottom w:val="single" w:sz="4" w:space="0" w:color="auto"/>
              <w:right w:val="single" w:sz="4" w:space="0" w:color="auto"/>
            </w:tcBorders>
            <w:shd w:val="clear" w:color="auto" w:fill="D0CECE"/>
            <w:noWrap/>
            <w:vAlign w:val="bottom"/>
            <w:hideMark/>
          </w:tcPr>
          <w:p w14:paraId="067B6C73"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1,641.8</w:t>
            </w:r>
          </w:p>
        </w:tc>
        <w:tc>
          <w:tcPr>
            <w:tcW w:w="1952" w:type="dxa"/>
            <w:tcBorders>
              <w:top w:val="nil"/>
              <w:left w:val="nil"/>
              <w:bottom w:val="single" w:sz="4" w:space="0" w:color="auto"/>
              <w:right w:val="single" w:sz="4" w:space="0" w:color="auto"/>
            </w:tcBorders>
            <w:shd w:val="clear" w:color="auto" w:fill="D0CECE"/>
            <w:noWrap/>
            <w:vAlign w:val="bottom"/>
            <w:hideMark/>
          </w:tcPr>
          <w:p w14:paraId="47FC203D"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113,022.2</w:t>
            </w:r>
          </w:p>
        </w:tc>
        <w:tc>
          <w:tcPr>
            <w:tcW w:w="851" w:type="dxa"/>
            <w:tcBorders>
              <w:top w:val="nil"/>
              <w:left w:val="nil"/>
              <w:bottom w:val="single" w:sz="4" w:space="0" w:color="auto"/>
              <w:right w:val="single" w:sz="4" w:space="0" w:color="auto"/>
            </w:tcBorders>
            <w:shd w:val="clear" w:color="auto" w:fill="D0CECE"/>
            <w:noWrap/>
            <w:vAlign w:val="bottom"/>
            <w:hideMark/>
          </w:tcPr>
          <w:p w14:paraId="2E6DA14C"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314.6</w:t>
            </w:r>
          </w:p>
        </w:tc>
        <w:tc>
          <w:tcPr>
            <w:tcW w:w="1843" w:type="dxa"/>
            <w:tcBorders>
              <w:top w:val="nil"/>
              <w:left w:val="nil"/>
              <w:bottom w:val="single" w:sz="4" w:space="0" w:color="auto"/>
              <w:right w:val="single" w:sz="4" w:space="0" w:color="auto"/>
            </w:tcBorders>
            <w:shd w:val="clear" w:color="auto" w:fill="D0CECE"/>
            <w:noWrap/>
            <w:vAlign w:val="bottom"/>
            <w:hideMark/>
          </w:tcPr>
          <w:p w14:paraId="3ED1B1FB"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-137,020.9</w:t>
            </w:r>
          </w:p>
        </w:tc>
        <w:tc>
          <w:tcPr>
            <w:tcW w:w="1984" w:type="dxa"/>
            <w:tcBorders>
              <w:top w:val="nil"/>
              <w:left w:val="nil"/>
              <w:bottom w:val="single" w:sz="4" w:space="0" w:color="auto"/>
              <w:right w:val="single" w:sz="4" w:space="0" w:color="auto"/>
            </w:tcBorders>
            <w:shd w:val="clear" w:color="auto" w:fill="D0CECE"/>
            <w:noWrap/>
            <w:vAlign w:val="bottom"/>
            <w:hideMark/>
          </w:tcPr>
          <w:p w14:paraId="0DA5CE11"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-15,245.3</w:t>
            </w:r>
          </w:p>
        </w:tc>
      </w:tr>
      <w:tr w:rsidR="00C16CBB" w:rsidRPr="00191ACB" w14:paraId="28C49104" w14:textId="77777777" w:rsidTr="005A0F44">
        <w:trPr>
          <w:trHeight w:val="264"/>
        </w:trPr>
        <w:tc>
          <w:tcPr>
            <w:tcW w:w="960" w:type="dxa"/>
            <w:tcBorders>
              <w:top w:val="nil"/>
              <w:left w:val="single" w:sz="4" w:space="0" w:color="auto"/>
              <w:bottom w:val="single" w:sz="4" w:space="0" w:color="auto"/>
              <w:right w:val="single" w:sz="4" w:space="0" w:color="auto"/>
            </w:tcBorders>
            <w:shd w:val="clear" w:color="auto" w:fill="D0CECE"/>
            <w:noWrap/>
            <w:vAlign w:val="bottom"/>
            <w:hideMark/>
          </w:tcPr>
          <w:p w14:paraId="060950F0"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2013</w:t>
            </w:r>
          </w:p>
        </w:tc>
        <w:tc>
          <w:tcPr>
            <w:tcW w:w="2120" w:type="dxa"/>
            <w:tcBorders>
              <w:top w:val="nil"/>
              <w:left w:val="nil"/>
              <w:bottom w:val="single" w:sz="4" w:space="0" w:color="auto"/>
              <w:right w:val="single" w:sz="4" w:space="0" w:color="auto"/>
            </w:tcBorders>
            <w:shd w:val="clear" w:color="auto" w:fill="D0CECE"/>
            <w:noWrap/>
            <w:vAlign w:val="bottom"/>
            <w:hideMark/>
          </w:tcPr>
          <w:p w14:paraId="2E72BAE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123,862.2</w:t>
            </w:r>
          </w:p>
        </w:tc>
        <w:tc>
          <w:tcPr>
            <w:tcW w:w="2307" w:type="dxa"/>
            <w:tcBorders>
              <w:top w:val="nil"/>
              <w:left w:val="nil"/>
              <w:bottom w:val="single" w:sz="4" w:space="0" w:color="auto"/>
              <w:right w:val="single" w:sz="4" w:space="0" w:color="auto"/>
            </w:tcBorders>
            <w:shd w:val="clear" w:color="auto" w:fill="D0CECE"/>
            <w:noWrap/>
            <w:vAlign w:val="bottom"/>
            <w:hideMark/>
          </w:tcPr>
          <w:p w14:paraId="02787D0C"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9,807.9</w:t>
            </w:r>
          </w:p>
        </w:tc>
        <w:tc>
          <w:tcPr>
            <w:tcW w:w="850" w:type="dxa"/>
            <w:tcBorders>
              <w:top w:val="nil"/>
              <w:left w:val="nil"/>
              <w:bottom w:val="single" w:sz="4" w:space="0" w:color="auto"/>
              <w:right w:val="single" w:sz="4" w:space="0" w:color="auto"/>
            </w:tcBorders>
            <w:shd w:val="clear" w:color="auto" w:fill="D0CECE"/>
            <w:noWrap/>
            <w:vAlign w:val="bottom"/>
            <w:hideMark/>
          </w:tcPr>
          <w:p w14:paraId="6361DC05"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7,737.9</w:t>
            </w:r>
          </w:p>
        </w:tc>
        <w:tc>
          <w:tcPr>
            <w:tcW w:w="883" w:type="dxa"/>
            <w:tcBorders>
              <w:top w:val="nil"/>
              <w:left w:val="nil"/>
              <w:bottom w:val="single" w:sz="4" w:space="0" w:color="auto"/>
              <w:right w:val="single" w:sz="4" w:space="0" w:color="auto"/>
            </w:tcBorders>
            <w:shd w:val="clear" w:color="auto" w:fill="D0CECE"/>
            <w:noWrap/>
            <w:vAlign w:val="bottom"/>
            <w:hideMark/>
          </w:tcPr>
          <w:p w14:paraId="3C42A188"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1,755.4</w:t>
            </w:r>
          </w:p>
        </w:tc>
        <w:tc>
          <w:tcPr>
            <w:tcW w:w="1952" w:type="dxa"/>
            <w:tcBorders>
              <w:top w:val="nil"/>
              <w:left w:val="nil"/>
              <w:bottom w:val="single" w:sz="4" w:space="0" w:color="auto"/>
              <w:right w:val="single" w:sz="4" w:space="0" w:color="auto"/>
            </w:tcBorders>
            <w:shd w:val="clear" w:color="auto" w:fill="D0CECE"/>
            <w:noWrap/>
            <w:vAlign w:val="bottom"/>
            <w:hideMark/>
          </w:tcPr>
          <w:p w14:paraId="633BB698"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114,054.4</w:t>
            </w:r>
          </w:p>
        </w:tc>
        <w:tc>
          <w:tcPr>
            <w:tcW w:w="851" w:type="dxa"/>
            <w:tcBorders>
              <w:top w:val="nil"/>
              <w:left w:val="nil"/>
              <w:bottom w:val="single" w:sz="4" w:space="0" w:color="auto"/>
              <w:right w:val="single" w:sz="4" w:space="0" w:color="auto"/>
            </w:tcBorders>
            <w:shd w:val="clear" w:color="auto" w:fill="D0CECE"/>
            <w:noWrap/>
            <w:vAlign w:val="bottom"/>
            <w:hideMark/>
          </w:tcPr>
          <w:p w14:paraId="04D8DD68"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314.6</w:t>
            </w:r>
          </w:p>
        </w:tc>
        <w:tc>
          <w:tcPr>
            <w:tcW w:w="1843" w:type="dxa"/>
            <w:tcBorders>
              <w:top w:val="nil"/>
              <w:left w:val="nil"/>
              <w:bottom w:val="single" w:sz="4" w:space="0" w:color="auto"/>
              <w:right w:val="single" w:sz="4" w:space="0" w:color="auto"/>
            </w:tcBorders>
            <w:shd w:val="clear" w:color="auto" w:fill="D0CECE"/>
            <w:noWrap/>
            <w:vAlign w:val="bottom"/>
            <w:hideMark/>
          </w:tcPr>
          <w:p w14:paraId="0EB29FB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-136,828.2</w:t>
            </w:r>
          </w:p>
        </w:tc>
        <w:tc>
          <w:tcPr>
            <w:tcW w:w="1984" w:type="dxa"/>
            <w:tcBorders>
              <w:top w:val="nil"/>
              <w:left w:val="nil"/>
              <w:bottom w:val="single" w:sz="4" w:space="0" w:color="auto"/>
              <w:right w:val="single" w:sz="4" w:space="0" w:color="auto"/>
            </w:tcBorders>
            <w:shd w:val="clear" w:color="auto" w:fill="D0CECE"/>
            <w:noWrap/>
            <w:vAlign w:val="bottom"/>
            <w:hideMark/>
          </w:tcPr>
          <w:p w14:paraId="75A7285E"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-12,966.0</w:t>
            </w:r>
          </w:p>
        </w:tc>
      </w:tr>
      <w:tr w:rsidR="00C16CBB" w:rsidRPr="00191ACB" w14:paraId="752F9521" w14:textId="77777777" w:rsidTr="005A0F44">
        <w:trPr>
          <w:trHeight w:val="264"/>
        </w:trPr>
        <w:tc>
          <w:tcPr>
            <w:tcW w:w="960" w:type="dxa"/>
            <w:tcBorders>
              <w:top w:val="nil"/>
              <w:left w:val="single" w:sz="4" w:space="0" w:color="auto"/>
              <w:bottom w:val="single" w:sz="4" w:space="0" w:color="auto"/>
              <w:right w:val="single" w:sz="4" w:space="0" w:color="auto"/>
            </w:tcBorders>
            <w:shd w:val="clear" w:color="auto" w:fill="D0CECE"/>
            <w:noWrap/>
            <w:vAlign w:val="bottom"/>
            <w:hideMark/>
          </w:tcPr>
          <w:p w14:paraId="17FC0B77"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2014</w:t>
            </w:r>
          </w:p>
        </w:tc>
        <w:tc>
          <w:tcPr>
            <w:tcW w:w="2120" w:type="dxa"/>
            <w:tcBorders>
              <w:top w:val="nil"/>
              <w:left w:val="nil"/>
              <w:bottom w:val="single" w:sz="4" w:space="0" w:color="auto"/>
              <w:right w:val="single" w:sz="4" w:space="0" w:color="auto"/>
            </w:tcBorders>
            <w:shd w:val="clear" w:color="auto" w:fill="D0CECE"/>
            <w:noWrap/>
            <w:vAlign w:val="bottom"/>
            <w:hideMark/>
          </w:tcPr>
          <w:p w14:paraId="3B5092D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125,042.2</w:t>
            </w:r>
          </w:p>
        </w:tc>
        <w:tc>
          <w:tcPr>
            <w:tcW w:w="2307" w:type="dxa"/>
            <w:tcBorders>
              <w:top w:val="nil"/>
              <w:left w:val="nil"/>
              <w:bottom w:val="single" w:sz="4" w:space="0" w:color="auto"/>
              <w:right w:val="single" w:sz="4" w:space="0" w:color="auto"/>
            </w:tcBorders>
            <w:shd w:val="clear" w:color="auto" w:fill="D0CECE"/>
            <w:noWrap/>
            <w:vAlign w:val="bottom"/>
            <w:hideMark/>
          </w:tcPr>
          <w:p w14:paraId="1D1F4929"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9,667.3</w:t>
            </w:r>
          </w:p>
        </w:tc>
        <w:tc>
          <w:tcPr>
            <w:tcW w:w="850" w:type="dxa"/>
            <w:tcBorders>
              <w:top w:val="nil"/>
              <w:left w:val="nil"/>
              <w:bottom w:val="single" w:sz="4" w:space="0" w:color="auto"/>
              <w:right w:val="single" w:sz="4" w:space="0" w:color="auto"/>
            </w:tcBorders>
            <w:shd w:val="clear" w:color="auto" w:fill="D0CECE"/>
            <w:noWrap/>
            <w:vAlign w:val="bottom"/>
            <w:hideMark/>
          </w:tcPr>
          <w:p w14:paraId="54465CB2"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7,737.9</w:t>
            </w:r>
          </w:p>
        </w:tc>
        <w:tc>
          <w:tcPr>
            <w:tcW w:w="883" w:type="dxa"/>
            <w:tcBorders>
              <w:top w:val="nil"/>
              <w:left w:val="nil"/>
              <w:bottom w:val="single" w:sz="4" w:space="0" w:color="auto"/>
              <w:right w:val="single" w:sz="4" w:space="0" w:color="auto"/>
            </w:tcBorders>
            <w:shd w:val="clear" w:color="auto" w:fill="D0CECE"/>
            <w:noWrap/>
            <w:vAlign w:val="bottom"/>
            <w:hideMark/>
          </w:tcPr>
          <w:p w14:paraId="2A5EF859"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1,609.8</w:t>
            </w:r>
          </w:p>
        </w:tc>
        <w:tc>
          <w:tcPr>
            <w:tcW w:w="1952" w:type="dxa"/>
            <w:tcBorders>
              <w:top w:val="nil"/>
              <w:left w:val="nil"/>
              <w:bottom w:val="single" w:sz="4" w:space="0" w:color="auto"/>
              <w:right w:val="single" w:sz="4" w:space="0" w:color="auto"/>
            </w:tcBorders>
            <w:shd w:val="clear" w:color="auto" w:fill="D0CECE"/>
            <w:noWrap/>
            <w:vAlign w:val="bottom"/>
            <w:hideMark/>
          </w:tcPr>
          <w:p w14:paraId="186A4673"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115,374.9</w:t>
            </w:r>
          </w:p>
        </w:tc>
        <w:tc>
          <w:tcPr>
            <w:tcW w:w="851" w:type="dxa"/>
            <w:tcBorders>
              <w:top w:val="nil"/>
              <w:left w:val="nil"/>
              <w:bottom w:val="single" w:sz="4" w:space="0" w:color="auto"/>
              <w:right w:val="single" w:sz="4" w:space="0" w:color="auto"/>
            </w:tcBorders>
            <w:shd w:val="clear" w:color="auto" w:fill="D0CECE"/>
            <w:noWrap/>
            <w:vAlign w:val="bottom"/>
            <w:hideMark/>
          </w:tcPr>
          <w:p w14:paraId="401D74A2"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319.6</w:t>
            </w:r>
          </w:p>
        </w:tc>
        <w:tc>
          <w:tcPr>
            <w:tcW w:w="1843" w:type="dxa"/>
            <w:tcBorders>
              <w:top w:val="nil"/>
              <w:left w:val="nil"/>
              <w:bottom w:val="single" w:sz="4" w:space="0" w:color="auto"/>
              <w:right w:val="single" w:sz="4" w:space="0" w:color="auto"/>
            </w:tcBorders>
            <w:shd w:val="clear" w:color="auto" w:fill="D0CECE"/>
            <w:noWrap/>
            <w:vAlign w:val="bottom"/>
            <w:hideMark/>
          </w:tcPr>
          <w:p w14:paraId="45102FE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-136,635.5</w:t>
            </w:r>
          </w:p>
        </w:tc>
        <w:tc>
          <w:tcPr>
            <w:tcW w:w="1984" w:type="dxa"/>
            <w:tcBorders>
              <w:top w:val="nil"/>
              <w:left w:val="nil"/>
              <w:bottom w:val="single" w:sz="4" w:space="0" w:color="auto"/>
              <w:right w:val="single" w:sz="4" w:space="0" w:color="auto"/>
            </w:tcBorders>
            <w:shd w:val="clear" w:color="auto" w:fill="D0CECE"/>
            <w:noWrap/>
            <w:vAlign w:val="bottom"/>
            <w:hideMark/>
          </w:tcPr>
          <w:p w14:paraId="190BCFCC"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-11,593.3</w:t>
            </w:r>
          </w:p>
        </w:tc>
      </w:tr>
      <w:tr w:rsidR="00C16CBB" w:rsidRPr="00191ACB" w14:paraId="3F6D5F5F" w14:textId="77777777" w:rsidTr="005A0F44">
        <w:trPr>
          <w:trHeight w:val="264"/>
        </w:trPr>
        <w:tc>
          <w:tcPr>
            <w:tcW w:w="960" w:type="dxa"/>
            <w:tcBorders>
              <w:top w:val="nil"/>
              <w:left w:val="single" w:sz="4" w:space="0" w:color="auto"/>
              <w:bottom w:val="single" w:sz="4" w:space="0" w:color="auto"/>
              <w:right w:val="single" w:sz="4" w:space="0" w:color="auto"/>
            </w:tcBorders>
            <w:shd w:val="clear" w:color="auto" w:fill="D0CECE"/>
            <w:noWrap/>
            <w:vAlign w:val="bottom"/>
            <w:hideMark/>
          </w:tcPr>
          <w:p w14:paraId="3D7912E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2015</w:t>
            </w:r>
          </w:p>
        </w:tc>
        <w:tc>
          <w:tcPr>
            <w:tcW w:w="2120" w:type="dxa"/>
            <w:tcBorders>
              <w:top w:val="nil"/>
              <w:left w:val="nil"/>
              <w:bottom w:val="single" w:sz="4" w:space="0" w:color="auto"/>
              <w:right w:val="single" w:sz="4" w:space="0" w:color="auto"/>
            </w:tcBorders>
            <w:shd w:val="clear" w:color="auto" w:fill="D0CECE"/>
            <w:noWrap/>
            <w:vAlign w:val="bottom"/>
            <w:hideMark/>
          </w:tcPr>
          <w:p w14:paraId="68D69110"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126,425.9</w:t>
            </w:r>
          </w:p>
        </w:tc>
        <w:tc>
          <w:tcPr>
            <w:tcW w:w="2307" w:type="dxa"/>
            <w:tcBorders>
              <w:top w:val="nil"/>
              <w:left w:val="nil"/>
              <w:bottom w:val="single" w:sz="4" w:space="0" w:color="auto"/>
              <w:right w:val="single" w:sz="4" w:space="0" w:color="auto"/>
            </w:tcBorders>
            <w:shd w:val="clear" w:color="auto" w:fill="D0CECE"/>
            <w:noWrap/>
            <w:vAlign w:val="bottom"/>
            <w:hideMark/>
          </w:tcPr>
          <w:p w14:paraId="0A8803A8"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9,285.0</w:t>
            </w:r>
          </w:p>
        </w:tc>
        <w:tc>
          <w:tcPr>
            <w:tcW w:w="850" w:type="dxa"/>
            <w:tcBorders>
              <w:top w:val="nil"/>
              <w:left w:val="nil"/>
              <w:bottom w:val="single" w:sz="4" w:space="0" w:color="auto"/>
              <w:right w:val="single" w:sz="4" w:space="0" w:color="auto"/>
            </w:tcBorders>
            <w:shd w:val="clear" w:color="auto" w:fill="D0CECE"/>
            <w:noWrap/>
            <w:vAlign w:val="bottom"/>
            <w:hideMark/>
          </w:tcPr>
          <w:p w14:paraId="1F010CA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7,049.8</w:t>
            </w:r>
          </w:p>
        </w:tc>
        <w:tc>
          <w:tcPr>
            <w:tcW w:w="883" w:type="dxa"/>
            <w:tcBorders>
              <w:top w:val="nil"/>
              <w:left w:val="nil"/>
              <w:bottom w:val="single" w:sz="4" w:space="0" w:color="auto"/>
              <w:right w:val="single" w:sz="4" w:space="0" w:color="auto"/>
            </w:tcBorders>
            <w:shd w:val="clear" w:color="auto" w:fill="D0CECE"/>
            <w:noWrap/>
            <w:vAlign w:val="bottom"/>
            <w:hideMark/>
          </w:tcPr>
          <w:p w14:paraId="064EA36F"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1,905.0</w:t>
            </w:r>
          </w:p>
        </w:tc>
        <w:tc>
          <w:tcPr>
            <w:tcW w:w="1952" w:type="dxa"/>
            <w:tcBorders>
              <w:top w:val="nil"/>
              <w:left w:val="nil"/>
              <w:bottom w:val="single" w:sz="4" w:space="0" w:color="auto"/>
              <w:right w:val="single" w:sz="4" w:space="0" w:color="auto"/>
            </w:tcBorders>
            <w:shd w:val="clear" w:color="auto" w:fill="D0CECE"/>
            <w:noWrap/>
            <w:vAlign w:val="bottom"/>
            <w:hideMark/>
          </w:tcPr>
          <w:p w14:paraId="11E0811D"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117,141.0</w:t>
            </w:r>
          </w:p>
        </w:tc>
        <w:tc>
          <w:tcPr>
            <w:tcW w:w="851" w:type="dxa"/>
            <w:tcBorders>
              <w:top w:val="nil"/>
              <w:left w:val="nil"/>
              <w:bottom w:val="single" w:sz="4" w:space="0" w:color="auto"/>
              <w:right w:val="single" w:sz="4" w:space="0" w:color="auto"/>
            </w:tcBorders>
            <w:shd w:val="clear" w:color="auto" w:fill="D0CECE"/>
            <w:noWrap/>
            <w:vAlign w:val="bottom"/>
            <w:hideMark/>
          </w:tcPr>
          <w:p w14:paraId="6CC5FA51"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330.2</w:t>
            </w:r>
          </w:p>
        </w:tc>
        <w:tc>
          <w:tcPr>
            <w:tcW w:w="1843" w:type="dxa"/>
            <w:tcBorders>
              <w:top w:val="nil"/>
              <w:left w:val="nil"/>
              <w:bottom w:val="single" w:sz="4" w:space="0" w:color="auto"/>
              <w:right w:val="single" w:sz="4" w:space="0" w:color="auto"/>
            </w:tcBorders>
            <w:shd w:val="clear" w:color="auto" w:fill="D0CECE"/>
            <w:noWrap/>
            <w:vAlign w:val="bottom"/>
            <w:hideMark/>
          </w:tcPr>
          <w:p w14:paraId="0220EBE4"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-136,442.8</w:t>
            </w:r>
          </w:p>
        </w:tc>
        <w:tc>
          <w:tcPr>
            <w:tcW w:w="1984" w:type="dxa"/>
            <w:tcBorders>
              <w:top w:val="nil"/>
              <w:left w:val="nil"/>
              <w:bottom w:val="single" w:sz="4" w:space="0" w:color="auto"/>
              <w:right w:val="single" w:sz="4" w:space="0" w:color="auto"/>
            </w:tcBorders>
            <w:shd w:val="clear" w:color="auto" w:fill="D0CECE"/>
            <w:noWrap/>
            <w:vAlign w:val="bottom"/>
            <w:hideMark/>
          </w:tcPr>
          <w:p w14:paraId="4406440C"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-10,016.9</w:t>
            </w:r>
          </w:p>
        </w:tc>
      </w:tr>
      <w:tr w:rsidR="00C16CBB" w:rsidRPr="00191ACB" w14:paraId="41D0E621" w14:textId="77777777" w:rsidTr="005A0F44">
        <w:trPr>
          <w:trHeight w:val="264"/>
        </w:trPr>
        <w:tc>
          <w:tcPr>
            <w:tcW w:w="960" w:type="dxa"/>
            <w:tcBorders>
              <w:top w:val="nil"/>
              <w:left w:val="single" w:sz="4" w:space="0" w:color="auto"/>
              <w:bottom w:val="single" w:sz="4" w:space="0" w:color="auto"/>
              <w:right w:val="single" w:sz="4" w:space="0" w:color="auto"/>
            </w:tcBorders>
            <w:shd w:val="clear" w:color="auto" w:fill="D0CECE"/>
            <w:noWrap/>
            <w:vAlign w:val="bottom"/>
            <w:hideMark/>
          </w:tcPr>
          <w:p w14:paraId="61F09647"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2016</w:t>
            </w:r>
          </w:p>
        </w:tc>
        <w:tc>
          <w:tcPr>
            <w:tcW w:w="2120" w:type="dxa"/>
            <w:tcBorders>
              <w:top w:val="nil"/>
              <w:left w:val="nil"/>
              <w:bottom w:val="single" w:sz="4" w:space="0" w:color="auto"/>
              <w:right w:val="single" w:sz="4" w:space="0" w:color="auto"/>
            </w:tcBorders>
            <w:shd w:val="clear" w:color="auto" w:fill="D0CECE"/>
            <w:noWrap/>
            <w:vAlign w:val="bottom"/>
            <w:hideMark/>
          </w:tcPr>
          <w:p w14:paraId="65C208AB"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126,758.5</w:t>
            </w:r>
          </w:p>
        </w:tc>
        <w:tc>
          <w:tcPr>
            <w:tcW w:w="2307" w:type="dxa"/>
            <w:tcBorders>
              <w:top w:val="nil"/>
              <w:left w:val="nil"/>
              <w:bottom w:val="single" w:sz="4" w:space="0" w:color="auto"/>
              <w:right w:val="single" w:sz="4" w:space="0" w:color="auto"/>
            </w:tcBorders>
            <w:shd w:val="clear" w:color="auto" w:fill="D0CECE"/>
            <w:noWrap/>
            <w:vAlign w:val="bottom"/>
            <w:hideMark/>
          </w:tcPr>
          <w:p w14:paraId="5FD37105"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8,871.0</w:t>
            </w:r>
          </w:p>
        </w:tc>
        <w:tc>
          <w:tcPr>
            <w:tcW w:w="850" w:type="dxa"/>
            <w:tcBorders>
              <w:top w:val="nil"/>
              <w:left w:val="nil"/>
              <w:bottom w:val="single" w:sz="4" w:space="0" w:color="auto"/>
              <w:right w:val="single" w:sz="4" w:space="0" w:color="auto"/>
            </w:tcBorders>
            <w:shd w:val="clear" w:color="auto" w:fill="D0CECE"/>
            <w:noWrap/>
            <w:vAlign w:val="bottom"/>
            <w:hideMark/>
          </w:tcPr>
          <w:p w14:paraId="4DA3B20B"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6,443.7</w:t>
            </w:r>
          </w:p>
        </w:tc>
        <w:tc>
          <w:tcPr>
            <w:tcW w:w="883" w:type="dxa"/>
            <w:tcBorders>
              <w:top w:val="nil"/>
              <w:left w:val="nil"/>
              <w:bottom w:val="single" w:sz="4" w:space="0" w:color="auto"/>
              <w:right w:val="single" w:sz="4" w:space="0" w:color="auto"/>
            </w:tcBorders>
            <w:shd w:val="clear" w:color="auto" w:fill="D0CECE"/>
            <w:noWrap/>
            <w:vAlign w:val="bottom"/>
            <w:hideMark/>
          </w:tcPr>
          <w:p w14:paraId="1BF2390C"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2,091.4</w:t>
            </w:r>
          </w:p>
        </w:tc>
        <w:tc>
          <w:tcPr>
            <w:tcW w:w="1952" w:type="dxa"/>
            <w:tcBorders>
              <w:top w:val="nil"/>
              <w:left w:val="nil"/>
              <w:bottom w:val="single" w:sz="4" w:space="0" w:color="auto"/>
              <w:right w:val="single" w:sz="4" w:space="0" w:color="auto"/>
            </w:tcBorders>
            <w:shd w:val="clear" w:color="auto" w:fill="D0CECE"/>
            <w:noWrap/>
            <w:vAlign w:val="bottom"/>
            <w:hideMark/>
          </w:tcPr>
          <w:p w14:paraId="36834E29"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117,887.5</w:t>
            </w:r>
          </w:p>
        </w:tc>
        <w:tc>
          <w:tcPr>
            <w:tcW w:w="851" w:type="dxa"/>
            <w:tcBorders>
              <w:top w:val="nil"/>
              <w:left w:val="nil"/>
              <w:bottom w:val="single" w:sz="4" w:space="0" w:color="auto"/>
              <w:right w:val="single" w:sz="4" w:space="0" w:color="auto"/>
            </w:tcBorders>
            <w:shd w:val="clear" w:color="auto" w:fill="D0CECE"/>
            <w:noWrap/>
            <w:vAlign w:val="bottom"/>
            <w:hideMark/>
          </w:tcPr>
          <w:p w14:paraId="665A5BB3"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335.8</w:t>
            </w:r>
          </w:p>
        </w:tc>
        <w:tc>
          <w:tcPr>
            <w:tcW w:w="1843" w:type="dxa"/>
            <w:tcBorders>
              <w:top w:val="nil"/>
              <w:left w:val="nil"/>
              <w:bottom w:val="single" w:sz="4" w:space="0" w:color="auto"/>
              <w:right w:val="single" w:sz="4" w:space="0" w:color="auto"/>
            </w:tcBorders>
            <w:shd w:val="clear" w:color="auto" w:fill="D0CECE"/>
            <w:noWrap/>
            <w:vAlign w:val="bottom"/>
            <w:hideMark/>
          </w:tcPr>
          <w:p w14:paraId="337CD5F1"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-136,266.8</w:t>
            </w:r>
          </w:p>
        </w:tc>
        <w:tc>
          <w:tcPr>
            <w:tcW w:w="1984" w:type="dxa"/>
            <w:tcBorders>
              <w:top w:val="nil"/>
              <w:left w:val="nil"/>
              <w:bottom w:val="single" w:sz="4" w:space="0" w:color="auto"/>
              <w:right w:val="single" w:sz="4" w:space="0" w:color="auto"/>
            </w:tcBorders>
            <w:shd w:val="clear" w:color="auto" w:fill="D0CECE"/>
            <w:noWrap/>
            <w:vAlign w:val="bottom"/>
            <w:hideMark/>
          </w:tcPr>
          <w:p w14:paraId="57285850" w14:textId="77777777" w:rsidR="00C16CBB" w:rsidRPr="00191ACB" w:rsidRDefault="00C16CBB" w:rsidP="005A0F44">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-9,508.3</w:t>
            </w:r>
          </w:p>
        </w:tc>
      </w:tr>
    </w:tbl>
    <w:p w14:paraId="3DF92FFC" w14:textId="77777777" w:rsidR="00A73946" w:rsidRPr="00191ACB" w:rsidRDefault="00A73946" w:rsidP="00C16CBB">
      <w:pPr>
        <w:pStyle w:val="NoSpacing"/>
        <w:jc w:val="both"/>
        <w:rPr>
          <w:rFonts w:ascii="Times New Roman" w:hAnsi="Times New Roman" w:cs="Times New Roman"/>
          <w:color w:val="000000" w:themeColor="text1"/>
          <w:sz w:val="24"/>
          <w:szCs w:val="24"/>
        </w:rPr>
        <w:sectPr w:rsidR="00A73946" w:rsidRPr="00191ACB" w:rsidSect="006C1D45">
          <w:pgSz w:w="15840" w:h="12240" w:orient="landscape"/>
          <w:pgMar w:top="1009" w:right="1009" w:bottom="1440" w:left="1009" w:header="720" w:footer="720" w:gutter="0"/>
          <w:cols w:space="720"/>
        </w:sectPr>
      </w:pPr>
    </w:p>
    <w:p w14:paraId="06195D81" w14:textId="6E93FA60" w:rsidR="00C16CBB" w:rsidRPr="00191ACB" w:rsidRDefault="00C16CBB" w:rsidP="005E626A">
      <w:pPr>
        <w:pStyle w:val="NoSpacing"/>
        <w:spacing w:after="120"/>
        <w:jc w:val="both"/>
        <w:rPr>
          <w:rFonts w:ascii="Times New Roman" w:hAnsi="Times New Roman" w:cs="Times New Roman"/>
          <w:color w:val="000000" w:themeColor="text1"/>
          <w:sz w:val="24"/>
          <w:szCs w:val="24"/>
        </w:rPr>
      </w:pPr>
    </w:p>
    <w:p w14:paraId="5735F379" w14:textId="3A472880" w:rsidR="00C16CBB" w:rsidRPr="00191ACB" w:rsidRDefault="00C16CBB" w:rsidP="005A0F44">
      <w:pPr>
        <w:jc w:val="both"/>
        <w:rPr>
          <w:rFonts w:ascii="Times New Roman" w:hAnsi="Times New Roman" w:cs="Times New Roman"/>
          <w:color w:val="000000" w:themeColor="text1"/>
          <w:sz w:val="24"/>
          <w:szCs w:val="24"/>
        </w:rPr>
      </w:pPr>
      <w:bookmarkStart w:id="91" w:name="_Toc15311598"/>
      <w:r w:rsidRPr="00191ACB">
        <w:rPr>
          <w:rFonts w:ascii="Times New Roman" w:hAnsi="Times New Roman" w:cs="Times New Roman"/>
          <w:noProof/>
          <w:color w:val="000000" w:themeColor="text1"/>
          <w:sz w:val="24"/>
          <w:szCs w:val="24"/>
          <w:lang w:val="en-GB" w:eastAsia="en-GB"/>
        </w:rPr>
        <w:drawing>
          <wp:inline distT="0" distB="0" distL="0" distR="0" wp14:anchorId="3E51D031" wp14:editId="085D7680">
            <wp:extent cx="6203289" cy="2354580"/>
            <wp:effectExtent l="0" t="0" r="7620" b="7620"/>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BCA506F" w14:textId="27358988" w:rsidR="00C16CBB" w:rsidRPr="00191ACB" w:rsidRDefault="00F37A8D" w:rsidP="00F37A8D">
      <w:pPr>
        <w:pStyle w:val="Caption"/>
        <w:rPr>
          <w:color w:val="000000" w:themeColor="text1"/>
          <w:sz w:val="24"/>
          <w:szCs w:val="24"/>
        </w:rPr>
      </w:pPr>
      <w:bookmarkStart w:id="92" w:name="_Toc56583849"/>
      <w:bookmarkEnd w:id="91"/>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4</w:t>
      </w:r>
      <w:r w:rsidR="009D481C">
        <w:rPr>
          <w:sz w:val="24"/>
          <w:szCs w:val="24"/>
        </w:rPr>
        <w:fldChar w:fldCharType="end"/>
      </w:r>
      <w:r w:rsidRPr="00191ACB">
        <w:rPr>
          <w:sz w:val="24"/>
          <w:szCs w:val="24"/>
        </w:rPr>
        <w:t>:emissions trends for all categories in the Land Category</w:t>
      </w:r>
      <w:bookmarkEnd w:id="92"/>
    </w:p>
    <w:p w14:paraId="2B7C863F" w14:textId="77777777" w:rsidR="00C16CBB" w:rsidRPr="00191ACB" w:rsidRDefault="00C16CBB" w:rsidP="005E626A">
      <w:pPr>
        <w:pStyle w:val="NoSpacing"/>
        <w:spacing w:after="120"/>
        <w:rPr>
          <w:rFonts w:ascii="Times New Roman" w:hAnsi="Times New Roman" w:cs="Times New Roman"/>
          <w:color w:val="000000" w:themeColor="text1"/>
          <w:sz w:val="24"/>
          <w:szCs w:val="24"/>
        </w:rPr>
      </w:pPr>
    </w:p>
    <w:p w14:paraId="6336E325" w14:textId="3D80699A" w:rsidR="00C16CBB" w:rsidRPr="00191ACB" w:rsidRDefault="00CF758F" w:rsidP="0040323D">
      <w:pPr>
        <w:pStyle w:val="Heading3"/>
      </w:pPr>
      <w:bookmarkStart w:id="93" w:name="_Toc48427289"/>
      <w:bookmarkStart w:id="94" w:name="_Toc57902817"/>
      <w:r w:rsidRPr="00191ACB">
        <w:t>3</w:t>
      </w:r>
      <w:r w:rsidR="00C16CBB" w:rsidRPr="00191ACB">
        <w:t>.</w:t>
      </w:r>
      <w:r w:rsidR="00FD2421" w:rsidRPr="00191ACB">
        <w:t>2</w:t>
      </w:r>
      <w:r w:rsidR="00C16CBB" w:rsidRPr="00191ACB">
        <w:t xml:space="preserve">.2 </w:t>
      </w:r>
      <w:r w:rsidR="00C16CBB" w:rsidRPr="00191ACB">
        <w:tab/>
        <w:t>Emission Removal Trends</w:t>
      </w:r>
      <w:bookmarkEnd w:id="93"/>
      <w:bookmarkEnd w:id="94"/>
      <w:r w:rsidR="00C16CBB" w:rsidRPr="00191ACB">
        <w:t xml:space="preserve">  </w:t>
      </w:r>
    </w:p>
    <w:p w14:paraId="4BB4EE7D" w14:textId="2F17D7E8" w:rsidR="00C16CBB" w:rsidRPr="00191ACB" w:rsidRDefault="00C16CBB"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Provided in Figure</w:t>
      </w:r>
      <w:r w:rsidR="00F37A8D" w:rsidRPr="00191ACB">
        <w:rPr>
          <w:rFonts w:ascii="Times New Roman" w:hAnsi="Times New Roman" w:cs="Times New Roman"/>
          <w:color w:val="000000" w:themeColor="text1"/>
          <w:sz w:val="24"/>
          <w:szCs w:val="24"/>
        </w:rPr>
        <w:t xml:space="preserve"> 3.5</w:t>
      </w:r>
      <w:r w:rsidRPr="00191ACB">
        <w:rPr>
          <w:rFonts w:ascii="Times New Roman" w:hAnsi="Times New Roman" w:cs="Times New Roman"/>
          <w:color w:val="000000" w:themeColor="text1"/>
          <w:sz w:val="24"/>
          <w:szCs w:val="24"/>
        </w:rPr>
        <w:t xml:space="preserve"> are percentage contributions and trends of emissions removals by forest classification. In 2016, the highest emissions removals occurred in Forest Woodland with -60,065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followed by Other Wood Land at -35,680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and the third was Moist Evergreen at -20,352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The fourth was Dry Deciduous at -10,424 Gg CO</w:t>
      </w:r>
      <w:r w:rsidRPr="00191ACB">
        <w:rPr>
          <w:rFonts w:ascii="Times New Roman" w:hAnsi="Times New Roman" w:cs="Times New Roman"/>
          <w:color w:val="000000" w:themeColor="text1"/>
          <w:sz w:val="24"/>
          <w:szCs w:val="24"/>
          <w:vertAlign w:val="subscript"/>
        </w:rPr>
        <w:t xml:space="preserve">2 eq., </w:t>
      </w:r>
      <w:r w:rsidRPr="00191ACB">
        <w:rPr>
          <w:rFonts w:ascii="Times New Roman" w:hAnsi="Times New Roman" w:cs="Times New Roman"/>
          <w:color w:val="000000" w:themeColor="text1"/>
          <w:sz w:val="24"/>
          <w:szCs w:val="24"/>
        </w:rPr>
        <w:t>while fifth was Dry Evergreen with -8,293 Gg CO</w:t>
      </w:r>
      <w:r w:rsidRPr="00191ACB">
        <w:rPr>
          <w:rFonts w:ascii="Times New Roman" w:hAnsi="Times New Roman" w:cs="Times New Roman"/>
          <w:color w:val="000000" w:themeColor="text1"/>
          <w:sz w:val="24"/>
          <w:szCs w:val="24"/>
          <w:vertAlign w:val="subscript"/>
        </w:rPr>
        <w:t xml:space="preserve">2 eq, </w:t>
      </w:r>
      <w:r w:rsidRPr="00191ACB">
        <w:rPr>
          <w:rFonts w:ascii="Times New Roman" w:hAnsi="Times New Roman" w:cs="Times New Roman"/>
          <w:color w:val="000000" w:themeColor="text1"/>
          <w:sz w:val="24"/>
          <w:szCs w:val="24"/>
        </w:rPr>
        <w:t>Pine Plantation was sixth at -730.4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and the least was Eucalyptus at -719.1 Gg CO</w:t>
      </w:r>
      <w:r w:rsidRPr="00191ACB">
        <w:rPr>
          <w:rFonts w:ascii="Times New Roman" w:hAnsi="Times New Roman" w:cs="Times New Roman"/>
          <w:color w:val="000000" w:themeColor="text1"/>
          <w:sz w:val="24"/>
          <w:szCs w:val="24"/>
          <w:vertAlign w:val="subscript"/>
        </w:rPr>
        <w:t>2 eq.</w:t>
      </w:r>
    </w:p>
    <w:p w14:paraId="6B498C25" w14:textId="77777777" w:rsidR="00C16CBB" w:rsidRPr="00191ACB" w:rsidRDefault="00C16CBB" w:rsidP="00C16CBB">
      <w:pPr>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72BEE294" wp14:editId="296A25A1">
            <wp:extent cx="6217920" cy="3055620"/>
            <wp:effectExtent l="0" t="0" r="11430" b="1143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F9245EC" w14:textId="2734B1A8" w:rsidR="00C16CBB" w:rsidRPr="00191ACB" w:rsidRDefault="00DF6E51" w:rsidP="00DF6E51">
      <w:pPr>
        <w:pStyle w:val="Caption"/>
        <w:rPr>
          <w:sz w:val="24"/>
          <w:szCs w:val="24"/>
        </w:rPr>
      </w:pPr>
      <w:bookmarkStart w:id="95" w:name="_Toc56583850"/>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5</w:t>
      </w:r>
      <w:r w:rsidR="009D481C">
        <w:rPr>
          <w:sz w:val="24"/>
          <w:szCs w:val="24"/>
        </w:rPr>
        <w:fldChar w:fldCharType="end"/>
      </w:r>
      <w:r w:rsidRPr="00191ACB">
        <w:rPr>
          <w:sz w:val="24"/>
          <w:szCs w:val="24"/>
        </w:rPr>
        <w:t>:Percentage contribution and trends of emissions removals by forest classification</w:t>
      </w:r>
      <w:bookmarkEnd w:id="95"/>
    </w:p>
    <w:p w14:paraId="765B2AEF" w14:textId="77777777" w:rsidR="00DF6E51" w:rsidRPr="00191ACB" w:rsidRDefault="00DF6E51" w:rsidP="00DF6E51">
      <w:pPr>
        <w:rPr>
          <w:rFonts w:ascii="Times New Roman" w:hAnsi="Times New Roman" w:cs="Times New Roman"/>
          <w:sz w:val="24"/>
          <w:szCs w:val="24"/>
          <w:lang w:val="en"/>
        </w:rPr>
      </w:pPr>
    </w:p>
    <w:p w14:paraId="299170E3" w14:textId="09E2563D" w:rsidR="00C16CBB" w:rsidRPr="00191ACB" w:rsidRDefault="00C16CBB"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lastRenderedPageBreak/>
        <w:t>In 2016, the highest sink occurred in Forest Woodland with 44.0% followed by Other Wood Land at 26.1%.</w:t>
      </w:r>
      <w:r w:rsidR="00E14A0B"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Others were Moist Evergreen 14.9%, Dry Deciduous 7.6%</w:t>
      </w:r>
      <w:r w:rsidR="00EE31B1"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Dry Ever green 6.0% and the least was Pine and Eucalyptus both at 0.5% (Figure</w:t>
      </w:r>
      <w:r w:rsidR="003E52C4" w:rsidRPr="00191ACB">
        <w:rPr>
          <w:rFonts w:ascii="Times New Roman" w:hAnsi="Times New Roman" w:cs="Times New Roman"/>
          <w:color w:val="000000" w:themeColor="text1"/>
          <w:sz w:val="24"/>
          <w:szCs w:val="24"/>
        </w:rPr>
        <w:t>3.6</w:t>
      </w:r>
      <w:r w:rsidRPr="00191ACB">
        <w:rPr>
          <w:rFonts w:ascii="Times New Roman" w:hAnsi="Times New Roman" w:cs="Times New Roman"/>
          <w:color w:val="000000" w:themeColor="text1"/>
          <w:sz w:val="24"/>
          <w:szCs w:val="24"/>
        </w:rPr>
        <w:t>).</w:t>
      </w:r>
    </w:p>
    <w:p w14:paraId="00257858" w14:textId="77777777" w:rsidR="00C16CBB" w:rsidRPr="00191ACB" w:rsidRDefault="00C16CBB" w:rsidP="00C16CBB">
      <w:pPr>
        <w:pStyle w:val="NoSpacing"/>
        <w:rPr>
          <w:rFonts w:ascii="Times New Roman" w:hAnsi="Times New Roman" w:cs="Times New Roman"/>
          <w:color w:val="000000" w:themeColor="text1"/>
          <w:sz w:val="24"/>
          <w:szCs w:val="24"/>
        </w:rPr>
      </w:pPr>
      <w:bookmarkStart w:id="96" w:name="_Toc15311600"/>
      <w:r w:rsidRPr="00191ACB">
        <w:rPr>
          <w:rFonts w:ascii="Times New Roman" w:hAnsi="Times New Roman" w:cs="Times New Roman"/>
          <w:noProof/>
          <w:color w:val="000000" w:themeColor="text1"/>
          <w:sz w:val="24"/>
          <w:szCs w:val="24"/>
          <w:lang w:val="en-GB" w:eastAsia="en-GB"/>
        </w:rPr>
        <w:drawing>
          <wp:inline distT="0" distB="0" distL="0" distR="0" wp14:anchorId="517AD130" wp14:editId="68325CCA">
            <wp:extent cx="4168140" cy="2529840"/>
            <wp:effectExtent l="0" t="0" r="3810" b="381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954A070" w14:textId="593A1B93" w:rsidR="00C16CBB" w:rsidRPr="00191ACB" w:rsidRDefault="00F37A8D" w:rsidP="00F37A8D">
      <w:pPr>
        <w:pStyle w:val="Caption"/>
        <w:rPr>
          <w:color w:val="000000" w:themeColor="text1"/>
          <w:sz w:val="24"/>
          <w:szCs w:val="24"/>
        </w:rPr>
      </w:pPr>
      <w:bookmarkStart w:id="97" w:name="_Toc56583851"/>
      <w:bookmarkEnd w:id="96"/>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6</w:t>
      </w:r>
      <w:r w:rsidR="009D481C">
        <w:rPr>
          <w:sz w:val="24"/>
          <w:szCs w:val="24"/>
        </w:rPr>
        <w:fldChar w:fldCharType="end"/>
      </w:r>
      <w:r w:rsidRPr="00191ACB">
        <w:rPr>
          <w:sz w:val="24"/>
          <w:szCs w:val="24"/>
        </w:rPr>
        <w:t>: Percentage contribution to Sink in 2016</w:t>
      </w:r>
      <w:bookmarkEnd w:id="97"/>
    </w:p>
    <w:p w14:paraId="469D8D3C" w14:textId="77777777" w:rsidR="00F37A8D" w:rsidRPr="00191ACB" w:rsidRDefault="00F37A8D" w:rsidP="00F37A8D">
      <w:pPr>
        <w:pStyle w:val="NoSpacing"/>
        <w:rPr>
          <w:rFonts w:ascii="Times New Roman" w:hAnsi="Times New Roman" w:cs="Times New Roman"/>
          <w:color w:val="000000" w:themeColor="text1"/>
          <w:sz w:val="24"/>
          <w:szCs w:val="24"/>
        </w:rPr>
      </w:pPr>
    </w:p>
    <w:p w14:paraId="5E9B9A83" w14:textId="06E6A11A" w:rsidR="00C16CBB" w:rsidRPr="00191ACB" w:rsidRDefault="00C16CBB" w:rsidP="00033860">
      <w:pPr>
        <w:pStyle w:val="Heading2"/>
        <w:numPr>
          <w:ilvl w:val="1"/>
          <w:numId w:val="36"/>
        </w:numPr>
        <w:spacing w:after="120" w:line="240" w:lineRule="auto"/>
        <w:ind w:left="851" w:hanging="851"/>
        <w:rPr>
          <w:rFonts w:ascii="Times New Roman" w:hAnsi="Times New Roman" w:cs="Times New Roman"/>
          <w:b/>
          <w:color w:val="000000" w:themeColor="text1"/>
          <w:sz w:val="24"/>
          <w:szCs w:val="24"/>
        </w:rPr>
      </w:pPr>
      <w:bookmarkStart w:id="98" w:name="_Toc48427290"/>
      <w:bookmarkStart w:id="99" w:name="_Toc57902818"/>
      <w:r w:rsidRPr="00191ACB">
        <w:rPr>
          <w:rFonts w:ascii="Times New Roman" w:hAnsi="Times New Roman" w:cs="Times New Roman"/>
          <w:b/>
          <w:color w:val="000000" w:themeColor="text1"/>
          <w:sz w:val="24"/>
          <w:szCs w:val="24"/>
        </w:rPr>
        <w:t xml:space="preserve">Emission </w:t>
      </w:r>
      <w:r w:rsidR="003E52C4" w:rsidRPr="00191ACB">
        <w:rPr>
          <w:rFonts w:ascii="Times New Roman" w:hAnsi="Times New Roman" w:cs="Times New Roman"/>
          <w:b/>
          <w:color w:val="000000" w:themeColor="text1"/>
          <w:sz w:val="24"/>
          <w:szCs w:val="24"/>
        </w:rPr>
        <w:t>Trends by Gas</w:t>
      </w:r>
      <w:bookmarkEnd w:id="98"/>
      <w:bookmarkEnd w:id="99"/>
    </w:p>
    <w:p w14:paraId="12838BC7" w14:textId="0FE1D294" w:rsidR="00C16CBB" w:rsidRPr="00191ACB" w:rsidRDefault="00C16CBB" w:rsidP="001761DF">
      <w:pPr>
        <w:spacing w:after="120" w:line="276" w:lineRule="auto"/>
        <w:jc w:val="both"/>
        <w:rPr>
          <w:rFonts w:ascii="Times New Roman" w:hAnsi="Times New Roman" w:cs="Times New Roman"/>
          <w:color w:val="000000" w:themeColor="text1"/>
          <w:sz w:val="24"/>
          <w:szCs w:val="24"/>
        </w:rPr>
      </w:pPr>
      <w:r w:rsidRPr="001761DF">
        <w:rPr>
          <w:rFonts w:ascii="Times New Roman" w:hAnsi="Times New Roman" w:cs="Times New Roman"/>
          <w:color w:val="000000" w:themeColor="text1"/>
          <w:sz w:val="24"/>
          <w:szCs w:val="24"/>
        </w:rPr>
        <w:t xml:space="preserve">By gas in 2016, CO2 was the highest at 87.4% followed by CH4 at 9.0% (Figure </w:t>
      </w:r>
      <w:r w:rsidR="003E52C4" w:rsidRPr="001761DF">
        <w:rPr>
          <w:rFonts w:ascii="Times New Roman" w:hAnsi="Times New Roman" w:cs="Times New Roman"/>
          <w:color w:val="000000" w:themeColor="text1"/>
          <w:sz w:val="24"/>
          <w:szCs w:val="24"/>
        </w:rPr>
        <w:t>3.7</w:t>
      </w:r>
      <w:r w:rsidRPr="001761DF">
        <w:rPr>
          <w:rFonts w:ascii="Times New Roman" w:hAnsi="Times New Roman" w:cs="Times New Roman"/>
          <w:color w:val="000000" w:themeColor="text1"/>
          <w:sz w:val="24"/>
          <w:szCs w:val="24"/>
        </w:rPr>
        <w:t>). N2O was 3.5%</w:t>
      </w:r>
      <w:r w:rsidRPr="00191ACB">
        <w:rPr>
          <w:rFonts w:ascii="Times New Roman" w:hAnsi="Times New Roman" w:cs="Times New Roman"/>
          <w:color w:val="000000" w:themeColor="text1"/>
          <w:sz w:val="24"/>
          <w:szCs w:val="24"/>
        </w:rPr>
        <w:t xml:space="preserve"> while HFC was 0.1%. Contribution of SF6 to the emissions was almost negligible.</w:t>
      </w:r>
    </w:p>
    <w:p w14:paraId="5B961241" w14:textId="77777777" w:rsidR="00C16CBB" w:rsidRPr="00191ACB" w:rsidRDefault="00C16CBB" w:rsidP="00C16CBB">
      <w:pPr>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7E60BD1C" wp14:editId="6F1EA046">
            <wp:extent cx="4000500" cy="2461260"/>
            <wp:effectExtent l="0" t="0" r="0" b="15240"/>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74733F6" w14:textId="1D3C9C51" w:rsidR="00C16CBB" w:rsidRPr="00191ACB" w:rsidRDefault="00F37A8D" w:rsidP="00F37A8D">
      <w:pPr>
        <w:pStyle w:val="Caption"/>
        <w:rPr>
          <w:color w:val="000000" w:themeColor="text1"/>
          <w:sz w:val="24"/>
          <w:szCs w:val="24"/>
          <w:lang w:val="en-US"/>
        </w:rPr>
      </w:pPr>
      <w:bookmarkStart w:id="100" w:name="_Toc56583852"/>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7</w:t>
      </w:r>
      <w:r w:rsidR="009D481C">
        <w:rPr>
          <w:sz w:val="24"/>
          <w:szCs w:val="24"/>
        </w:rPr>
        <w:fldChar w:fldCharType="end"/>
      </w:r>
      <w:r w:rsidRPr="00191ACB">
        <w:rPr>
          <w:sz w:val="24"/>
          <w:szCs w:val="24"/>
        </w:rPr>
        <w:t>:Emissions by gas for 2016</w:t>
      </w:r>
      <w:bookmarkEnd w:id="100"/>
    </w:p>
    <w:p w14:paraId="71A130DE" w14:textId="1337E6B2" w:rsidR="00C16CBB" w:rsidRPr="00191ACB" w:rsidRDefault="00C16CBB"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emissions of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increased by 45.3% from 76,288.9 Gg in the 1994 base year to 110,828.0 Gg in 2016. </w:t>
      </w:r>
      <w:r w:rsidR="00EE31B1" w:rsidRPr="00191ACB">
        <w:rPr>
          <w:rFonts w:ascii="Times New Roman" w:hAnsi="Times New Roman" w:cs="Times New Roman"/>
          <w:color w:val="000000" w:themeColor="text1"/>
          <w:sz w:val="24"/>
          <w:szCs w:val="24"/>
        </w:rPr>
        <w:t xml:space="preserve">Similarly, </w:t>
      </w:r>
      <w:r w:rsidRPr="00191ACB">
        <w:rPr>
          <w:rFonts w:ascii="Times New Roman" w:hAnsi="Times New Roman" w:cs="Times New Roman"/>
          <w:color w:val="000000" w:themeColor="text1"/>
          <w:sz w:val="24"/>
          <w:szCs w:val="24"/>
        </w:rPr>
        <w:t>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and HFCs</w:t>
      </w:r>
      <w:r w:rsidR="00EE31B1" w:rsidRPr="00191ACB">
        <w:rPr>
          <w:rFonts w:ascii="Times New Roman" w:hAnsi="Times New Roman" w:cs="Times New Roman"/>
          <w:color w:val="000000" w:themeColor="text1"/>
          <w:sz w:val="24"/>
          <w:szCs w:val="24"/>
        </w:rPr>
        <w:t xml:space="preserve"> showed an</w:t>
      </w:r>
      <w:r w:rsidRPr="00191ACB">
        <w:rPr>
          <w:rFonts w:ascii="Times New Roman" w:hAnsi="Times New Roman" w:cs="Times New Roman"/>
          <w:color w:val="000000" w:themeColor="text1"/>
          <w:sz w:val="24"/>
          <w:szCs w:val="24"/>
        </w:rPr>
        <w:t xml:space="preserve"> increas</w:t>
      </w:r>
      <w:r w:rsidR="00EE31B1" w:rsidRPr="00191ACB">
        <w:rPr>
          <w:rFonts w:ascii="Times New Roman" w:hAnsi="Times New Roman" w:cs="Times New Roman"/>
          <w:color w:val="000000" w:themeColor="text1"/>
          <w:sz w:val="24"/>
          <w:szCs w:val="24"/>
        </w:rPr>
        <w:t>ing trend</w:t>
      </w:r>
      <w:r w:rsidR="00BC37D5" w:rsidRPr="00191ACB">
        <w:rPr>
          <w:rFonts w:ascii="Times New Roman" w:hAnsi="Times New Roman" w:cs="Times New Roman"/>
          <w:color w:val="000000" w:themeColor="text1"/>
          <w:sz w:val="24"/>
          <w:szCs w:val="24"/>
        </w:rPr>
        <w:t xml:space="preserve"> in the same period. </w:t>
      </w:r>
      <w:r w:rsidRPr="00191ACB">
        <w:rPr>
          <w:rFonts w:ascii="Times New Roman" w:hAnsi="Times New Roman" w:cs="Times New Roman"/>
          <w:color w:val="000000" w:themeColor="text1"/>
          <w:sz w:val="24"/>
          <w:szCs w:val="24"/>
        </w:rPr>
        <w:t>SF</w:t>
      </w:r>
      <w:r w:rsidRPr="00191ACB">
        <w:rPr>
          <w:rFonts w:ascii="Times New Roman" w:hAnsi="Times New Roman" w:cs="Times New Roman"/>
          <w:color w:val="000000" w:themeColor="text1"/>
          <w:sz w:val="24"/>
          <w:szCs w:val="24"/>
          <w:vertAlign w:val="subscript"/>
        </w:rPr>
        <w:t>6</w:t>
      </w:r>
      <w:r w:rsidRPr="00191ACB">
        <w:rPr>
          <w:rFonts w:ascii="Times New Roman" w:hAnsi="Times New Roman" w:cs="Times New Roman"/>
          <w:color w:val="000000" w:themeColor="text1"/>
          <w:sz w:val="24"/>
          <w:szCs w:val="24"/>
        </w:rPr>
        <w:t xml:space="preserve"> has been largely almost negligible across all the years. Provided in Figure </w:t>
      </w:r>
      <w:r w:rsidR="00CB2D20" w:rsidRPr="00191ACB">
        <w:rPr>
          <w:rFonts w:ascii="Times New Roman" w:hAnsi="Times New Roman" w:cs="Times New Roman"/>
          <w:color w:val="000000" w:themeColor="text1"/>
          <w:sz w:val="24"/>
          <w:szCs w:val="24"/>
        </w:rPr>
        <w:t>3.8</w:t>
      </w:r>
      <w:r w:rsidRPr="00191ACB">
        <w:rPr>
          <w:rFonts w:ascii="Times New Roman" w:hAnsi="Times New Roman" w:cs="Times New Roman"/>
          <w:color w:val="000000" w:themeColor="text1"/>
          <w:sz w:val="24"/>
          <w:szCs w:val="24"/>
        </w:rPr>
        <w:t xml:space="preserve"> are emissions trends by gas from 1994 to 2016.</w:t>
      </w:r>
      <w:r w:rsidRPr="00191ACB" w:rsidDel="009C6935">
        <w:rPr>
          <w:rFonts w:ascii="Times New Roman" w:hAnsi="Times New Roman" w:cs="Times New Roman"/>
          <w:color w:val="000000" w:themeColor="text1"/>
          <w:sz w:val="24"/>
          <w:szCs w:val="24"/>
        </w:rPr>
        <w:t xml:space="preserve"> </w:t>
      </w:r>
    </w:p>
    <w:p w14:paraId="5DF0E4F3" w14:textId="77777777" w:rsidR="00C16CBB" w:rsidRPr="00191ACB" w:rsidRDefault="00C16CBB" w:rsidP="00C16CBB">
      <w:pPr>
        <w:pStyle w:val="NoSpacing"/>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lastRenderedPageBreak/>
        <w:drawing>
          <wp:inline distT="0" distB="0" distL="0" distR="0" wp14:anchorId="26328466" wp14:editId="04F7970B">
            <wp:extent cx="6181725" cy="3343275"/>
            <wp:effectExtent l="0" t="0" r="9525" b="9525"/>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D8C168A" w14:textId="094EE15B" w:rsidR="00C16CBB" w:rsidRPr="00191ACB" w:rsidRDefault="00F37A8D" w:rsidP="00F37A8D">
      <w:pPr>
        <w:pStyle w:val="Caption"/>
        <w:rPr>
          <w:color w:val="000000" w:themeColor="text1"/>
          <w:sz w:val="24"/>
          <w:szCs w:val="24"/>
        </w:rPr>
      </w:pPr>
      <w:bookmarkStart w:id="101" w:name="_Toc56583853"/>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8</w:t>
      </w:r>
      <w:r w:rsidR="009D481C">
        <w:rPr>
          <w:sz w:val="24"/>
          <w:szCs w:val="24"/>
        </w:rPr>
        <w:fldChar w:fldCharType="end"/>
      </w:r>
      <w:r w:rsidRPr="00191ACB">
        <w:rPr>
          <w:sz w:val="24"/>
          <w:szCs w:val="24"/>
        </w:rPr>
        <w:t>:Emissions trends by gas</w:t>
      </w:r>
      <w:bookmarkEnd w:id="101"/>
    </w:p>
    <w:p w14:paraId="0249AB4A" w14:textId="77777777" w:rsidR="00C16CBB" w:rsidRPr="00191ACB" w:rsidRDefault="00C16CBB" w:rsidP="00C16CBB">
      <w:pPr>
        <w:jc w:val="both"/>
        <w:rPr>
          <w:rFonts w:ascii="Times New Roman" w:hAnsi="Times New Roman" w:cs="Times New Roman"/>
          <w:color w:val="000000" w:themeColor="text1"/>
          <w:sz w:val="24"/>
          <w:szCs w:val="24"/>
          <w:highlight w:val="yellow"/>
        </w:rPr>
      </w:pPr>
    </w:p>
    <w:p w14:paraId="433CE756" w14:textId="31D526A1" w:rsidR="00C16CBB" w:rsidRPr="00191ACB" w:rsidRDefault="00C16CBB"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Precursor gases emissions for all the sectors to include; CO, NMVOC, NO</w:t>
      </w:r>
      <w:r w:rsidRPr="00191ACB">
        <w:rPr>
          <w:rFonts w:ascii="Times New Roman" w:hAnsi="Times New Roman" w:cs="Times New Roman"/>
          <w:color w:val="000000" w:themeColor="text1"/>
          <w:sz w:val="24"/>
          <w:szCs w:val="24"/>
          <w:vertAlign w:val="subscript"/>
        </w:rPr>
        <w:t>x</w:t>
      </w:r>
      <w:r w:rsidRPr="00191ACB">
        <w:rPr>
          <w:rFonts w:ascii="Times New Roman" w:hAnsi="Times New Roman" w:cs="Times New Roman"/>
          <w:color w:val="000000" w:themeColor="text1"/>
          <w:sz w:val="24"/>
          <w:szCs w:val="24"/>
        </w:rPr>
        <w:t xml:space="preserve"> and SO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NH3 are provided in Table </w:t>
      </w:r>
      <w:r w:rsidR="00522293" w:rsidRPr="00191ACB">
        <w:rPr>
          <w:rFonts w:ascii="Times New Roman" w:hAnsi="Times New Roman" w:cs="Times New Roman"/>
          <w:color w:val="000000" w:themeColor="text1"/>
          <w:sz w:val="24"/>
          <w:szCs w:val="24"/>
        </w:rPr>
        <w:t>3.3</w:t>
      </w:r>
      <w:r w:rsidRPr="00191ACB">
        <w:rPr>
          <w:rFonts w:ascii="Times New Roman" w:hAnsi="Times New Roman" w:cs="Times New Roman"/>
          <w:color w:val="000000" w:themeColor="text1"/>
          <w:sz w:val="24"/>
          <w:szCs w:val="24"/>
        </w:rPr>
        <w:t>. Across all the years, AFOLU has the highest precursor gas emissions followed by energy. IPPU and Waste have marginal contribution to precursor gas emissions.</w:t>
      </w:r>
    </w:p>
    <w:p w14:paraId="5937B418" w14:textId="4904F31B" w:rsidR="00522293" w:rsidRPr="00191ACB" w:rsidRDefault="00522293" w:rsidP="00C16CBB">
      <w:pPr>
        <w:jc w:val="both"/>
        <w:rPr>
          <w:rFonts w:ascii="Times New Roman" w:hAnsi="Times New Roman" w:cs="Times New Roman"/>
          <w:color w:val="000000" w:themeColor="text1"/>
          <w:sz w:val="24"/>
          <w:szCs w:val="24"/>
        </w:rPr>
      </w:pPr>
    </w:p>
    <w:p w14:paraId="5DEF2C59" w14:textId="550687E7" w:rsidR="00522293" w:rsidRPr="00191ACB" w:rsidRDefault="00522293" w:rsidP="00522293">
      <w:pPr>
        <w:pStyle w:val="Caption"/>
        <w:rPr>
          <w:b/>
          <w:bCs/>
          <w:color w:val="000000" w:themeColor="text1"/>
          <w:sz w:val="24"/>
          <w:szCs w:val="24"/>
        </w:rPr>
      </w:pPr>
      <w:bookmarkStart w:id="102" w:name="_Toc56583764"/>
      <w:r w:rsidRPr="00191ACB">
        <w:rPr>
          <w:b/>
          <w:bCs/>
          <w:sz w:val="24"/>
          <w:szCs w:val="24"/>
        </w:rPr>
        <w:t xml:space="preserve">Table </w:t>
      </w:r>
      <w:r w:rsidR="00875942">
        <w:rPr>
          <w:b/>
          <w:bCs/>
          <w:sz w:val="24"/>
          <w:szCs w:val="24"/>
        </w:rPr>
        <w:fldChar w:fldCharType="begin"/>
      </w:r>
      <w:r w:rsidR="00875942">
        <w:rPr>
          <w:b/>
          <w:bCs/>
          <w:sz w:val="24"/>
          <w:szCs w:val="24"/>
        </w:rPr>
        <w:instrText xml:space="preserve"> STYLEREF 1 \s </w:instrText>
      </w:r>
      <w:r w:rsidR="00875942">
        <w:rPr>
          <w:b/>
          <w:bCs/>
          <w:sz w:val="24"/>
          <w:szCs w:val="24"/>
        </w:rPr>
        <w:fldChar w:fldCharType="separate"/>
      </w:r>
      <w:r w:rsidR="00875942">
        <w:rPr>
          <w:b/>
          <w:bCs/>
          <w:noProof/>
          <w:sz w:val="24"/>
          <w:szCs w:val="24"/>
        </w:rPr>
        <w:t>3</w:t>
      </w:r>
      <w:r w:rsidR="00875942">
        <w:rPr>
          <w:b/>
          <w:bCs/>
          <w:sz w:val="24"/>
          <w:szCs w:val="24"/>
        </w:rPr>
        <w:fldChar w:fldCharType="end"/>
      </w:r>
      <w:r w:rsidR="00875942">
        <w:rPr>
          <w:b/>
          <w:bCs/>
          <w:sz w:val="24"/>
          <w:szCs w:val="24"/>
        </w:rPr>
        <w:t>.</w:t>
      </w:r>
      <w:r w:rsidR="00875942">
        <w:rPr>
          <w:b/>
          <w:bCs/>
          <w:sz w:val="24"/>
          <w:szCs w:val="24"/>
        </w:rPr>
        <w:fldChar w:fldCharType="begin"/>
      </w:r>
      <w:r w:rsidR="00875942">
        <w:rPr>
          <w:b/>
          <w:bCs/>
          <w:sz w:val="24"/>
          <w:szCs w:val="24"/>
        </w:rPr>
        <w:instrText xml:space="preserve"> SEQ Table \* ARABIC \s 1 </w:instrText>
      </w:r>
      <w:r w:rsidR="00875942">
        <w:rPr>
          <w:b/>
          <w:bCs/>
          <w:sz w:val="24"/>
          <w:szCs w:val="24"/>
        </w:rPr>
        <w:fldChar w:fldCharType="separate"/>
      </w:r>
      <w:r w:rsidR="00875942">
        <w:rPr>
          <w:b/>
          <w:bCs/>
          <w:noProof/>
          <w:sz w:val="24"/>
          <w:szCs w:val="24"/>
        </w:rPr>
        <w:t>3</w:t>
      </w:r>
      <w:r w:rsidR="00875942">
        <w:rPr>
          <w:b/>
          <w:bCs/>
          <w:sz w:val="24"/>
          <w:szCs w:val="24"/>
        </w:rPr>
        <w:fldChar w:fldCharType="end"/>
      </w:r>
      <w:r w:rsidRPr="00191ACB">
        <w:rPr>
          <w:b/>
          <w:bCs/>
          <w:sz w:val="24"/>
          <w:szCs w:val="24"/>
        </w:rPr>
        <w:t>:Summary of Precursor Gases</w:t>
      </w:r>
      <w:bookmarkEnd w:id="102"/>
    </w:p>
    <w:tbl>
      <w:tblPr>
        <w:tblW w:w="5000" w:type="pct"/>
        <w:tblLook w:val="04A0" w:firstRow="1" w:lastRow="0" w:firstColumn="1" w:lastColumn="0" w:noHBand="0" w:noVBand="1"/>
      </w:tblPr>
      <w:tblGrid>
        <w:gridCol w:w="1382"/>
        <w:gridCol w:w="1382"/>
        <w:gridCol w:w="1382"/>
        <w:gridCol w:w="1492"/>
        <w:gridCol w:w="1381"/>
        <w:gridCol w:w="1381"/>
        <w:gridCol w:w="1381"/>
      </w:tblGrid>
      <w:tr w:rsidR="00C16CBB" w:rsidRPr="00191ACB" w14:paraId="136EB848" w14:textId="77777777" w:rsidTr="005E626A">
        <w:trPr>
          <w:trHeight w:val="312"/>
          <w:tblHeader/>
        </w:trPr>
        <w:tc>
          <w:tcPr>
            <w:tcW w:w="7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39C3F"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w:t>
            </w:r>
          </w:p>
        </w:tc>
        <w:tc>
          <w:tcPr>
            <w:tcW w:w="706" w:type="pct"/>
            <w:tcBorders>
              <w:top w:val="single" w:sz="4" w:space="0" w:color="auto"/>
              <w:left w:val="nil"/>
              <w:bottom w:val="single" w:sz="4" w:space="0" w:color="auto"/>
              <w:right w:val="single" w:sz="4" w:space="0" w:color="auto"/>
            </w:tcBorders>
            <w:shd w:val="clear" w:color="auto" w:fill="auto"/>
            <w:noWrap/>
            <w:vAlign w:val="bottom"/>
            <w:hideMark/>
          </w:tcPr>
          <w:p w14:paraId="5E0DD3BC"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w:t>
            </w:r>
          </w:p>
        </w:tc>
        <w:tc>
          <w:tcPr>
            <w:tcW w:w="706" w:type="pct"/>
            <w:tcBorders>
              <w:top w:val="single" w:sz="4" w:space="0" w:color="auto"/>
              <w:left w:val="nil"/>
              <w:bottom w:val="single" w:sz="4" w:space="0" w:color="auto"/>
              <w:right w:val="single" w:sz="4" w:space="0" w:color="auto"/>
            </w:tcBorders>
            <w:shd w:val="clear" w:color="auto" w:fill="auto"/>
            <w:noWrap/>
            <w:vAlign w:val="center"/>
            <w:hideMark/>
          </w:tcPr>
          <w:p w14:paraId="5380ABA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NO</w:t>
            </w:r>
            <w:r w:rsidRPr="00191ACB">
              <w:rPr>
                <w:rFonts w:ascii="Times New Roman" w:hAnsi="Times New Roman" w:cs="Times New Roman"/>
                <w:color w:val="000000" w:themeColor="text1"/>
                <w:sz w:val="24"/>
                <w:szCs w:val="24"/>
                <w:vertAlign w:val="subscript"/>
              </w:rPr>
              <w:t>x</w:t>
            </w:r>
          </w:p>
        </w:tc>
        <w:tc>
          <w:tcPr>
            <w:tcW w:w="762" w:type="pct"/>
            <w:tcBorders>
              <w:top w:val="single" w:sz="4" w:space="0" w:color="auto"/>
              <w:left w:val="nil"/>
              <w:bottom w:val="single" w:sz="4" w:space="0" w:color="auto"/>
              <w:right w:val="single" w:sz="4" w:space="0" w:color="auto"/>
            </w:tcBorders>
            <w:shd w:val="clear" w:color="auto" w:fill="auto"/>
            <w:noWrap/>
            <w:vAlign w:val="center"/>
            <w:hideMark/>
          </w:tcPr>
          <w:p w14:paraId="0A456BFA"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CO</w:t>
            </w:r>
          </w:p>
        </w:tc>
        <w:tc>
          <w:tcPr>
            <w:tcW w:w="706" w:type="pct"/>
            <w:tcBorders>
              <w:top w:val="single" w:sz="4" w:space="0" w:color="auto"/>
              <w:left w:val="nil"/>
              <w:bottom w:val="single" w:sz="4" w:space="0" w:color="auto"/>
              <w:right w:val="single" w:sz="4" w:space="0" w:color="auto"/>
            </w:tcBorders>
            <w:shd w:val="clear" w:color="auto" w:fill="auto"/>
            <w:noWrap/>
            <w:vAlign w:val="center"/>
            <w:hideMark/>
          </w:tcPr>
          <w:p w14:paraId="244C0E8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NMVOC</w:t>
            </w:r>
          </w:p>
        </w:tc>
        <w:tc>
          <w:tcPr>
            <w:tcW w:w="706" w:type="pct"/>
            <w:tcBorders>
              <w:top w:val="single" w:sz="4" w:space="0" w:color="auto"/>
              <w:left w:val="nil"/>
              <w:bottom w:val="single" w:sz="4" w:space="0" w:color="auto"/>
              <w:right w:val="single" w:sz="4" w:space="0" w:color="auto"/>
            </w:tcBorders>
            <w:shd w:val="clear" w:color="auto" w:fill="auto"/>
            <w:noWrap/>
            <w:vAlign w:val="center"/>
            <w:hideMark/>
          </w:tcPr>
          <w:p w14:paraId="14D6B13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SO</w:t>
            </w:r>
            <w:r w:rsidRPr="00191ACB">
              <w:rPr>
                <w:rFonts w:ascii="Times New Roman" w:hAnsi="Times New Roman" w:cs="Times New Roman"/>
                <w:color w:val="000000" w:themeColor="text1"/>
                <w:sz w:val="24"/>
                <w:szCs w:val="24"/>
                <w:vertAlign w:val="subscript"/>
              </w:rPr>
              <w:t>2</w:t>
            </w:r>
          </w:p>
        </w:tc>
        <w:tc>
          <w:tcPr>
            <w:tcW w:w="706" w:type="pct"/>
            <w:tcBorders>
              <w:top w:val="single" w:sz="4" w:space="0" w:color="auto"/>
              <w:left w:val="nil"/>
              <w:bottom w:val="single" w:sz="4" w:space="0" w:color="auto"/>
              <w:right w:val="single" w:sz="4" w:space="0" w:color="auto"/>
            </w:tcBorders>
            <w:shd w:val="clear" w:color="auto" w:fill="auto"/>
            <w:noWrap/>
            <w:vAlign w:val="center"/>
            <w:hideMark/>
          </w:tcPr>
          <w:p w14:paraId="0B59E9E5"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NH</w:t>
            </w:r>
            <w:r w:rsidRPr="00191ACB">
              <w:rPr>
                <w:rFonts w:ascii="Times New Roman" w:hAnsi="Times New Roman" w:cs="Times New Roman"/>
                <w:color w:val="000000" w:themeColor="text1"/>
                <w:sz w:val="24"/>
                <w:szCs w:val="24"/>
                <w:vertAlign w:val="subscript"/>
              </w:rPr>
              <w:t>3</w:t>
            </w:r>
          </w:p>
        </w:tc>
      </w:tr>
      <w:tr w:rsidR="00C16CBB" w:rsidRPr="00191ACB" w14:paraId="4601E28C" w14:textId="77777777" w:rsidTr="005E626A">
        <w:trPr>
          <w:trHeight w:val="288"/>
        </w:trPr>
        <w:tc>
          <w:tcPr>
            <w:tcW w:w="70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9A05D94"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Energy</w:t>
            </w:r>
          </w:p>
        </w:tc>
        <w:tc>
          <w:tcPr>
            <w:tcW w:w="706" w:type="pct"/>
            <w:tcBorders>
              <w:top w:val="nil"/>
              <w:left w:val="nil"/>
              <w:bottom w:val="single" w:sz="4" w:space="0" w:color="auto"/>
              <w:right w:val="single" w:sz="4" w:space="0" w:color="auto"/>
            </w:tcBorders>
            <w:shd w:val="clear" w:color="auto" w:fill="auto"/>
            <w:noWrap/>
            <w:vAlign w:val="bottom"/>
            <w:hideMark/>
          </w:tcPr>
          <w:p w14:paraId="3832ABD1"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2011</w:t>
            </w:r>
          </w:p>
        </w:tc>
        <w:tc>
          <w:tcPr>
            <w:tcW w:w="706" w:type="pct"/>
            <w:tcBorders>
              <w:top w:val="nil"/>
              <w:left w:val="nil"/>
              <w:bottom w:val="single" w:sz="4" w:space="0" w:color="auto"/>
              <w:right w:val="single" w:sz="4" w:space="0" w:color="auto"/>
            </w:tcBorders>
            <w:shd w:val="clear" w:color="auto" w:fill="auto"/>
            <w:noWrap/>
            <w:vAlign w:val="bottom"/>
            <w:hideMark/>
          </w:tcPr>
          <w:p w14:paraId="0AF63B7C"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8.93</w:t>
            </w:r>
          </w:p>
        </w:tc>
        <w:tc>
          <w:tcPr>
            <w:tcW w:w="762" w:type="pct"/>
            <w:tcBorders>
              <w:top w:val="nil"/>
              <w:left w:val="nil"/>
              <w:bottom w:val="single" w:sz="4" w:space="0" w:color="auto"/>
              <w:right w:val="single" w:sz="4" w:space="0" w:color="auto"/>
            </w:tcBorders>
            <w:shd w:val="clear" w:color="auto" w:fill="auto"/>
            <w:noWrap/>
            <w:vAlign w:val="bottom"/>
            <w:hideMark/>
          </w:tcPr>
          <w:p w14:paraId="2354AD42"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16.63</w:t>
            </w:r>
          </w:p>
        </w:tc>
        <w:tc>
          <w:tcPr>
            <w:tcW w:w="706" w:type="pct"/>
            <w:tcBorders>
              <w:top w:val="nil"/>
              <w:left w:val="nil"/>
              <w:bottom w:val="single" w:sz="4" w:space="0" w:color="auto"/>
              <w:right w:val="single" w:sz="4" w:space="0" w:color="auto"/>
            </w:tcBorders>
            <w:shd w:val="clear" w:color="auto" w:fill="auto"/>
            <w:noWrap/>
            <w:vAlign w:val="bottom"/>
            <w:hideMark/>
          </w:tcPr>
          <w:p w14:paraId="0287931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3.72</w:t>
            </w:r>
          </w:p>
        </w:tc>
        <w:tc>
          <w:tcPr>
            <w:tcW w:w="706" w:type="pct"/>
            <w:tcBorders>
              <w:top w:val="nil"/>
              <w:left w:val="nil"/>
              <w:bottom w:val="single" w:sz="4" w:space="0" w:color="auto"/>
              <w:right w:val="single" w:sz="4" w:space="0" w:color="auto"/>
            </w:tcBorders>
            <w:shd w:val="clear" w:color="auto" w:fill="auto"/>
            <w:noWrap/>
            <w:vAlign w:val="bottom"/>
            <w:hideMark/>
          </w:tcPr>
          <w:p w14:paraId="2621E811"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4.44</w:t>
            </w:r>
          </w:p>
        </w:tc>
        <w:tc>
          <w:tcPr>
            <w:tcW w:w="706" w:type="pct"/>
            <w:tcBorders>
              <w:top w:val="nil"/>
              <w:left w:val="nil"/>
              <w:bottom w:val="single" w:sz="4" w:space="0" w:color="auto"/>
              <w:right w:val="single" w:sz="4" w:space="0" w:color="auto"/>
            </w:tcBorders>
            <w:shd w:val="clear" w:color="auto" w:fill="auto"/>
            <w:noWrap/>
            <w:vAlign w:val="bottom"/>
            <w:hideMark/>
          </w:tcPr>
          <w:p w14:paraId="7DD09570"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0.01</w:t>
            </w:r>
          </w:p>
        </w:tc>
      </w:tr>
      <w:tr w:rsidR="00C16CBB" w:rsidRPr="00191ACB" w14:paraId="7CFBC8EB"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515CEE40"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752CDB79"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2012</w:t>
            </w:r>
          </w:p>
        </w:tc>
        <w:tc>
          <w:tcPr>
            <w:tcW w:w="706" w:type="pct"/>
            <w:tcBorders>
              <w:top w:val="nil"/>
              <w:left w:val="nil"/>
              <w:bottom w:val="single" w:sz="4" w:space="0" w:color="auto"/>
              <w:right w:val="single" w:sz="4" w:space="0" w:color="auto"/>
            </w:tcBorders>
            <w:shd w:val="clear" w:color="auto" w:fill="auto"/>
            <w:noWrap/>
            <w:vAlign w:val="bottom"/>
            <w:hideMark/>
          </w:tcPr>
          <w:p w14:paraId="54ECA312"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18.02</w:t>
            </w:r>
          </w:p>
        </w:tc>
        <w:tc>
          <w:tcPr>
            <w:tcW w:w="762" w:type="pct"/>
            <w:tcBorders>
              <w:top w:val="nil"/>
              <w:left w:val="nil"/>
              <w:bottom w:val="single" w:sz="4" w:space="0" w:color="auto"/>
              <w:right w:val="single" w:sz="4" w:space="0" w:color="auto"/>
            </w:tcBorders>
            <w:shd w:val="clear" w:color="auto" w:fill="auto"/>
            <w:noWrap/>
            <w:vAlign w:val="bottom"/>
            <w:hideMark/>
          </w:tcPr>
          <w:p w14:paraId="1538DBF5"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39.15</w:t>
            </w:r>
          </w:p>
        </w:tc>
        <w:tc>
          <w:tcPr>
            <w:tcW w:w="706" w:type="pct"/>
            <w:tcBorders>
              <w:top w:val="nil"/>
              <w:left w:val="nil"/>
              <w:bottom w:val="single" w:sz="4" w:space="0" w:color="auto"/>
              <w:right w:val="single" w:sz="4" w:space="0" w:color="auto"/>
            </w:tcBorders>
            <w:shd w:val="clear" w:color="auto" w:fill="auto"/>
            <w:noWrap/>
            <w:vAlign w:val="bottom"/>
            <w:hideMark/>
          </w:tcPr>
          <w:p w14:paraId="415B077E"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8.19</w:t>
            </w:r>
          </w:p>
        </w:tc>
        <w:tc>
          <w:tcPr>
            <w:tcW w:w="706" w:type="pct"/>
            <w:tcBorders>
              <w:top w:val="nil"/>
              <w:left w:val="nil"/>
              <w:bottom w:val="single" w:sz="4" w:space="0" w:color="auto"/>
              <w:right w:val="single" w:sz="4" w:space="0" w:color="auto"/>
            </w:tcBorders>
            <w:shd w:val="clear" w:color="auto" w:fill="auto"/>
            <w:noWrap/>
            <w:vAlign w:val="bottom"/>
            <w:hideMark/>
          </w:tcPr>
          <w:p w14:paraId="5C3B3D2C"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29.22</w:t>
            </w:r>
          </w:p>
        </w:tc>
        <w:tc>
          <w:tcPr>
            <w:tcW w:w="706" w:type="pct"/>
            <w:tcBorders>
              <w:top w:val="nil"/>
              <w:left w:val="nil"/>
              <w:bottom w:val="single" w:sz="4" w:space="0" w:color="auto"/>
              <w:right w:val="single" w:sz="4" w:space="0" w:color="auto"/>
            </w:tcBorders>
            <w:shd w:val="clear" w:color="auto" w:fill="auto"/>
            <w:noWrap/>
            <w:vAlign w:val="bottom"/>
            <w:hideMark/>
          </w:tcPr>
          <w:p w14:paraId="67A69700"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0.01</w:t>
            </w:r>
          </w:p>
        </w:tc>
      </w:tr>
      <w:tr w:rsidR="00C16CBB" w:rsidRPr="00191ACB" w14:paraId="1E71ACEE"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6257CB1E"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5D181F87"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2013</w:t>
            </w:r>
          </w:p>
        </w:tc>
        <w:tc>
          <w:tcPr>
            <w:tcW w:w="706" w:type="pct"/>
            <w:tcBorders>
              <w:top w:val="nil"/>
              <w:left w:val="nil"/>
              <w:bottom w:val="single" w:sz="4" w:space="0" w:color="auto"/>
              <w:right w:val="single" w:sz="4" w:space="0" w:color="auto"/>
            </w:tcBorders>
            <w:shd w:val="clear" w:color="auto" w:fill="auto"/>
            <w:noWrap/>
            <w:vAlign w:val="bottom"/>
            <w:hideMark/>
          </w:tcPr>
          <w:p w14:paraId="017E71E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16.55</w:t>
            </w:r>
          </w:p>
        </w:tc>
        <w:tc>
          <w:tcPr>
            <w:tcW w:w="762" w:type="pct"/>
            <w:tcBorders>
              <w:top w:val="nil"/>
              <w:left w:val="nil"/>
              <w:bottom w:val="single" w:sz="4" w:space="0" w:color="auto"/>
              <w:right w:val="single" w:sz="4" w:space="0" w:color="auto"/>
            </w:tcBorders>
            <w:shd w:val="clear" w:color="auto" w:fill="auto"/>
            <w:noWrap/>
            <w:vAlign w:val="bottom"/>
            <w:hideMark/>
          </w:tcPr>
          <w:p w14:paraId="6AE3BDE5"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30.92</w:t>
            </w:r>
          </w:p>
        </w:tc>
        <w:tc>
          <w:tcPr>
            <w:tcW w:w="706" w:type="pct"/>
            <w:tcBorders>
              <w:top w:val="nil"/>
              <w:left w:val="nil"/>
              <w:bottom w:val="single" w:sz="4" w:space="0" w:color="auto"/>
              <w:right w:val="single" w:sz="4" w:space="0" w:color="auto"/>
            </w:tcBorders>
            <w:shd w:val="clear" w:color="auto" w:fill="auto"/>
            <w:noWrap/>
            <w:vAlign w:val="bottom"/>
            <w:hideMark/>
          </w:tcPr>
          <w:p w14:paraId="3DF8EF62"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7.31</w:t>
            </w:r>
          </w:p>
        </w:tc>
        <w:tc>
          <w:tcPr>
            <w:tcW w:w="706" w:type="pct"/>
            <w:tcBorders>
              <w:top w:val="nil"/>
              <w:left w:val="nil"/>
              <w:bottom w:val="single" w:sz="4" w:space="0" w:color="auto"/>
              <w:right w:val="single" w:sz="4" w:space="0" w:color="auto"/>
            </w:tcBorders>
            <w:shd w:val="clear" w:color="auto" w:fill="auto"/>
            <w:noWrap/>
            <w:vAlign w:val="bottom"/>
            <w:hideMark/>
          </w:tcPr>
          <w:p w14:paraId="120444E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24.25</w:t>
            </w:r>
          </w:p>
        </w:tc>
        <w:tc>
          <w:tcPr>
            <w:tcW w:w="706" w:type="pct"/>
            <w:tcBorders>
              <w:top w:val="nil"/>
              <w:left w:val="nil"/>
              <w:bottom w:val="single" w:sz="4" w:space="0" w:color="auto"/>
              <w:right w:val="single" w:sz="4" w:space="0" w:color="auto"/>
            </w:tcBorders>
            <w:shd w:val="clear" w:color="auto" w:fill="auto"/>
            <w:noWrap/>
            <w:vAlign w:val="bottom"/>
            <w:hideMark/>
          </w:tcPr>
          <w:p w14:paraId="48D49555"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0.01</w:t>
            </w:r>
          </w:p>
        </w:tc>
      </w:tr>
      <w:tr w:rsidR="00C16CBB" w:rsidRPr="00191ACB" w14:paraId="7C9B5C32"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0A03F224"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546D1416"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2014</w:t>
            </w:r>
          </w:p>
        </w:tc>
        <w:tc>
          <w:tcPr>
            <w:tcW w:w="706" w:type="pct"/>
            <w:tcBorders>
              <w:top w:val="nil"/>
              <w:left w:val="nil"/>
              <w:bottom w:val="single" w:sz="4" w:space="0" w:color="auto"/>
              <w:right w:val="single" w:sz="4" w:space="0" w:color="auto"/>
            </w:tcBorders>
            <w:shd w:val="clear" w:color="auto" w:fill="auto"/>
            <w:noWrap/>
            <w:vAlign w:val="bottom"/>
            <w:hideMark/>
          </w:tcPr>
          <w:p w14:paraId="77A874FE"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17.69</w:t>
            </w:r>
          </w:p>
        </w:tc>
        <w:tc>
          <w:tcPr>
            <w:tcW w:w="762" w:type="pct"/>
            <w:tcBorders>
              <w:top w:val="nil"/>
              <w:left w:val="nil"/>
              <w:bottom w:val="single" w:sz="4" w:space="0" w:color="auto"/>
              <w:right w:val="single" w:sz="4" w:space="0" w:color="auto"/>
            </w:tcBorders>
            <w:shd w:val="clear" w:color="auto" w:fill="auto"/>
            <w:noWrap/>
            <w:vAlign w:val="bottom"/>
            <w:hideMark/>
          </w:tcPr>
          <w:p w14:paraId="149D2EC9"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22.19</w:t>
            </w:r>
          </w:p>
        </w:tc>
        <w:tc>
          <w:tcPr>
            <w:tcW w:w="706" w:type="pct"/>
            <w:tcBorders>
              <w:top w:val="nil"/>
              <w:left w:val="nil"/>
              <w:bottom w:val="single" w:sz="4" w:space="0" w:color="auto"/>
              <w:right w:val="single" w:sz="4" w:space="0" w:color="auto"/>
            </w:tcBorders>
            <w:shd w:val="clear" w:color="auto" w:fill="auto"/>
            <w:noWrap/>
            <w:vAlign w:val="bottom"/>
            <w:hideMark/>
          </w:tcPr>
          <w:p w14:paraId="6D1887E5"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5.98</w:t>
            </w:r>
          </w:p>
        </w:tc>
        <w:tc>
          <w:tcPr>
            <w:tcW w:w="706" w:type="pct"/>
            <w:tcBorders>
              <w:top w:val="nil"/>
              <w:left w:val="nil"/>
              <w:bottom w:val="single" w:sz="4" w:space="0" w:color="auto"/>
              <w:right w:val="single" w:sz="4" w:space="0" w:color="auto"/>
            </w:tcBorders>
            <w:shd w:val="clear" w:color="auto" w:fill="auto"/>
            <w:noWrap/>
            <w:vAlign w:val="bottom"/>
            <w:hideMark/>
          </w:tcPr>
          <w:p w14:paraId="612242D7"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17.13</w:t>
            </w:r>
          </w:p>
        </w:tc>
        <w:tc>
          <w:tcPr>
            <w:tcW w:w="706" w:type="pct"/>
            <w:tcBorders>
              <w:top w:val="nil"/>
              <w:left w:val="nil"/>
              <w:bottom w:val="single" w:sz="4" w:space="0" w:color="auto"/>
              <w:right w:val="single" w:sz="4" w:space="0" w:color="auto"/>
            </w:tcBorders>
            <w:shd w:val="clear" w:color="auto" w:fill="auto"/>
            <w:noWrap/>
            <w:vAlign w:val="bottom"/>
            <w:hideMark/>
          </w:tcPr>
          <w:p w14:paraId="7A6B2C9C"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0.01</w:t>
            </w:r>
          </w:p>
        </w:tc>
      </w:tr>
      <w:tr w:rsidR="00C16CBB" w:rsidRPr="00191ACB" w14:paraId="50EC166E"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6F2CF05C"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2A0DDF8D"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2015</w:t>
            </w:r>
          </w:p>
        </w:tc>
        <w:tc>
          <w:tcPr>
            <w:tcW w:w="706" w:type="pct"/>
            <w:tcBorders>
              <w:top w:val="nil"/>
              <w:left w:val="nil"/>
              <w:bottom w:val="single" w:sz="4" w:space="0" w:color="auto"/>
              <w:right w:val="single" w:sz="4" w:space="0" w:color="auto"/>
            </w:tcBorders>
            <w:shd w:val="clear" w:color="auto" w:fill="auto"/>
            <w:noWrap/>
            <w:vAlign w:val="bottom"/>
            <w:hideMark/>
          </w:tcPr>
          <w:p w14:paraId="7145EDE0"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10.17</w:t>
            </w:r>
          </w:p>
        </w:tc>
        <w:tc>
          <w:tcPr>
            <w:tcW w:w="762" w:type="pct"/>
            <w:tcBorders>
              <w:top w:val="nil"/>
              <w:left w:val="nil"/>
              <w:bottom w:val="single" w:sz="4" w:space="0" w:color="auto"/>
              <w:right w:val="single" w:sz="4" w:space="0" w:color="auto"/>
            </w:tcBorders>
            <w:shd w:val="clear" w:color="auto" w:fill="auto"/>
            <w:noWrap/>
            <w:vAlign w:val="bottom"/>
            <w:hideMark/>
          </w:tcPr>
          <w:p w14:paraId="22C3996C"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27.02</w:t>
            </w:r>
          </w:p>
        </w:tc>
        <w:tc>
          <w:tcPr>
            <w:tcW w:w="706" w:type="pct"/>
            <w:tcBorders>
              <w:top w:val="nil"/>
              <w:left w:val="nil"/>
              <w:bottom w:val="single" w:sz="4" w:space="0" w:color="auto"/>
              <w:right w:val="single" w:sz="4" w:space="0" w:color="auto"/>
            </w:tcBorders>
            <w:shd w:val="clear" w:color="auto" w:fill="auto"/>
            <w:noWrap/>
            <w:vAlign w:val="bottom"/>
            <w:hideMark/>
          </w:tcPr>
          <w:p w14:paraId="44E17F34"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6.57</w:t>
            </w:r>
          </w:p>
        </w:tc>
        <w:tc>
          <w:tcPr>
            <w:tcW w:w="706" w:type="pct"/>
            <w:tcBorders>
              <w:top w:val="nil"/>
              <w:left w:val="nil"/>
              <w:bottom w:val="single" w:sz="4" w:space="0" w:color="auto"/>
              <w:right w:val="single" w:sz="4" w:space="0" w:color="auto"/>
            </w:tcBorders>
            <w:shd w:val="clear" w:color="auto" w:fill="auto"/>
            <w:noWrap/>
            <w:vAlign w:val="bottom"/>
            <w:hideMark/>
          </w:tcPr>
          <w:p w14:paraId="19D9C5DC"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21.74</w:t>
            </w:r>
          </w:p>
        </w:tc>
        <w:tc>
          <w:tcPr>
            <w:tcW w:w="706" w:type="pct"/>
            <w:tcBorders>
              <w:top w:val="nil"/>
              <w:left w:val="nil"/>
              <w:bottom w:val="single" w:sz="4" w:space="0" w:color="auto"/>
              <w:right w:val="single" w:sz="4" w:space="0" w:color="auto"/>
            </w:tcBorders>
            <w:shd w:val="clear" w:color="auto" w:fill="auto"/>
            <w:noWrap/>
            <w:vAlign w:val="bottom"/>
            <w:hideMark/>
          </w:tcPr>
          <w:p w14:paraId="528845D6"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0.01</w:t>
            </w:r>
          </w:p>
        </w:tc>
      </w:tr>
      <w:tr w:rsidR="00C16CBB" w:rsidRPr="00191ACB" w14:paraId="1F910662"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0C256530"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11A79325"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2016</w:t>
            </w:r>
          </w:p>
        </w:tc>
        <w:tc>
          <w:tcPr>
            <w:tcW w:w="706" w:type="pct"/>
            <w:tcBorders>
              <w:top w:val="nil"/>
              <w:left w:val="nil"/>
              <w:bottom w:val="single" w:sz="4" w:space="0" w:color="auto"/>
              <w:right w:val="single" w:sz="4" w:space="0" w:color="auto"/>
            </w:tcBorders>
            <w:shd w:val="clear" w:color="auto" w:fill="auto"/>
            <w:noWrap/>
            <w:vAlign w:val="bottom"/>
            <w:hideMark/>
          </w:tcPr>
          <w:p w14:paraId="64C4A876"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15.94</w:t>
            </w:r>
          </w:p>
        </w:tc>
        <w:tc>
          <w:tcPr>
            <w:tcW w:w="762" w:type="pct"/>
            <w:tcBorders>
              <w:top w:val="nil"/>
              <w:left w:val="nil"/>
              <w:bottom w:val="single" w:sz="4" w:space="0" w:color="auto"/>
              <w:right w:val="single" w:sz="4" w:space="0" w:color="auto"/>
            </w:tcBorders>
            <w:shd w:val="clear" w:color="auto" w:fill="auto"/>
            <w:noWrap/>
            <w:vAlign w:val="bottom"/>
            <w:hideMark/>
          </w:tcPr>
          <w:p w14:paraId="677FB5A5"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22.99</w:t>
            </w:r>
          </w:p>
        </w:tc>
        <w:tc>
          <w:tcPr>
            <w:tcW w:w="706" w:type="pct"/>
            <w:tcBorders>
              <w:top w:val="nil"/>
              <w:left w:val="nil"/>
              <w:bottom w:val="single" w:sz="4" w:space="0" w:color="auto"/>
              <w:right w:val="single" w:sz="4" w:space="0" w:color="auto"/>
            </w:tcBorders>
            <w:shd w:val="clear" w:color="auto" w:fill="auto"/>
            <w:noWrap/>
            <w:vAlign w:val="bottom"/>
            <w:hideMark/>
          </w:tcPr>
          <w:p w14:paraId="296861A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5.31</w:t>
            </w:r>
          </w:p>
        </w:tc>
        <w:tc>
          <w:tcPr>
            <w:tcW w:w="706" w:type="pct"/>
            <w:tcBorders>
              <w:top w:val="nil"/>
              <w:left w:val="nil"/>
              <w:bottom w:val="single" w:sz="4" w:space="0" w:color="auto"/>
              <w:right w:val="single" w:sz="4" w:space="0" w:color="auto"/>
            </w:tcBorders>
            <w:shd w:val="clear" w:color="auto" w:fill="auto"/>
            <w:noWrap/>
            <w:vAlign w:val="bottom"/>
            <w:hideMark/>
          </w:tcPr>
          <w:p w14:paraId="2477B816"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21.6</w:t>
            </w:r>
          </w:p>
        </w:tc>
        <w:tc>
          <w:tcPr>
            <w:tcW w:w="706" w:type="pct"/>
            <w:tcBorders>
              <w:top w:val="nil"/>
              <w:left w:val="nil"/>
              <w:bottom w:val="single" w:sz="4" w:space="0" w:color="auto"/>
              <w:right w:val="single" w:sz="4" w:space="0" w:color="auto"/>
            </w:tcBorders>
            <w:shd w:val="clear" w:color="auto" w:fill="auto"/>
            <w:noWrap/>
            <w:vAlign w:val="bottom"/>
            <w:hideMark/>
          </w:tcPr>
          <w:p w14:paraId="1FDDEB1A"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0.03</w:t>
            </w:r>
          </w:p>
        </w:tc>
      </w:tr>
      <w:tr w:rsidR="00C16CBB" w:rsidRPr="00191ACB" w14:paraId="3C7B0ED4" w14:textId="77777777" w:rsidTr="005E626A">
        <w:trPr>
          <w:trHeight w:val="288"/>
        </w:trPr>
        <w:tc>
          <w:tcPr>
            <w:tcW w:w="70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9AEB17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IPPU</w:t>
            </w:r>
          </w:p>
        </w:tc>
        <w:tc>
          <w:tcPr>
            <w:tcW w:w="706" w:type="pct"/>
            <w:tcBorders>
              <w:top w:val="nil"/>
              <w:left w:val="nil"/>
              <w:bottom w:val="single" w:sz="4" w:space="0" w:color="auto"/>
              <w:right w:val="single" w:sz="4" w:space="0" w:color="auto"/>
            </w:tcBorders>
            <w:shd w:val="clear" w:color="auto" w:fill="auto"/>
            <w:noWrap/>
            <w:vAlign w:val="bottom"/>
            <w:hideMark/>
          </w:tcPr>
          <w:p w14:paraId="5DDA4611"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2011</w:t>
            </w:r>
          </w:p>
        </w:tc>
        <w:tc>
          <w:tcPr>
            <w:tcW w:w="706" w:type="pct"/>
            <w:tcBorders>
              <w:top w:val="nil"/>
              <w:left w:val="nil"/>
              <w:bottom w:val="single" w:sz="4" w:space="0" w:color="auto"/>
              <w:right w:val="single" w:sz="4" w:space="0" w:color="auto"/>
            </w:tcBorders>
            <w:shd w:val="clear" w:color="auto" w:fill="auto"/>
            <w:noWrap/>
            <w:vAlign w:val="bottom"/>
            <w:hideMark/>
          </w:tcPr>
          <w:p w14:paraId="19BEEA59"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0.006</w:t>
            </w:r>
          </w:p>
        </w:tc>
        <w:tc>
          <w:tcPr>
            <w:tcW w:w="762" w:type="pct"/>
            <w:tcBorders>
              <w:top w:val="nil"/>
              <w:left w:val="nil"/>
              <w:bottom w:val="single" w:sz="4" w:space="0" w:color="auto"/>
              <w:right w:val="single" w:sz="4" w:space="0" w:color="auto"/>
            </w:tcBorders>
            <w:shd w:val="clear" w:color="auto" w:fill="auto"/>
            <w:noWrap/>
            <w:hideMark/>
          </w:tcPr>
          <w:p w14:paraId="4C310896"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vAlign w:val="bottom"/>
            <w:hideMark/>
          </w:tcPr>
          <w:p w14:paraId="10233B6F"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0.002</w:t>
            </w:r>
          </w:p>
        </w:tc>
        <w:tc>
          <w:tcPr>
            <w:tcW w:w="706" w:type="pct"/>
            <w:tcBorders>
              <w:top w:val="nil"/>
              <w:left w:val="nil"/>
              <w:bottom w:val="single" w:sz="4" w:space="0" w:color="auto"/>
              <w:right w:val="single" w:sz="4" w:space="0" w:color="auto"/>
            </w:tcBorders>
            <w:shd w:val="clear" w:color="auto" w:fill="auto"/>
            <w:noWrap/>
            <w:vAlign w:val="bottom"/>
            <w:hideMark/>
          </w:tcPr>
          <w:p w14:paraId="32ABDC1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0.003</w:t>
            </w:r>
          </w:p>
        </w:tc>
        <w:tc>
          <w:tcPr>
            <w:tcW w:w="706" w:type="pct"/>
            <w:tcBorders>
              <w:top w:val="nil"/>
              <w:left w:val="nil"/>
              <w:bottom w:val="single" w:sz="4" w:space="0" w:color="auto"/>
              <w:right w:val="single" w:sz="4" w:space="0" w:color="auto"/>
            </w:tcBorders>
            <w:shd w:val="clear" w:color="auto" w:fill="auto"/>
            <w:noWrap/>
            <w:hideMark/>
          </w:tcPr>
          <w:p w14:paraId="0627B5EE"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r>
      <w:tr w:rsidR="00C16CBB" w:rsidRPr="00191ACB" w14:paraId="35047A92"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57F4AAAA"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604418D1"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2012</w:t>
            </w:r>
          </w:p>
        </w:tc>
        <w:tc>
          <w:tcPr>
            <w:tcW w:w="706" w:type="pct"/>
            <w:tcBorders>
              <w:top w:val="nil"/>
              <w:left w:val="nil"/>
              <w:bottom w:val="single" w:sz="4" w:space="0" w:color="auto"/>
              <w:right w:val="single" w:sz="4" w:space="0" w:color="auto"/>
            </w:tcBorders>
            <w:shd w:val="clear" w:color="auto" w:fill="auto"/>
            <w:noWrap/>
            <w:vAlign w:val="bottom"/>
            <w:hideMark/>
          </w:tcPr>
          <w:p w14:paraId="2F78FAB2"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0.009</w:t>
            </w:r>
          </w:p>
        </w:tc>
        <w:tc>
          <w:tcPr>
            <w:tcW w:w="762" w:type="pct"/>
            <w:tcBorders>
              <w:top w:val="nil"/>
              <w:left w:val="nil"/>
              <w:bottom w:val="single" w:sz="4" w:space="0" w:color="auto"/>
              <w:right w:val="single" w:sz="4" w:space="0" w:color="auto"/>
            </w:tcBorders>
            <w:shd w:val="clear" w:color="auto" w:fill="auto"/>
            <w:noWrap/>
            <w:hideMark/>
          </w:tcPr>
          <w:p w14:paraId="4F36404D"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vAlign w:val="bottom"/>
            <w:hideMark/>
          </w:tcPr>
          <w:p w14:paraId="6F4DA84E"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0.003</w:t>
            </w:r>
          </w:p>
        </w:tc>
        <w:tc>
          <w:tcPr>
            <w:tcW w:w="706" w:type="pct"/>
            <w:tcBorders>
              <w:top w:val="nil"/>
              <w:left w:val="nil"/>
              <w:bottom w:val="single" w:sz="4" w:space="0" w:color="auto"/>
              <w:right w:val="single" w:sz="4" w:space="0" w:color="auto"/>
            </w:tcBorders>
            <w:shd w:val="clear" w:color="auto" w:fill="auto"/>
            <w:noWrap/>
            <w:vAlign w:val="bottom"/>
            <w:hideMark/>
          </w:tcPr>
          <w:p w14:paraId="113EAC7A"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0.004</w:t>
            </w:r>
          </w:p>
        </w:tc>
        <w:tc>
          <w:tcPr>
            <w:tcW w:w="706" w:type="pct"/>
            <w:tcBorders>
              <w:top w:val="nil"/>
              <w:left w:val="nil"/>
              <w:bottom w:val="single" w:sz="4" w:space="0" w:color="auto"/>
              <w:right w:val="single" w:sz="4" w:space="0" w:color="auto"/>
            </w:tcBorders>
            <w:shd w:val="clear" w:color="auto" w:fill="auto"/>
            <w:noWrap/>
            <w:hideMark/>
          </w:tcPr>
          <w:p w14:paraId="2C6B8CC7"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r>
      <w:tr w:rsidR="00C16CBB" w:rsidRPr="00191ACB" w14:paraId="50E49866"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07DF096F"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1279AB5D"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2013</w:t>
            </w:r>
          </w:p>
        </w:tc>
        <w:tc>
          <w:tcPr>
            <w:tcW w:w="706" w:type="pct"/>
            <w:tcBorders>
              <w:top w:val="nil"/>
              <w:left w:val="nil"/>
              <w:bottom w:val="single" w:sz="4" w:space="0" w:color="auto"/>
              <w:right w:val="single" w:sz="4" w:space="0" w:color="auto"/>
            </w:tcBorders>
            <w:shd w:val="clear" w:color="auto" w:fill="auto"/>
            <w:noWrap/>
            <w:vAlign w:val="bottom"/>
            <w:hideMark/>
          </w:tcPr>
          <w:p w14:paraId="60AFBF90"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0.012</w:t>
            </w:r>
          </w:p>
        </w:tc>
        <w:tc>
          <w:tcPr>
            <w:tcW w:w="762" w:type="pct"/>
            <w:tcBorders>
              <w:top w:val="nil"/>
              <w:left w:val="nil"/>
              <w:bottom w:val="single" w:sz="4" w:space="0" w:color="auto"/>
              <w:right w:val="single" w:sz="4" w:space="0" w:color="auto"/>
            </w:tcBorders>
            <w:shd w:val="clear" w:color="auto" w:fill="auto"/>
            <w:noWrap/>
            <w:hideMark/>
          </w:tcPr>
          <w:p w14:paraId="5154DAA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vAlign w:val="bottom"/>
            <w:hideMark/>
          </w:tcPr>
          <w:p w14:paraId="3F55A66A"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0.004</w:t>
            </w:r>
          </w:p>
        </w:tc>
        <w:tc>
          <w:tcPr>
            <w:tcW w:w="706" w:type="pct"/>
            <w:tcBorders>
              <w:top w:val="nil"/>
              <w:left w:val="nil"/>
              <w:bottom w:val="single" w:sz="4" w:space="0" w:color="auto"/>
              <w:right w:val="single" w:sz="4" w:space="0" w:color="auto"/>
            </w:tcBorders>
            <w:shd w:val="clear" w:color="auto" w:fill="auto"/>
            <w:noWrap/>
            <w:vAlign w:val="bottom"/>
            <w:hideMark/>
          </w:tcPr>
          <w:p w14:paraId="53DE179C"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0.005</w:t>
            </w:r>
          </w:p>
        </w:tc>
        <w:tc>
          <w:tcPr>
            <w:tcW w:w="706" w:type="pct"/>
            <w:tcBorders>
              <w:top w:val="nil"/>
              <w:left w:val="nil"/>
              <w:bottom w:val="single" w:sz="4" w:space="0" w:color="auto"/>
              <w:right w:val="single" w:sz="4" w:space="0" w:color="auto"/>
            </w:tcBorders>
            <w:shd w:val="clear" w:color="auto" w:fill="auto"/>
            <w:noWrap/>
            <w:hideMark/>
          </w:tcPr>
          <w:p w14:paraId="0A3C931E"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r>
      <w:tr w:rsidR="00C16CBB" w:rsidRPr="00191ACB" w14:paraId="64E08E6D"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6CB76B3A"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539978A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2014</w:t>
            </w:r>
          </w:p>
        </w:tc>
        <w:tc>
          <w:tcPr>
            <w:tcW w:w="706" w:type="pct"/>
            <w:tcBorders>
              <w:top w:val="nil"/>
              <w:left w:val="nil"/>
              <w:bottom w:val="single" w:sz="4" w:space="0" w:color="auto"/>
              <w:right w:val="single" w:sz="4" w:space="0" w:color="auto"/>
            </w:tcBorders>
            <w:shd w:val="clear" w:color="auto" w:fill="auto"/>
            <w:noWrap/>
            <w:vAlign w:val="bottom"/>
            <w:hideMark/>
          </w:tcPr>
          <w:p w14:paraId="41B727D7"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0.022</w:t>
            </w:r>
          </w:p>
        </w:tc>
        <w:tc>
          <w:tcPr>
            <w:tcW w:w="762" w:type="pct"/>
            <w:tcBorders>
              <w:top w:val="nil"/>
              <w:left w:val="nil"/>
              <w:bottom w:val="single" w:sz="4" w:space="0" w:color="auto"/>
              <w:right w:val="single" w:sz="4" w:space="0" w:color="auto"/>
            </w:tcBorders>
            <w:shd w:val="clear" w:color="auto" w:fill="auto"/>
            <w:noWrap/>
            <w:hideMark/>
          </w:tcPr>
          <w:p w14:paraId="2A803647"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vAlign w:val="bottom"/>
            <w:hideMark/>
          </w:tcPr>
          <w:p w14:paraId="13AF0D19"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0.004</w:t>
            </w:r>
          </w:p>
        </w:tc>
        <w:tc>
          <w:tcPr>
            <w:tcW w:w="706" w:type="pct"/>
            <w:tcBorders>
              <w:top w:val="nil"/>
              <w:left w:val="nil"/>
              <w:bottom w:val="single" w:sz="4" w:space="0" w:color="auto"/>
              <w:right w:val="single" w:sz="4" w:space="0" w:color="auto"/>
            </w:tcBorders>
            <w:shd w:val="clear" w:color="auto" w:fill="auto"/>
            <w:noWrap/>
            <w:vAlign w:val="bottom"/>
            <w:hideMark/>
          </w:tcPr>
          <w:p w14:paraId="3D96409D"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0.006</w:t>
            </w:r>
          </w:p>
        </w:tc>
        <w:tc>
          <w:tcPr>
            <w:tcW w:w="706" w:type="pct"/>
            <w:tcBorders>
              <w:top w:val="nil"/>
              <w:left w:val="nil"/>
              <w:bottom w:val="single" w:sz="4" w:space="0" w:color="auto"/>
              <w:right w:val="single" w:sz="4" w:space="0" w:color="auto"/>
            </w:tcBorders>
            <w:shd w:val="clear" w:color="auto" w:fill="auto"/>
            <w:noWrap/>
            <w:hideMark/>
          </w:tcPr>
          <w:p w14:paraId="48399A48"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r>
      <w:tr w:rsidR="00C16CBB" w:rsidRPr="00191ACB" w14:paraId="47D89837"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15C4D660"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3B60CE22"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2015</w:t>
            </w:r>
          </w:p>
        </w:tc>
        <w:tc>
          <w:tcPr>
            <w:tcW w:w="706" w:type="pct"/>
            <w:tcBorders>
              <w:top w:val="nil"/>
              <w:left w:val="nil"/>
              <w:bottom w:val="single" w:sz="4" w:space="0" w:color="auto"/>
              <w:right w:val="single" w:sz="4" w:space="0" w:color="auto"/>
            </w:tcBorders>
            <w:shd w:val="clear" w:color="auto" w:fill="auto"/>
            <w:noWrap/>
            <w:vAlign w:val="bottom"/>
            <w:hideMark/>
          </w:tcPr>
          <w:p w14:paraId="0BD0BD1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0.008</w:t>
            </w:r>
          </w:p>
        </w:tc>
        <w:tc>
          <w:tcPr>
            <w:tcW w:w="762" w:type="pct"/>
            <w:tcBorders>
              <w:top w:val="nil"/>
              <w:left w:val="nil"/>
              <w:bottom w:val="single" w:sz="4" w:space="0" w:color="auto"/>
              <w:right w:val="single" w:sz="4" w:space="0" w:color="auto"/>
            </w:tcBorders>
            <w:shd w:val="clear" w:color="auto" w:fill="auto"/>
            <w:noWrap/>
            <w:hideMark/>
          </w:tcPr>
          <w:p w14:paraId="61F3649C"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vAlign w:val="bottom"/>
            <w:hideMark/>
          </w:tcPr>
          <w:p w14:paraId="5167B087"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0.003</w:t>
            </w:r>
          </w:p>
        </w:tc>
        <w:tc>
          <w:tcPr>
            <w:tcW w:w="706" w:type="pct"/>
            <w:tcBorders>
              <w:top w:val="nil"/>
              <w:left w:val="nil"/>
              <w:bottom w:val="single" w:sz="4" w:space="0" w:color="auto"/>
              <w:right w:val="single" w:sz="4" w:space="0" w:color="auto"/>
            </w:tcBorders>
            <w:shd w:val="clear" w:color="auto" w:fill="auto"/>
            <w:noWrap/>
            <w:vAlign w:val="bottom"/>
            <w:hideMark/>
          </w:tcPr>
          <w:p w14:paraId="11EC0E8D"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0.004</w:t>
            </w:r>
          </w:p>
        </w:tc>
        <w:tc>
          <w:tcPr>
            <w:tcW w:w="706" w:type="pct"/>
            <w:tcBorders>
              <w:top w:val="nil"/>
              <w:left w:val="nil"/>
              <w:bottom w:val="single" w:sz="4" w:space="0" w:color="auto"/>
              <w:right w:val="single" w:sz="4" w:space="0" w:color="auto"/>
            </w:tcBorders>
            <w:shd w:val="clear" w:color="auto" w:fill="auto"/>
            <w:noWrap/>
            <w:hideMark/>
          </w:tcPr>
          <w:p w14:paraId="27F6F318"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r>
      <w:tr w:rsidR="00C16CBB" w:rsidRPr="00191ACB" w14:paraId="7ABC4BBA"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5B544E2B"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4C47BFCE"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2016</w:t>
            </w:r>
          </w:p>
        </w:tc>
        <w:tc>
          <w:tcPr>
            <w:tcW w:w="706" w:type="pct"/>
            <w:tcBorders>
              <w:top w:val="nil"/>
              <w:left w:val="nil"/>
              <w:bottom w:val="single" w:sz="4" w:space="0" w:color="auto"/>
              <w:right w:val="single" w:sz="4" w:space="0" w:color="auto"/>
            </w:tcBorders>
            <w:shd w:val="clear" w:color="auto" w:fill="auto"/>
            <w:noWrap/>
            <w:vAlign w:val="bottom"/>
            <w:hideMark/>
          </w:tcPr>
          <w:p w14:paraId="77962929"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0.076</w:t>
            </w:r>
          </w:p>
        </w:tc>
        <w:tc>
          <w:tcPr>
            <w:tcW w:w="762" w:type="pct"/>
            <w:tcBorders>
              <w:top w:val="nil"/>
              <w:left w:val="nil"/>
              <w:bottom w:val="single" w:sz="4" w:space="0" w:color="auto"/>
              <w:right w:val="single" w:sz="4" w:space="0" w:color="auto"/>
            </w:tcBorders>
            <w:shd w:val="clear" w:color="auto" w:fill="auto"/>
            <w:noWrap/>
            <w:hideMark/>
          </w:tcPr>
          <w:p w14:paraId="56B5F63D"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vAlign w:val="bottom"/>
            <w:hideMark/>
          </w:tcPr>
          <w:p w14:paraId="1DB4752D"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0.002</w:t>
            </w:r>
          </w:p>
        </w:tc>
        <w:tc>
          <w:tcPr>
            <w:tcW w:w="706" w:type="pct"/>
            <w:tcBorders>
              <w:top w:val="nil"/>
              <w:left w:val="nil"/>
              <w:bottom w:val="single" w:sz="4" w:space="0" w:color="auto"/>
              <w:right w:val="single" w:sz="4" w:space="0" w:color="auto"/>
            </w:tcBorders>
            <w:shd w:val="clear" w:color="auto" w:fill="auto"/>
            <w:noWrap/>
            <w:vAlign w:val="bottom"/>
            <w:hideMark/>
          </w:tcPr>
          <w:p w14:paraId="2F001238"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0.003</w:t>
            </w:r>
          </w:p>
        </w:tc>
        <w:tc>
          <w:tcPr>
            <w:tcW w:w="706" w:type="pct"/>
            <w:tcBorders>
              <w:top w:val="nil"/>
              <w:left w:val="nil"/>
              <w:bottom w:val="single" w:sz="4" w:space="0" w:color="auto"/>
              <w:right w:val="single" w:sz="4" w:space="0" w:color="auto"/>
            </w:tcBorders>
            <w:shd w:val="clear" w:color="auto" w:fill="auto"/>
            <w:noWrap/>
            <w:hideMark/>
          </w:tcPr>
          <w:p w14:paraId="30C7C42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r>
      <w:tr w:rsidR="00C16CBB" w:rsidRPr="00191ACB" w14:paraId="40CFEA4F" w14:textId="77777777" w:rsidTr="005E626A">
        <w:trPr>
          <w:trHeight w:val="288"/>
        </w:trPr>
        <w:tc>
          <w:tcPr>
            <w:tcW w:w="70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4B216AF"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AFOLU</w:t>
            </w:r>
          </w:p>
        </w:tc>
        <w:tc>
          <w:tcPr>
            <w:tcW w:w="706" w:type="pct"/>
            <w:tcBorders>
              <w:top w:val="nil"/>
              <w:left w:val="nil"/>
              <w:bottom w:val="single" w:sz="4" w:space="0" w:color="auto"/>
              <w:right w:val="single" w:sz="4" w:space="0" w:color="auto"/>
            </w:tcBorders>
            <w:shd w:val="clear" w:color="auto" w:fill="auto"/>
            <w:noWrap/>
            <w:vAlign w:val="bottom"/>
            <w:hideMark/>
          </w:tcPr>
          <w:p w14:paraId="5F1CF1A4"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2011</w:t>
            </w:r>
          </w:p>
        </w:tc>
        <w:tc>
          <w:tcPr>
            <w:tcW w:w="706" w:type="pct"/>
            <w:tcBorders>
              <w:top w:val="nil"/>
              <w:left w:val="nil"/>
              <w:bottom w:val="single" w:sz="4" w:space="0" w:color="auto"/>
              <w:right w:val="single" w:sz="4" w:space="0" w:color="auto"/>
            </w:tcBorders>
            <w:shd w:val="clear" w:color="auto" w:fill="auto"/>
            <w:noWrap/>
            <w:vAlign w:val="bottom"/>
            <w:hideMark/>
          </w:tcPr>
          <w:p w14:paraId="746F180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1,499.36</w:t>
            </w:r>
          </w:p>
        </w:tc>
        <w:tc>
          <w:tcPr>
            <w:tcW w:w="762" w:type="pct"/>
            <w:tcBorders>
              <w:top w:val="nil"/>
              <w:left w:val="nil"/>
              <w:bottom w:val="single" w:sz="4" w:space="0" w:color="auto"/>
              <w:right w:val="single" w:sz="4" w:space="0" w:color="auto"/>
            </w:tcBorders>
            <w:shd w:val="clear" w:color="auto" w:fill="auto"/>
            <w:noWrap/>
            <w:vAlign w:val="bottom"/>
            <w:hideMark/>
          </w:tcPr>
          <w:p w14:paraId="64F91975"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44,649.01</w:t>
            </w:r>
          </w:p>
        </w:tc>
        <w:tc>
          <w:tcPr>
            <w:tcW w:w="706" w:type="pct"/>
            <w:tcBorders>
              <w:top w:val="nil"/>
              <w:left w:val="nil"/>
              <w:bottom w:val="single" w:sz="4" w:space="0" w:color="auto"/>
              <w:right w:val="single" w:sz="4" w:space="0" w:color="auto"/>
            </w:tcBorders>
            <w:shd w:val="clear" w:color="auto" w:fill="auto"/>
            <w:noWrap/>
            <w:vAlign w:val="bottom"/>
            <w:hideMark/>
          </w:tcPr>
          <w:p w14:paraId="43528CC6"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4,391.72</w:t>
            </w:r>
          </w:p>
        </w:tc>
        <w:tc>
          <w:tcPr>
            <w:tcW w:w="706" w:type="pct"/>
            <w:tcBorders>
              <w:top w:val="nil"/>
              <w:left w:val="nil"/>
              <w:bottom w:val="single" w:sz="4" w:space="0" w:color="auto"/>
              <w:right w:val="single" w:sz="4" w:space="0" w:color="auto"/>
            </w:tcBorders>
            <w:shd w:val="clear" w:color="auto" w:fill="auto"/>
            <w:noWrap/>
            <w:vAlign w:val="bottom"/>
            <w:hideMark/>
          </w:tcPr>
          <w:p w14:paraId="50EF57A7"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298.69</w:t>
            </w:r>
          </w:p>
        </w:tc>
        <w:tc>
          <w:tcPr>
            <w:tcW w:w="706" w:type="pct"/>
            <w:tcBorders>
              <w:top w:val="nil"/>
              <w:left w:val="nil"/>
              <w:bottom w:val="single" w:sz="4" w:space="0" w:color="auto"/>
              <w:right w:val="single" w:sz="4" w:space="0" w:color="auto"/>
            </w:tcBorders>
            <w:shd w:val="clear" w:color="auto" w:fill="auto"/>
            <w:noWrap/>
            <w:vAlign w:val="bottom"/>
            <w:hideMark/>
          </w:tcPr>
          <w:p w14:paraId="090285B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307.69</w:t>
            </w:r>
          </w:p>
        </w:tc>
      </w:tr>
      <w:tr w:rsidR="00C16CBB" w:rsidRPr="00191ACB" w14:paraId="6ACADDB2"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035CC114"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1867D0B8"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2012</w:t>
            </w:r>
          </w:p>
        </w:tc>
        <w:tc>
          <w:tcPr>
            <w:tcW w:w="706" w:type="pct"/>
            <w:tcBorders>
              <w:top w:val="nil"/>
              <w:left w:val="nil"/>
              <w:bottom w:val="single" w:sz="4" w:space="0" w:color="auto"/>
              <w:right w:val="single" w:sz="4" w:space="0" w:color="auto"/>
            </w:tcBorders>
            <w:shd w:val="clear" w:color="auto" w:fill="auto"/>
            <w:noWrap/>
            <w:vAlign w:val="bottom"/>
            <w:hideMark/>
          </w:tcPr>
          <w:p w14:paraId="61BEDC0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1,498.87</w:t>
            </w:r>
          </w:p>
        </w:tc>
        <w:tc>
          <w:tcPr>
            <w:tcW w:w="762" w:type="pct"/>
            <w:tcBorders>
              <w:top w:val="nil"/>
              <w:left w:val="nil"/>
              <w:bottom w:val="single" w:sz="4" w:space="0" w:color="auto"/>
              <w:right w:val="single" w:sz="4" w:space="0" w:color="auto"/>
            </w:tcBorders>
            <w:shd w:val="clear" w:color="auto" w:fill="auto"/>
            <w:noWrap/>
            <w:vAlign w:val="bottom"/>
            <w:hideMark/>
          </w:tcPr>
          <w:p w14:paraId="720B4FA1"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44,639.48</w:t>
            </w:r>
          </w:p>
        </w:tc>
        <w:tc>
          <w:tcPr>
            <w:tcW w:w="706" w:type="pct"/>
            <w:tcBorders>
              <w:top w:val="nil"/>
              <w:left w:val="nil"/>
              <w:bottom w:val="single" w:sz="4" w:space="0" w:color="auto"/>
              <w:right w:val="single" w:sz="4" w:space="0" w:color="auto"/>
            </w:tcBorders>
            <w:shd w:val="clear" w:color="auto" w:fill="auto"/>
            <w:noWrap/>
            <w:vAlign w:val="bottom"/>
            <w:hideMark/>
          </w:tcPr>
          <w:p w14:paraId="36FACCF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4,387.26</w:t>
            </w:r>
          </w:p>
        </w:tc>
        <w:tc>
          <w:tcPr>
            <w:tcW w:w="706" w:type="pct"/>
            <w:tcBorders>
              <w:top w:val="nil"/>
              <w:left w:val="nil"/>
              <w:bottom w:val="single" w:sz="4" w:space="0" w:color="auto"/>
              <w:right w:val="single" w:sz="4" w:space="0" w:color="auto"/>
            </w:tcBorders>
            <w:shd w:val="clear" w:color="auto" w:fill="auto"/>
            <w:noWrap/>
            <w:vAlign w:val="bottom"/>
            <w:hideMark/>
          </w:tcPr>
          <w:p w14:paraId="4E954AB0"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298.99</w:t>
            </w:r>
          </w:p>
        </w:tc>
        <w:tc>
          <w:tcPr>
            <w:tcW w:w="706" w:type="pct"/>
            <w:tcBorders>
              <w:top w:val="nil"/>
              <w:left w:val="nil"/>
              <w:bottom w:val="single" w:sz="4" w:space="0" w:color="auto"/>
              <w:right w:val="single" w:sz="4" w:space="0" w:color="auto"/>
            </w:tcBorders>
            <w:shd w:val="clear" w:color="auto" w:fill="auto"/>
            <w:noWrap/>
            <w:vAlign w:val="bottom"/>
            <w:hideMark/>
          </w:tcPr>
          <w:p w14:paraId="505F158F"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307.99</w:t>
            </w:r>
          </w:p>
        </w:tc>
      </w:tr>
      <w:tr w:rsidR="00C16CBB" w:rsidRPr="00191ACB" w14:paraId="10C32191"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03A7F233"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5D033DCE"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2013</w:t>
            </w:r>
          </w:p>
        </w:tc>
        <w:tc>
          <w:tcPr>
            <w:tcW w:w="706" w:type="pct"/>
            <w:tcBorders>
              <w:top w:val="nil"/>
              <w:left w:val="nil"/>
              <w:bottom w:val="single" w:sz="4" w:space="0" w:color="auto"/>
              <w:right w:val="single" w:sz="4" w:space="0" w:color="auto"/>
            </w:tcBorders>
            <w:shd w:val="clear" w:color="auto" w:fill="auto"/>
            <w:noWrap/>
            <w:vAlign w:val="bottom"/>
            <w:hideMark/>
          </w:tcPr>
          <w:p w14:paraId="6066F947"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1,499.17</w:t>
            </w:r>
          </w:p>
        </w:tc>
        <w:tc>
          <w:tcPr>
            <w:tcW w:w="762" w:type="pct"/>
            <w:tcBorders>
              <w:top w:val="nil"/>
              <w:left w:val="nil"/>
              <w:bottom w:val="single" w:sz="4" w:space="0" w:color="auto"/>
              <w:right w:val="single" w:sz="4" w:space="0" w:color="auto"/>
            </w:tcBorders>
            <w:shd w:val="clear" w:color="auto" w:fill="auto"/>
            <w:noWrap/>
            <w:vAlign w:val="bottom"/>
            <w:hideMark/>
          </w:tcPr>
          <w:p w14:paraId="6975F2C8"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44,629.29</w:t>
            </w:r>
          </w:p>
        </w:tc>
        <w:tc>
          <w:tcPr>
            <w:tcW w:w="706" w:type="pct"/>
            <w:tcBorders>
              <w:top w:val="nil"/>
              <w:left w:val="nil"/>
              <w:bottom w:val="single" w:sz="4" w:space="0" w:color="auto"/>
              <w:right w:val="single" w:sz="4" w:space="0" w:color="auto"/>
            </w:tcBorders>
            <w:shd w:val="clear" w:color="auto" w:fill="auto"/>
            <w:noWrap/>
            <w:vAlign w:val="bottom"/>
            <w:hideMark/>
          </w:tcPr>
          <w:p w14:paraId="6CEFC24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4,382.76</w:t>
            </w:r>
          </w:p>
        </w:tc>
        <w:tc>
          <w:tcPr>
            <w:tcW w:w="706" w:type="pct"/>
            <w:tcBorders>
              <w:top w:val="nil"/>
              <w:left w:val="nil"/>
              <w:bottom w:val="single" w:sz="4" w:space="0" w:color="auto"/>
              <w:right w:val="single" w:sz="4" w:space="0" w:color="auto"/>
            </w:tcBorders>
            <w:shd w:val="clear" w:color="auto" w:fill="auto"/>
            <w:noWrap/>
            <w:vAlign w:val="bottom"/>
            <w:hideMark/>
          </w:tcPr>
          <w:p w14:paraId="44FC7BDA"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299.25</w:t>
            </w:r>
          </w:p>
        </w:tc>
        <w:tc>
          <w:tcPr>
            <w:tcW w:w="706" w:type="pct"/>
            <w:tcBorders>
              <w:top w:val="nil"/>
              <w:left w:val="nil"/>
              <w:bottom w:val="single" w:sz="4" w:space="0" w:color="auto"/>
              <w:right w:val="single" w:sz="4" w:space="0" w:color="auto"/>
            </w:tcBorders>
            <w:shd w:val="clear" w:color="auto" w:fill="auto"/>
            <w:noWrap/>
            <w:vAlign w:val="bottom"/>
            <w:hideMark/>
          </w:tcPr>
          <w:p w14:paraId="2528293F"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308.06</w:t>
            </w:r>
          </w:p>
        </w:tc>
      </w:tr>
      <w:tr w:rsidR="00C16CBB" w:rsidRPr="00191ACB" w14:paraId="50C8C7ED"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28EB7CB0"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6D1B2A9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2014</w:t>
            </w:r>
          </w:p>
        </w:tc>
        <w:tc>
          <w:tcPr>
            <w:tcW w:w="706" w:type="pct"/>
            <w:tcBorders>
              <w:top w:val="nil"/>
              <w:left w:val="nil"/>
              <w:bottom w:val="single" w:sz="4" w:space="0" w:color="auto"/>
              <w:right w:val="single" w:sz="4" w:space="0" w:color="auto"/>
            </w:tcBorders>
            <w:shd w:val="clear" w:color="auto" w:fill="auto"/>
            <w:noWrap/>
            <w:vAlign w:val="bottom"/>
            <w:hideMark/>
          </w:tcPr>
          <w:p w14:paraId="463D43E9"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1,499.66</w:t>
            </w:r>
          </w:p>
        </w:tc>
        <w:tc>
          <w:tcPr>
            <w:tcW w:w="762" w:type="pct"/>
            <w:tcBorders>
              <w:top w:val="nil"/>
              <w:left w:val="nil"/>
              <w:bottom w:val="single" w:sz="4" w:space="0" w:color="auto"/>
              <w:right w:val="single" w:sz="4" w:space="0" w:color="auto"/>
            </w:tcBorders>
            <w:shd w:val="clear" w:color="auto" w:fill="auto"/>
            <w:noWrap/>
            <w:vAlign w:val="bottom"/>
            <w:hideMark/>
          </w:tcPr>
          <w:p w14:paraId="37631AE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44,620.69</w:t>
            </w:r>
          </w:p>
        </w:tc>
        <w:tc>
          <w:tcPr>
            <w:tcW w:w="706" w:type="pct"/>
            <w:tcBorders>
              <w:top w:val="nil"/>
              <w:left w:val="nil"/>
              <w:bottom w:val="single" w:sz="4" w:space="0" w:color="auto"/>
              <w:right w:val="single" w:sz="4" w:space="0" w:color="auto"/>
            </w:tcBorders>
            <w:shd w:val="clear" w:color="auto" w:fill="auto"/>
            <w:noWrap/>
            <w:vAlign w:val="bottom"/>
            <w:hideMark/>
          </w:tcPr>
          <w:p w14:paraId="700B36C0"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4,379.30</w:t>
            </w:r>
          </w:p>
        </w:tc>
        <w:tc>
          <w:tcPr>
            <w:tcW w:w="706" w:type="pct"/>
            <w:tcBorders>
              <w:top w:val="nil"/>
              <w:left w:val="nil"/>
              <w:bottom w:val="single" w:sz="4" w:space="0" w:color="auto"/>
              <w:right w:val="single" w:sz="4" w:space="0" w:color="auto"/>
            </w:tcBorders>
            <w:shd w:val="clear" w:color="auto" w:fill="auto"/>
            <w:noWrap/>
            <w:vAlign w:val="bottom"/>
            <w:hideMark/>
          </w:tcPr>
          <w:p w14:paraId="79405E1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298.55</w:t>
            </w:r>
          </w:p>
        </w:tc>
        <w:tc>
          <w:tcPr>
            <w:tcW w:w="706" w:type="pct"/>
            <w:tcBorders>
              <w:top w:val="nil"/>
              <w:left w:val="nil"/>
              <w:bottom w:val="single" w:sz="4" w:space="0" w:color="auto"/>
              <w:right w:val="single" w:sz="4" w:space="0" w:color="auto"/>
            </w:tcBorders>
            <w:shd w:val="clear" w:color="auto" w:fill="auto"/>
            <w:noWrap/>
            <w:vAlign w:val="bottom"/>
            <w:hideMark/>
          </w:tcPr>
          <w:p w14:paraId="3567237A"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308.34</w:t>
            </w:r>
          </w:p>
        </w:tc>
      </w:tr>
      <w:tr w:rsidR="00C16CBB" w:rsidRPr="00191ACB" w14:paraId="4819B5DB"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41AAA950"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4B2E3036"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2015</w:t>
            </w:r>
          </w:p>
        </w:tc>
        <w:tc>
          <w:tcPr>
            <w:tcW w:w="706" w:type="pct"/>
            <w:tcBorders>
              <w:top w:val="nil"/>
              <w:left w:val="nil"/>
              <w:bottom w:val="single" w:sz="4" w:space="0" w:color="auto"/>
              <w:right w:val="single" w:sz="4" w:space="0" w:color="auto"/>
            </w:tcBorders>
            <w:shd w:val="clear" w:color="auto" w:fill="auto"/>
            <w:noWrap/>
            <w:vAlign w:val="bottom"/>
            <w:hideMark/>
          </w:tcPr>
          <w:p w14:paraId="45FC72C4"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1,499.11</w:t>
            </w:r>
          </w:p>
        </w:tc>
        <w:tc>
          <w:tcPr>
            <w:tcW w:w="762" w:type="pct"/>
            <w:tcBorders>
              <w:top w:val="nil"/>
              <w:left w:val="nil"/>
              <w:bottom w:val="single" w:sz="4" w:space="0" w:color="auto"/>
              <w:right w:val="single" w:sz="4" w:space="0" w:color="auto"/>
            </w:tcBorders>
            <w:shd w:val="clear" w:color="auto" w:fill="auto"/>
            <w:noWrap/>
            <w:vAlign w:val="bottom"/>
            <w:hideMark/>
          </w:tcPr>
          <w:p w14:paraId="00CB994E"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44,610.99</w:t>
            </w:r>
          </w:p>
        </w:tc>
        <w:tc>
          <w:tcPr>
            <w:tcW w:w="706" w:type="pct"/>
            <w:tcBorders>
              <w:top w:val="nil"/>
              <w:left w:val="nil"/>
              <w:bottom w:val="single" w:sz="4" w:space="0" w:color="auto"/>
              <w:right w:val="single" w:sz="4" w:space="0" w:color="auto"/>
            </w:tcBorders>
            <w:shd w:val="clear" w:color="auto" w:fill="auto"/>
            <w:noWrap/>
            <w:vAlign w:val="bottom"/>
            <w:hideMark/>
          </w:tcPr>
          <w:p w14:paraId="1DC4FF7C"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4,374.83</w:t>
            </w:r>
          </w:p>
        </w:tc>
        <w:tc>
          <w:tcPr>
            <w:tcW w:w="706" w:type="pct"/>
            <w:tcBorders>
              <w:top w:val="nil"/>
              <w:left w:val="nil"/>
              <w:bottom w:val="single" w:sz="4" w:space="0" w:color="auto"/>
              <w:right w:val="single" w:sz="4" w:space="0" w:color="auto"/>
            </w:tcBorders>
            <w:shd w:val="clear" w:color="auto" w:fill="auto"/>
            <w:noWrap/>
            <w:vAlign w:val="bottom"/>
            <w:hideMark/>
          </w:tcPr>
          <w:p w14:paraId="2989E9BA"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298.84</w:t>
            </w:r>
          </w:p>
        </w:tc>
        <w:tc>
          <w:tcPr>
            <w:tcW w:w="706" w:type="pct"/>
            <w:tcBorders>
              <w:top w:val="nil"/>
              <w:left w:val="nil"/>
              <w:bottom w:val="single" w:sz="4" w:space="0" w:color="auto"/>
              <w:right w:val="single" w:sz="4" w:space="0" w:color="auto"/>
            </w:tcBorders>
            <w:shd w:val="clear" w:color="auto" w:fill="auto"/>
            <w:noWrap/>
            <w:vAlign w:val="bottom"/>
            <w:hideMark/>
          </w:tcPr>
          <w:p w14:paraId="2AD853F5"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308.58</w:t>
            </w:r>
          </w:p>
        </w:tc>
      </w:tr>
      <w:tr w:rsidR="00C16CBB" w:rsidRPr="00191ACB" w14:paraId="484579A0"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1D627E92"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669E675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2016</w:t>
            </w:r>
          </w:p>
        </w:tc>
        <w:tc>
          <w:tcPr>
            <w:tcW w:w="706" w:type="pct"/>
            <w:tcBorders>
              <w:top w:val="nil"/>
              <w:left w:val="nil"/>
              <w:bottom w:val="single" w:sz="4" w:space="0" w:color="auto"/>
              <w:right w:val="single" w:sz="4" w:space="0" w:color="auto"/>
            </w:tcBorders>
            <w:shd w:val="clear" w:color="auto" w:fill="auto"/>
            <w:noWrap/>
            <w:vAlign w:val="bottom"/>
            <w:hideMark/>
          </w:tcPr>
          <w:p w14:paraId="65EED582"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1,584.17</w:t>
            </w:r>
          </w:p>
        </w:tc>
        <w:tc>
          <w:tcPr>
            <w:tcW w:w="762" w:type="pct"/>
            <w:tcBorders>
              <w:top w:val="nil"/>
              <w:left w:val="nil"/>
              <w:bottom w:val="single" w:sz="4" w:space="0" w:color="auto"/>
              <w:right w:val="single" w:sz="4" w:space="0" w:color="auto"/>
            </w:tcBorders>
            <w:shd w:val="clear" w:color="auto" w:fill="auto"/>
            <w:noWrap/>
            <w:vAlign w:val="bottom"/>
            <w:hideMark/>
          </w:tcPr>
          <w:p w14:paraId="1681CDD2"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47,138.67</w:t>
            </w:r>
          </w:p>
        </w:tc>
        <w:tc>
          <w:tcPr>
            <w:tcW w:w="706" w:type="pct"/>
            <w:tcBorders>
              <w:top w:val="nil"/>
              <w:left w:val="nil"/>
              <w:bottom w:val="single" w:sz="4" w:space="0" w:color="auto"/>
              <w:right w:val="single" w:sz="4" w:space="0" w:color="auto"/>
            </w:tcBorders>
            <w:shd w:val="clear" w:color="auto" w:fill="auto"/>
            <w:noWrap/>
            <w:vAlign w:val="bottom"/>
            <w:hideMark/>
          </w:tcPr>
          <w:p w14:paraId="0CC1B2D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4,621.60</w:t>
            </w:r>
          </w:p>
        </w:tc>
        <w:tc>
          <w:tcPr>
            <w:tcW w:w="706" w:type="pct"/>
            <w:tcBorders>
              <w:top w:val="nil"/>
              <w:left w:val="nil"/>
              <w:bottom w:val="single" w:sz="4" w:space="0" w:color="auto"/>
              <w:right w:val="single" w:sz="4" w:space="0" w:color="auto"/>
            </w:tcBorders>
            <w:shd w:val="clear" w:color="auto" w:fill="auto"/>
            <w:noWrap/>
            <w:vAlign w:val="bottom"/>
            <w:hideMark/>
          </w:tcPr>
          <w:p w14:paraId="7DF72C8F"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316.45</w:t>
            </w:r>
          </w:p>
        </w:tc>
        <w:tc>
          <w:tcPr>
            <w:tcW w:w="706" w:type="pct"/>
            <w:tcBorders>
              <w:top w:val="nil"/>
              <w:left w:val="nil"/>
              <w:bottom w:val="single" w:sz="4" w:space="0" w:color="auto"/>
              <w:right w:val="single" w:sz="4" w:space="0" w:color="auto"/>
            </w:tcBorders>
            <w:shd w:val="clear" w:color="auto" w:fill="auto"/>
            <w:noWrap/>
            <w:vAlign w:val="bottom"/>
            <w:hideMark/>
          </w:tcPr>
          <w:p w14:paraId="0E756236"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326.31</w:t>
            </w:r>
          </w:p>
        </w:tc>
      </w:tr>
      <w:tr w:rsidR="00C16CBB" w:rsidRPr="00191ACB" w14:paraId="130DDD67" w14:textId="77777777" w:rsidTr="005E626A">
        <w:trPr>
          <w:trHeight w:val="288"/>
        </w:trPr>
        <w:tc>
          <w:tcPr>
            <w:tcW w:w="70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C57B7F5"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Waste</w:t>
            </w:r>
          </w:p>
        </w:tc>
        <w:tc>
          <w:tcPr>
            <w:tcW w:w="706" w:type="pct"/>
            <w:tcBorders>
              <w:top w:val="nil"/>
              <w:left w:val="nil"/>
              <w:bottom w:val="single" w:sz="4" w:space="0" w:color="auto"/>
              <w:right w:val="single" w:sz="4" w:space="0" w:color="auto"/>
            </w:tcBorders>
            <w:shd w:val="clear" w:color="auto" w:fill="auto"/>
            <w:noWrap/>
            <w:vAlign w:val="bottom"/>
            <w:hideMark/>
          </w:tcPr>
          <w:p w14:paraId="3C38FAC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2011</w:t>
            </w:r>
          </w:p>
        </w:tc>
        <w:tc>
          <w:tcPr>
            <w:tcW w:w="706" w:type="pct"/>
            <w:tcBorders>
              <w:top w:val="nil"/>
              <w:left w:val="nil"/>
              <w:bottom w:val="single" w:sz="4" w:space="0" w:color="auto"/>
              <w:right w:val="single" w:sz="4" w:space="0" w:color="auto"/>
            </w:tcBorders>
            <w:shd w:val="clear" w:color="auto" w:fill="auto"/>
            <w:noWrap/>
            <w:vAlign w:val="bottom"/>
            <w:hideMark/>
          </w:tcPr>
          <w:p w14:paraId="70F8CCA0"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NA</w:t>
            </w:r>
          </w:p>
        </w:tc>
        <w:tc>
          <w:tcPr>
            <w:tcW w:w="762" w:type="pct"/>
            <w:tcBorders>
              <w:top w:val="nil"/>
              <w:left w:val="nil"/>
              <w:bottom w:val="single" w:sz="4" w:space="0" w:color="auto"/>
              <w:right w:val="single" w:sz="4" w:space="0" w:color="auto"/>
            </w:tcBorders>
            <w:shd w:val="clear" w:color="auto" w:fill="auto"/>
            <w:noWrap/>
            <w:hideMark/>
          </w:tcPr>
          <w:p w14:paraId="13CF0266"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vAlign w:val="bottom"/>
            <w:hideMark/>
          </w:tcPr>
          <w:p w14:paraId="079BC8A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0.001</w:t>
            </w:r>
          </w:p>
        </w:tc>
        <w:tc>
          <w:tcPr>
            <w:tcW w:w="706" w:type="pct"/>
            <w:tcBorders>
              <w:top w:val="nil"/>
              <w:left w:val="nil"/>
              <w:bottom w:val="single" w:sz="4" w:space="0" w:color="auto"/>
              <w:right w:val="single" w:sz="4" w:space="0" w:color="auto"/>
            </w:tcBorders>
            <w:shd w:val="clear" w:color="auto" w:fill="auto"/>
            <w:noWrap/>
            <w:hideMark/>
          </w:tcPr>
          <w:p w14:paraId="7E6DF1C7"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hideMark/>
          </w:tcPr>
          <w:p w14:paraId="5AE15F32"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r>
      <w:tr w:rsidR="00C16CBB" w:rsidRPr="00191ACB" w14:paraId="6BCC61C9"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15F382E6"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39F17A29"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2012</w:t>
            </w:r>
          </w:p>
        </w:tc>
        <w:tc>
          <w:tcPr>
            <w:tcW w:w="706" w:type="pct"/>
            <w:tcBorders>
              <w:top w:val="nil"/>
              <w:left w:val="nil"/>
              <w:bottom w:val="single" w:sz="4" w:space="0" w:color="auto"/>
              <w:right w:val="single" w:sz="4" w:space="0" w:color="auto"/>
            </w:tcBorders>
            <w:shd w:val="clear" w:color="auto" w:fill="auto"/>
            <w:noWrap/>
            <w:hideMark/>
          </w:tcPr>
          <w:p w14:paraId="7FE8511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62" w:type="pct"/>
            <w:tcBorders>
              <w:top w:val="nil"/>
              <w:left w:val="nil"/>
              <w:bottom w:val="single" w:sz="4" w:space="0" w:color="auto"/>
              <w:right w:val="single" w:sz="4" w:space="0" w:color="auto"/>
            </w:tcBorders>
            <w:shd w:val="clear" w:color="auto" w:fill="auto"/>
            <w:noWrap/>
            <w:hideMark/>
          </w:tcPr>
          <w:p w14:paraId="0E7C6D5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vAlign w:val="bottom"/>
            <w:hideMark/>
          </w:tcPr>
          <w:p w14:paraId="567ACE0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0.003</w:t>
            </w:r>
          </w:p>
        </w:tc>
        <w:tc>
          <w:tcPr>
            <w:tcW w:w="706" w:type="pct"/>
            <w:tcBorders>
              <w:top w:val="nil"/>
              <w:left w:val="nil"/>
              <w:bottom w:val="single" w:sz="4" w:space="0" w:color="auto"/>
              <w:right w:val="single" w:sz="4" w:space="0" w:color="auto"/>
            </w:tcBorders>
            <w:shd w:val="clear" w:color="auto" w:fill="auto"/>
            <w:noWrap/>
            <w:hideMark/>
          </w:tcPr>
          <w:p w14:paraId="403E2028"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hideMark/>
          </w:tcPr>
          <w:p w14:paraId="2A647AE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r>
      <w:tr w:rsidR="00C16CBB" w:rsidRPr="00191ACB" w14:paraId="61406B61"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1AD042C0"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429D746D"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2013</w:t>
            </w:r>
          </w:p>
        </w:tc>
        <w:tc>
          <w:tcPr>
            <w:tcW w:w="706" w:type="pct"/>
            <w:tcBorders>
              <w:top w:val="nil"/>
              <w:left w:val="nil"/>
              <w:bottom w:val="single" w:sz="4" w:space="0" w:color="auto"/>
              <w:right w:val="single" w:sz="4" w:space="0" w:color="auto"/>
            </w:tcBorders>
            <w:shd w:val="clear" w:color="auto" w:fill="auto"/>
            <w:noWrap/>
            <w:hideMark/>
          </w:tcPr>
          <w:p w14:paraId="2D8847AD"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62" w:type="pct"/>
            <w:tcBorders>
              <w:top w:val="nil"/>
              <w:left w:val="nil"/>
              <w:bottom w:val="single" w:sz="4" w:space="0" w:color="auto"/>
              <w:right w:val="single" w:sz="4" w:space="0" w:color="auto"/>
            </w:tcBorders>
            <w:shd w:val="clear" w:color="auto" w:fill="auto"/>
            <w:noWrap/>
            <w:hideMark/>
          </w:tcPr>
          <w:p w14:paraId="603275A9"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vAlign w:val="bottom"/>
            <w:hideMark/>
          </w:tcPr>
          <w:p w14:paraId="0AD8CEFB"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0.006</w:t>
            </w:r>
          </w:p>
        </w:tc>
        <w:tc>
          <w:tcPr>
            <w:tcW w:w="706" w:type="pct"/>
            <w:tcBorders>
              <w:top w:val="nil"/>
              <w:left w:val="nil"/>
              <w:bottom w:val="single" w:sz="4" w:space="0" w:color="auto"/>
              <w:right w:val="single" w:sz="4" w:space="0" w:color="auto"/>
            </w:tcBorders>
            <w:shd w:val="clear" w:color="auto" w:fill="auto"/>
            <w:noWrap/>
            <w:hideMark/>
          </w:tcPr>
          <w:p w14:paraId="3A892CF4"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hideMark/>
          </w:tcPr>
          <w:p w14:paraId="3B8E6834"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r>
      <w:tr w:rsidR="00C16CBB" w:rsidRPr="00191ACB" w14:paraId="65775256"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7F6455EE"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474188AA"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2014</w:t>
            </w:r>
          </w:p>
        </w:tc>
        <w:tc>
          <w:tcPr>
            <w:tcW w:w="706" w:type="pct"/>
            <w:tcBorders>
              <w:top w:val="nil"/>
              <w:left w:val="nil"/>
              <w:bottom w:val="single" w:sz="4" w:space="0" w:color="auto"/>
              <w:right w:val="single" w:sz="4" w:space="0" w:color="auto"/>
            </w:tcBorders>
            <w:shd w:val="clear" w:color="auto" w:fill="auto"/>
            <w:noWrap/>
            <w:hideMark/>
          </w:tcPr>
          <w:p w14:paraId="3824CFAE"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62" w:type="pct"/>
            <w:tcBorders>
              <w:top w:val="nil"/>
              <w:left w:val="nil"/>
              <w:bottom w:val="single" w:sz="4" w:space="0" w:color="auto"/>
              <w:right w:val="single" w:sz="4" w:space="0" w:color="auto"/>
            </w:tcBorders>
            <w:shd w:val="clear" w:color="auto" w:fill="auto"/>
            <w:noWrap/>
            <w:hideMark/>
          </w:tcPr>
          <w:p w14:paraId="77400B97"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vAlign w:val="bottom"/>
            <w:hideMark/>
          </w:tcPr>
          <w:p w14:paraId="6F09A7B3"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0.002</w:t>
            </w:r>
          </w:p>
        </w:tc>
        <w:tc>
          <w:tcPr>
            <w:tcW w:w="706" w:type="pct"/>
            <w:tcBorders>
              <w:top w:val="nil"/>
              <w:left w:val="nil"/>
              <w:bottom w:val="single" w:sz="4" w:space="0" w:color="auto"/>
              <w:right w:val="single" w:sz="4" w:space="0" w:color="auto"/>
            </w:tcBorders>
            <w:shd w:val="clear" w:color="auto" w:fill="auto"/>
            <w:noWrap/>
            <w:hideMark/>
          </w:tcPr>
          <w:p w14:paraId="60736401"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hideMark/>
          </w:tcPr>
          <w:p w14:paraId="45D05C72"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r>
      <w:tr w:rsidR="00C16CBB" w:rsidRPr="00191ACB" w14:paraId="38842E5D"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2D9E8DAD"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36ADF6EC"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2015</w:t>
            </w:r>
          </w:p>
        </w:tc>
        <w:tc>
          <w:tcPr>
            <w:tcW w:w="706" w:type="pct"/>
            <w:tcBorders>
              <w:top w:val="nil"/>
              <w:left w:val="nil"/>
              <w:bottom w:val="single" w:sz="4" w:space="0" w:color="auto"/>
              <w:right w:val="single" w:sz="4" w:space="0" w:color="auto"/>
            </w:tcBorders>
            <w:shd w:val="clear" w:color="auto" w:fill="auto"/>
            <w:noWrap/>
            <w:hideMark/>
          </w:tcPr>
          <w:p w14:paraId="4AE683BD"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62" w:type="pct"/>
            <w:tcBorders>
              <w:top w:val="nil"/>
              <w:left w:val="nil"/>
              <w:bottom w:val="single" w:sz="4" w:space="0" w:color="auto"/>
              <w:right w:val="single" w:sz="4" w:space="0" w:color="auto"/>
            </w:tcBorders>
            <w:shd w:val="clear" w:color="auto" w:fill="auto"/>
            <w:noWrap/>
            <w:hideMark/>
          </w:tcPr>
          <w:p w14:paraId="0858D8DC"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vAlign w:val="bottom"/>
            <w:hideMark/>
          </w:tcPr>
          <w:p w14:paraId="53841250"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0.002</w:t>
            </w:r>
          </w:p>
        </w:tc>
        <w:tc>
          <w:tcPr>
            <w:tcW w:w="706" w:type="pct"/>
            <w:tcBorders>
              <w:top w:val="nil"/>
              <w:left w:val="nil"/>
              <w:bottom w:val="single" w:sz="4" w:space="0" w:color="auto"/>
              <w:right w:val="single" w:sz="4" w:space="0" w:color="auto"/>
            </w:tcBorders>
            <w:shd w:val="clear" w:color="auto" w:fill="auto"/>
            <w:noWrap/>
            <w:hideMark/>
          </w:tcPr>
          <w:p w14:paraId="0CBF6F37"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hideMark/>
          </w:tcPr>
          <w:p w14:paraId="271A56E4"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r>
      <w:tr w:rsidR="00C16CBB" w:rsidRPr="00191ACB" w14:paraId="2994B6C2" w14:textId="77777777" w:rsidTr="005E626A">
        <w:trPr>
          <w:trHeight w:val="288"/>
        </w:trPr>
        <w:tc>
          <w:tcPr>
            <w:tcW w:w="706" w:type="pct"/>
            <w:vMerge/>
            <w:tcBorders>
              <w:top w:val="nil"/>
              <w:left w:val="single" w:sz="4" w:space="0" w:color="auto"/>
              <w:bottom w:val="single" w:sz="4" w:space="0" w:color="000000"/>
              <w:right w:val="single" w:sz="4" w:space="0" w:color="auto"/>
            </w:tcBorders>
            <w:vAlign w:val="center"/>
            <w:hideMark/>
          </w:tcPr>
          <w:p w14:paraId="41F36ED7" w14:textId="77777777" w:rsidR="00C16CBB" w:rsidRPr="00191ACB" w:rsidRDefault="00C16CBB" w:rsidP="006C1D45">
            <w:pPr>
              <w:pStyle w:val="NoSpacing"/>
              <w:rPr>
                <w:rFonts w:ascii="Times New Roman" w:hAnsi="Times New Roman" w:cs="Times New Roman"/>
                <w:color w:val="000000" w:themeColor="text1"/>
                <w:sz w:val="24"/>
                <w:szCs w:val="24"/>
              </w:rPr>
            </w:pPr>
          </w:p>
        </w:tc>
        <w:tc>
          <w:tcPr>
            <w:tcW w:w="706" w:type="pct"/>
            <w:tcBorders>
              <w:top w:val="nil"/>
              <w:left w:val="nil"/>
              <w:bottom w:val="single" w:sz="4" w:space="0" w:color="auto"/>
              <w:right w:val="single" w:sz="4" w:space="0" w:color="auto"/>
            </w:tcBorders>
            <w:shd w:val="clear" w:color="auto" w:fill="auto"/>
            <w:noWrap/>
            <w:vAlign w:val="bottom"/>
            <w:hideMark/>
          </w:tcPr>
          <w:p w14:paraId="32F00BC4"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2016</w:t>
            </w:r>
          </w:p>
        </w:tc>
        <w:tc>
          <w:tcPr>
            <w:tcW w:w="706" w:type="pct"/>
            <w:tcBorders>
              <w:top w:val="nil"/>
              <w:left w:val="nil"/>
              <w:bottom w:val="single" w:sz="4" w:space="0" w:color="auto"/>
              <w:right w:val="single" w:sz="4" w:space="0" w:color="auto"/>
            </w:tcBorders>
            <w:shd w:val="clear" w:color="auto" w:fill="auto"/>
            <w:noWrap/>
            <w:hideMark/>
          </w:tcPr>
          <w:p w14:paraId="3E0039FE"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62" w:type="pct"/>
            <w:tcBorders>
              <w:top w:val="nil"/>
              <w:left w:val="nil"/>
              <w:bottom w:val="single" w:sz="4" w:space="0" w:color="auto"/>
              <w:right w:val="single" w:sz="4" w:space="0" w:color="auto"/>
            </w:tcBorders>
            <w:shd w:val="clear" w:color="auto" w:fill="auto"/>
            <w:noWrap/>
            <w:hideMark/>
          </w:tcPr>
          <w:p w14:paraId="29BD8C4F"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vAlign w:val="bottom"/>
            <w:hideMark/>
          </w:tcPr>
          <w:p w14:paraId="67BC6DAA"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0.005</w:t>
            </w:r>
          </w:p>
        </w:tc>
        <w:tc>
          <w:tcPr>
            <w:tcW w:w="706" w:type="pct"/>
            <w:tcBorders>
              <w:top w:val="nil"/>
              <w:left w:val="nil"/>
              <w:bottom w:val="single" w:sz="4" w:space="0" w:color="auto"/>
              <w:right w:val="single" w:sz="4" w:space="0" w:color="auto"/>
            </w:tcBorders>
            <w:shd w:val="clear" w:color="auto" w:fill="auto"/>
            <w:noWrap/>
            <w:hideMark/>
          </w:tcPr>
          <w:p w14:paraId="42C81116"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c>
          <w:tcPr>
            <w:tcW w:w="706" w:type="pct"/>
            <w:tcBorders>
              <w:top w:val="nil"/>
              <w:left w:val="nil"/>
              <w:bottom w:val="single" w:sz="4" w:space="0" w:color="auto"/>
              <w:right w:val="single" w:sz="4" w:space="0" w:color="auto"/>
            </w:tcBorders>
            <w:shd w:val="clear" w:color="auto" w:fill="auto"/>
            <w:noWrap/>
            <w:hideMark/>
          </w:tcPr>
          <w:p w14:paraId="10445C47" w14:textId="77777777" w:rsidR="00C16CBB" w:rsidRPr="00191ACB" w:rsidRDefault="00C16CBB" w:rsidP="006C1D4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w:t>
            </w:r>
          </w:p>
        </w:tc>
      </w:tr>
    </w:tbl>
    <w:p w14:paraId="52505D3B" w14:textId="68ADAAFB" w:rsidR="006C1D45" w:rsidRPr="00191ACB" w:rsidRDefault="00FB0C05" w:rsidP="00C16CBB">
      <w:pPr>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 Not Applicable</w:t>
      </w:r>
    </w:p>
    <w:p w14:paraId="6957BB4F" w14:textId="62CA860F" w:rsidR="00C16CBB" w:rsidRPr="00191ACB" w:rsidRDefault="00C16CBB"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highest contribution to the AFOLU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emissions in 2016 were Fuelwood removal at 35% followed by Wood Removal at 34%. Emissions from land converted to cropland contributed 21%. The least was emissions from land converted to settlements at 10 % (Figure</w:t>
      </w:r>
      <w:r w:rsidR="00522293" w:rsidRPr="00191ACB">
        <w:rPr>
          <w:rFonts w:ascii="Times New Roman" w:hAnsi="Times New Roman" w:cs="Times New Roman"/>
          <w:color w:val="000000" w:themeColor="text1"/>
          <w:sz w:val="24"/>
          <w:szCs w:val="24"/>
        </w:rPr>
        <w:t>3.9</w:t>
      </w:r>
      <w:r w:rsidRPr="00191ACB">
        <w:rPr>
          <w:rFonts w:ascii="Times New Roman" w:hAnsi="Times New Roman" w:cs="Times New Roman"/>
          <w:color w:val="000000" w:themeColor="text1"/>
          <w:sz w:val="24"/>
          <w:szCs w:val="24"/>
        </w:rPr>
        <w:t>).</w:t>
      </w:r>
    </w:p>
    <w:p w14:paraId="1D8BFE69" w14:textId="77777777" w:rsidR="00C16CBB" w:rsidRPr="00191ACB" w:rsidRDefault="00C16CBB" w:rsidP="00C16CBB">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noProof/>
          <w:color w:val="000000" w:themeColor="text1"/>
          <w:sz w:val="24"/>
          <w:szCs w:val="24"/>
          <w:lang w:val="en-GB" w:eastAsia="en-GB"/>
        </w:rPr>
        <w:drawing>
          <wp:inline distT="0" distB="0" distL="0" distR="0" wp14:anchorId="65800D26" wp14:editId="296A2CFB">
            <wp:extent cx="3261360" cy="2202180"/>
            <wp:effectExtent l="0" t="0" r="15240" b="762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191ACB">
        <w:rPr>
          <w:rFonts w:ascii="Times New Roman" w:hAnsi="Times New Roman" w:cs="Times New Roman"/>
          <w:color w:val="000000" w:themeColor="text1"/>
          <w:sz w:val="24"/>
          <w:szCs w:val="24"/>
        </w:rPr>
        <w:t xml:space="preserve">  </w:t>
      </w:r>
      <w:bookmarkStart w:id="103" w:name="_Toc15311604"/>
    </w:p>
    <w:p w14:paraId="1EABC283" w14:textId="6BC72FCD" w:rsidR="00C16CBB" w:rsidRPr="00191ACB" w:rsidRDefault="00F37A8D" w:rsidP="00F37A8D">
      <w:pPr>
        <w:pStyle w:val="Caption"/>
        <w:rPr>
          <w:color w:val="000000" w:themeColor="text1"/>
          <w:sz w:val="24"/>
          <w:szCs w:val="24"/>
        </w:rPr>
      </w:pPr>
      <w:bookmarkStart w:id="104" w:name="_Toc56583854"/>
      <w:bookmarkEnd w:id="103"/>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9</w:t>
      </w:r>
      <w:r w:rsidR="009D481C">
        <w:rPr>
          <w:sz w:val="24"/>
          <w:szCs w:val="24"/>
        </w:rPr>
        <w:fldChar w:fldCharType="end"/>
      </w:r>
      <w:r w:rsidRPr="00191ACB">
        <w:rPr>
          <w:sz w:val="24"/>
          <w:szCs w:val="24"/>
        </w:rPr>
        <w:t>:CO2 emissions sources in AFOLU sector</w:t>
      </w:r>
      <w:bookmarkEnd w:id="104"/>
    </w:p>
    <w:p w14:paraId="392D2692" w14:textId="3247CD25" w:rsidR="005E05C0" w:rsidRPr="00191ACB" w:rsidRDefault="005E05C0" w:rsidP="006B1FB2">
      <w:pPr>
        <w:jc w:val="both"/>
        <w:rPr>
          <w:rFonts w:ascii="Times New Roman" w:hAnsi="Times New Roman" w:cs="Times New Roman"/>
          <w:color w:val="000000" w:themeColor="text1"/>
          <w:sz w:val="24"/>
          <w:szCs w:val="24"/>
          <w:highlight w:val="yellow"/>
        </w:rPr>
      </w:pPr>
    </w:p>
    <w:p w14:paraId="5C37F81A" w14:textId="04044F5C" w:rsidR="006B1FB2" w:rsidRPr="00191ACB" w:rsidRDefault="006B1FB2"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Table </w:t>
      </w:r>
      <w:r w:rsidR="00522293" w:rsidRPr="00191ACB">
        <w:rPr>
          <w:rFonts w:ascii="Times New Roman" w:hAnsi="Times New Roman" w:cs="Times New Roman"/>
          <w:color w:val="000000" w:themeColor="text1"/>
          <w:sz w:val="24"/>
          <w:szCs w:val="24"/>
        </w:rPr>
        <w:t>3.4</w:t>
      </w:r>
      <w:r w:rsidRPr="00191ACB">
        <w:rPr>
          <w:rFonts w:ascii="Times New Roman" w:hAnsi="Times New Roman" w:cs="Times New Roman"/>
          <w:color w:val="000000" w:themeColor="text1"/>
          <w:sz w:val="24"/>
          <w:szCs w:val="24"/>
        </w:rPr>
        <w:t xml:space="preserve"> </w:t>
      </w:r>
      <w:r w:rsidR="00FB0C05" w:rsidRPr="00191ACB">
        <w:rPr>
          <w:rFonts w:ascii="Times New Roman" w:hAnsi="Times New Roman" w:cs="Times New Roman"/>
          <w:color w:val="000000" w:themeColor="text1"/>
          <w:sz w:val="24"/>
          <w:szCs w:val="24"/>
        </w:rPr>
        <w:t>provides</w:t>
      </w:r>
      <w:r w:rsidRPr="00191ACB">
        <w:rPr>
          <w:rFonts w:ascii="Times New Roman" w:hAnsi="Times New Roman" w:cs="Times New Roman"/>
          <w:color w:val="000000" w:themeColor="text1"/>
          <w:sz w:val="24"/>
          <w:szCs w:val="24"/>
        </w:rPr>
        <w:t xml:space="preserve"> </w:t>
      </w:r>
      <w:r w:rsidR="00FB0C05" w:rsidRPr="00191ACB">
        <w:rPr>
          <w:rFonts w:ascii="Times New Roman" w:hAnsi="Times New Roman" w:cs="Times New Roman"/>
          <w:color w:val="000000" w:themeColor="text1"/>
          <w:sz w:val="24"/>
          <w:szCs w:val="24"/>
        </w:rPr>
        <w:t xml:space="preserve">a </w:t>
      </w:r>
      <w:r w:rsidRPr="00191ACB">
        <w:rPr>
          <w:rFonts w:ascii="Times New Roman" w:hAnsi="Times New Roman" w:cs="Times New Roman"/>
          <w:color w:val="000000" w:themeColor="text1"/>
          <w:sz w:val="24"/>
          <w:szCs w:val="24"/>
        </w:rPr>
        <w:t xml:space="preserve">detailed summary of emissions from 1994 to 2016. </w:t>
      </w:r>
      <w:r w:rsidR="00FB0C05" w:rsidRPr="00191ACB">
        <w:rPr>
          <w:rFonts w:ascii="Times New Roman" w:hAnsi="Times New Roman" w:cs="Times New Roman"/>
          <w:color w:val="000000" w:themeColor="text1"/>
          <w:sz w:val="24"/>
          <w:szCs w:val="24"/>
        </w:rPr>
        <w:t>Perfluorocarbons (</w:t>
      </w:r>
      <w:r w:rsidRPr="00191ACB">
        <w:rPr>
          <w:rFonts w:ascii="Times New Roman" w:hAnsi="Times New Roman" w:cs="Times New Roman"/>
          <w:color w:val="000000" w:themeColor="text1"/>
          <w:sz w:val="24"/>
          <w:szCs w:val="24"/>
        </w:rPr>
        <w:t>PFC</w:t>
      </w:r>
      <w:r w:rsidR="00FB0C05"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were not estimated during this inventory due to lack of activity data.</w:t>
      </w:r>
    </w:p>
    <w:p w14:paraId="20745358" w14:textId="20FCE4B4" w:rsidR="00AA1A3F" w:rsidRPr="00191ACB" w:rsidRDefault="005E05C0"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w:t>
      </w:r>
      <w:r w:rsidR="00AA1A3F" w:rsidRPr="00191ACB">
        <w:rPr>
          <w:rFonts w:ascii="Times New Roman" w:hAnsi="Times New Roman" w:cs="Times New Roman"/>
          <w:color w:val="000000" w:themeColor="text1"/>
          <w:sz w:val="24"/>
          <w:szCs w:val="24"/>
        </w:rPr>
        <w:t>summary Reporting Table for 201</w:t>
      </w:r>
      <w:r w:rsidR="001457FC" w:rsidRPr="00191ACB">
        <w:rPr>
          <w:rFonts w:ascii="Times New Roman" w:hAnsi="Times New Roman" w:cs="Times New Roman"/>
          <w:color w:val="000000" w:themeColor="text1"/>
          <w:sz w:val="24"/>
          <w:szCs w:val="24"/>
        </w:rPr>
        <w:t>6</w:t>
      </w:r>
      <w:r w:rsidR="00AA1A3F"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 xml:space="preserve">is provided in Table </w:t>
      </w:r>
      <w:r w:rsidR="00522293" w:rsidRPr="00191ACB">
        <w:rPr>
          <w:rFonts w:ascii="Times New Roman" w:hAnsi="Times New Roman" w:cs="Times New Roman"/>
          <w:color w:val="000000" w:themeColor="text1"/>
          <w:sz w:val="24"/>
          <w:szCs w:val="24"/>
        </w:rPr>
        <w:t>3.4</w:t>
      </w:r>
      <w:r w:rsidRPr="00191ACB">
        <w:rPr>
          <w:rFonts w:ascii="Times New Roman" w:hAnsi="Times New Roman" w:cs="Times New Roman"/>
          <w:color w:val="000000" w:themeColor="text1"/>
          <w:sz w:val="24"/>
          <w:szCs w:val="24"/>
        </w:rPr>
        <w:t xml:space="preserve">. </w:t>
      </w:r>
      <w:r w:rsidR="00AA1A3F" w:rsidRPr="00191ACB">
        <w:rPr>
          <w:rFonts w:ascii="Times New Roman" w:hAnsi="Times New Roman" w:cs="Times New Roman"/>
          <w:color w:val="000000" w:themeColor="text1"/>
          <w:sz w:val="24"/>
          <w:szCs w:val="24"/>
        </w:rPr>
        <w:t>C</w:t>
      </w:r>
      <w:r w:rsidRPr="00191ACB">
        <w:rPr>
          <w:rFonts w:ascii="Times New Roman" w:hAnsi="Times New Roman" w:cs="Times New Roman"/>
          <w:color w:val="000000" w:themeColor="text1"/>
          <w:sz w:val="24"/>
          <w:szCs w:val="24"/>
        </w:rPr>
        <w:t>arbon Dioxide</w:t>
      </w:r>
      <w:r w:rsidR="00AA1A3F" w:rsidRPr="00191ACB">
        <w:rPr>
          <w:rFonts w:ascii="Times New Roman" w:hAnsi="Times New Roman" w:cs="Times New Roman"/>
          <w:color w:val="000000" w:themeColor="text1"/>
          <w:sz w:val="24"/>
          <w:szCs w:val="24"/>
        </w:rPr>
        <w:t xml:space="preserve"> emissions from surface mines w</w:t>
      </w:r>
      <w:r w:rsidR="003F6FD1" w:rsidRPr="00191ACB">
        <w:rPr>
          <w:rFonts w:ascii="Times New Roman" w:hAnsi="Times New Roman" w:cs="Times New Roman"/>
          <w:color w:val="000000" w:themeColor="text1"/>
          <w:sz w:val="24"/>
          <w:szCs w:val="24"/>
        </w:rPr>
        <w:t>ere</w:t>
      </w:r>
      <w:r w:rsidR="00AA1A3F" w:rsidRPr="00191ACB">
        <w:rPr>
          <w:rFonts w:ascii="Times New Roman" w:hAnsi="Times New Roman" w:cs="Times New Roman"/>
          <w:color w:val="000000" w:themeColor="text1"/>
          <w:sz w:val="24"/>
          <w:szCs w:val="24"/>
        </w:rPr>
        <w:t xml:space="preserve"> not estimated because oxidation of coal in the atmosphere to produce CO</w:t>
      </w:r>
      <w:r w:rsidR="00AA1A3F" w:rsidRPr="00191ACB">
        <w:rPr>
          <w:rFonts w:ascii="Times New Roman" w:hAnsi="Times New Roman" w:cs="Times New Roman"/>
          <w:color w:val="000000" w:themeColor="text1"/>
          <w:sz w:val="24"/>
          <w:szCs w:val="24"/>
          <w:vertAlign w:val="subscript"/>
        </w:rPr>
        <w:t>2</w:t>
      </w:r>
      <w:r w:rsidR="00AA1A3F" w:rsidRPr="00191ACB">
        <w:rPr>
          <w:rFonts w:ascii="Times New Roman" w:hAnsi="Times New Roman" w:cs="Times New Roman"/>
          <w:color w:val="000000" w:themeColor="text1"/>
          <w:sz w:val="24"/>
          <w:szCs w:val="24"/>
        </w:rPr>
        <w:t xml:space="preserve"> is known to occur at surface mines, but emissions from this </w:t>
      </w:r>
      <w:r w:rsidRPr="00191ACB">
        <w:rPr>
          <w:rFonts w:ascii="Times New Roman" w:hAnsi="Times New Roman" w:cs="Times New Roman"/>
          <w:color w:val="000000" w:themeColor="text1"/>
          <w:sz w:val="24"/>
          <w:szCs w:val="24"/>
        </w:rPr>
        <w:t>we</w:t>
      </w:r>
      <w:r w:rsidR="00AA1A3F" w:rsidRPr="00191ACB">
        <w:rPr>
          <w:rFonts w:ascii="Times New Roman" w:hAnsi="Times New Roman" w:cs="Times New Roman"/>
          <w:color w:val="000000" w:themeColor="text1"/>
          <w:sz w:val="24"/>
          <w:szCs w:val="24"/>
        </w:rPr>
        <w:t xml:space="preserve">re expected to be </w:t>
      </w:r>
      <w:r w:rsidRPr="00191ACB">
        <w:rPr>
          <w:rFonts w:ascii="Times New Roman" w:hAnsi="Times New Roman" w:cs="Times New Roman"/>
          <w:color w:val="000000" w:themeColor="text1"/>
          <w:sz w:val="24"/>
          <w:szCs w:val="24"/>
        </w:rPr>
        <w:t>in</w:t>
      </w:r>
      <w:r w:rsidR="00AA1A3F" w:rsidRPr="00191ACB">
        <w:rPr>
          <w:rFonts w:ascii="Times New Roman" w:hAnsi="Times New Roman" w:cs="Times New Roman"/>
          <w:color w:val="000000" w:themeColor="text1"/>
          <w:sz w:val="24"/>
          <w:szCs w:val="24"/>
        </w:rPr>
        <w:t>significant, taking into account the effects of rehabilitation of the waste dumps. Rehabilitation practices, which involve covering the dumps with topsoil and re-vegetation, act to reduce oxygen fluxes into the dump and hence reduce the rate of CO</w:t>
      </w:r>
      <w:r w:rsidR="00AA1A3F" w:rsidRPr="00191ACB">
        <w:rPr>
          <w:rFonts w:ascii="Times New Roman" w:hAnsi="Times New Roman" w:cs="Times New Roman"/>
          <w:color w:val="000000" w:themeColor="text1"/>
          <w:sz w:val="24"/>
          <w:szCs w:val="24"/>
          <w:vertAlign w:val="subscript"/>
        </w:rPr>
        <w:t>2</w:t>
      </w:r>
      <w:r w:rsidR="00AA1A3F" w:rsidRPr="00191ACB">
        <w:rPr>
          <w:rFonts w:ascii="Times New Roman" w:hAnsi="Times New Roman" w:cs="Times New Roman"/>
          <w:color w:val="000000" w:themeColor="text1"/>
          <w:sz w:val="24"/>
          <w:szCs w:val="24"/>
        </w:rPr>
        <w:t xml:space="preserve"> production (</w:t>
      </w:r>
      <w:r w:rsidRPr="00191ACB">
        <w:rPr>
          <w:rFonts w:ascii="Times New Roman" w:hAnsi="Times New Roman" w:cs="Times New Roman"/>
          <w:color w:val="000000" w:themeColor="text1"/>
          <w:sz w:val="24"/>
          <w:szCs w:val="24"/>
        </w:rPr>
        <w:t xml:space="preserve">2006 </w:t>
      </w:r>
      <w:r w:rsidR="00AA1A3F" w:rsidRPr="00191ACB">
        <w:rPr>
          <w:rFonts w:ascii="Times New Roman" w:hAnsi="Times New Roman" w:cs="Times New Roman"/>
          <w:color w:val="000000" w:themeColor="text1"/>
          <w:sz w:val="24"/>
          <w:szCs w:val="24"/>
        </w:rPr>
        <w:t>IPCC</w:t>
      </w:r>
      <w:r w:rsidRPr="00191ACB">
        <w:rPr>
          <w:rFonts w:ascii="Times New Roman" w:hAnsi="Times New Roman" w:cs="Times New Roman"/>
          <w:color w:val="000000" w:themeColor="text1"/>
          <w:sz w:val="24"/>
          <w:szCs w:val="24"/>
        </w:rPr>
        <w:t xml:space="preserve"> </w:t>
      </w:r>
      <w:r w:rsidR="00AA1A3F" w:rsidRPr="00191ACB">
        <w:rPr>
          <w:rFonts w:ascii="Times New Roman" w:hAnsi="Times New Roman" w:cs="Times New Roman"/>
          <w:color w:val="000000" w:themeColor="text1"/>
          <w:sz w:val="24"/>
          <w:szCs w:val="24"/>
        </w:rPr>
        <w:t xml:space="preserve">Guidelines). </w:t>
      </w:r>
      <w:r w:rsidRPr="00191ACB">
        <w:rPr>
          <w:rFonts w:ascii="Times New Roman" w:hAnsi="Times New Roman" w:cs="Times New Roman"/>
          <w:color w:val="000000" w:themeColor="text1"/>
          <w:sz w:val="24"/>
          <w:szCs w:val="24"/>
        </w:rPr>
        <w:t>Carbon Dioxide e</w:t>
      </w:r>
      <w:r w:rsidR="00AA1A3F" w:rsidRPr="00191ACB">
        <w:rPr>
          <w:rFonts w:ascii="Times New Roman" w:hAnsi="Times New Roman" w:cs="Times New Roman"/>
          <w:color w:val="000000" w:themeColor="text1"/>
          <w:sz w:val="24"/>
          <w:szCs w:val="24"/>
        </w:rPr>
        <w:t>missions from Lead and Zinc production for 1994</w:t>
      </w:r>
      <w:r w:rsidR="003F6FD1" w:rsidRPr="00191ACB">
        <w:rPr>
          <w:rFonts w:ascii="Times New Roman" w:hAnsi="Times New Roman" w:cs="Times New Roman"/>
          <w:color w:val="000000" w:themeColor="text1"/>
          <w:sz w:val="24"/>
          <w:szCs w:val="24"/>
        </w:rPr>
        <w:t>, 2000, 2005 and 2010</w:t>
      </w:r>
      <w:r w:rsidR="00AA1A3F" w:rsidRPr="00191ACB">
        <w:rPr>
          <w:rFonts w:ascii="Times New Roman" w:hAnsi="Times New Roman" w:cs="Times New Roman"/>
          <w:color w:val="000000" w:themeColor="text1"/>
          <w:sz w:val="24"/>
          <w:szCs w:val="24"/>
        </w:rPr>
        <w:t xml:space="preserve"> was not estimated due to lack of data. However, production of these metals was not occurring for the </w:t>
      </w:r>
      <w:r w:rsidR="003F6FD1" w:rsidRPr="00191ACB">
        <w:rPr>
          <w:rFonts w:ascii="Times New Roman" w:hAnsi="Times New Roman" w:cs="Times New Roman"/>
          <w:color w:val="000000" w:themeColor="text1"/>
          <w:sz w:val="24"/>
          <w:szCs w:val="24"/>
        </w:rPr>
        <w:t>reporting period (2011-2016)</w:t>
      </w:r>
      <w:r w:rsidR="00AA1A3F" w:rsidRPr="00191ACB">
        <w:rPr>
          <w:rFonts w:ascii="Times New Roman" w:hAnsi="Times New Roman" w:cs="Times New Roman"/>
          <w:color w:val="000000" w:themeColor="text1"/>
          <w:sz w:val="24"/>
          <w:szCs w:val="24"/>
        </w:rPr>
        <w:t>. Methane emissions from steel production was not estimated because although CH</w:t>
      </w:r>
      <w:r w:rsidR="00AA1A3F" w:rsidRPr="00191ACB">
        <w:rPr>
          <w:rFonts w:ascii="Times New Roman" w:hAnsi="Times New Roman" w:cs="Times New Roman"/>
          <w:color w:val="000000" w:themeColor="text1"/>
          <w:sz w:val="24"/>
          <w:szCs w:val="24"/>
          <w:vertAlign w:val="subscript"/>
        </w:rPr>
        <w:t>4</w:t>
      </w:r>
      <w:r w:rsidR="00AA1A3F" w:rsidRPr="00191ACB">
        <w:rPr>
          <w:rFonts w:ascii="Times New Roman" w:hAnsi="Times New Roman" w:cs="Times New Roman"/>
          <w:color w:val="000000" w:themeColor="text1"/>
          <w:sz w:val="24"/>
          <w:szCs w:val="24"/>
        </w:rPr>
        <w:t xml:space="preserve"> may be emitted from steel–making processes, those emissions are assumed to be negligible.</w:t>
      </w:r>
    </w:p>
    <w:p w14:paraId="115A609E" w14:textId="77777777" w:rsidR="00420FDE" w:rsidRPr="00191ACB" w:rsidRDefault="00420FDE" w:rsidP="001761DF">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There following were not estimated due to lack of data:</w:t>
      </w:r>
    </w:p>
    <w:p w14:paraId="372E7A82" w14:textId="0F4E5BD7" w:rsidR="00420FDE" w:rsidRPr="001761DF" w:rsidRDefault="00AA1A3F" w:rsidP="001761DF">
      <w:pPr>
        <w:spacing w:after="120" w:line="276" w:lineRule="auto"/>
        <w:jc w:val="both"/>
        <w:rPr>
          <w:rFonts w:ascii="Times New Roman" w:hAnsi="Times New Roman" w:cs="Times New Roman"/>
          <w:color w:val="000000" w:themeColor="text1"/>
          <w:sz w:val="24"/>
          <w:szCs w:val="24"/>
        </w:rPr>
      </w:pPr>
      <w:r w:rsidRPr="001761DF">
        <w:rPr>
          <w:rFonts w:ascii="Times New Roman" w:hAnsi="Times New Roman" w:cs="Times New Roman"/>
          <w:color w:val="000000" w:themeColor="text1"/>
          <w:sz w:val="24"/>
          <w:szCs w:val="24"/>
        </w:rPr>
        <w:t>Carbon dioxide emissions from Lubricant Use for the years 1994 and 2005</w:t>
      </w:r>
      <w:r w:rsidR="00420FDE" w:rsidRPr="001761DF">
        <w:rPr>
          <w:rFonts w:ascii="Times New Roman" w:hAnsi="Times New Roman" w:cs="Times New Roman"/>
          <w:color w:val="000000" w:themeColor="text1"/>
          <w:sz w:val="24"/>
          <w:szCs w:val="24"/>
        </w:rPr>
        <w:t>;</w:t>
      </w:r>
    </w:p>
    <w:p w14:paraId="155AD44E" w14:textId="6A134064" w:rsidR="00420FDE" w:rsidRPr="001761DF" w:rsidRDefault="00AA1A3F" w:rsidP="001761DF">
      <w:pPr>
        <w:spacing w:after="120" w:line="276" w:lineRule="auto"/>
        <w:jc w:val="both"/>
        <w:rPr>
          <w:rFonts w:ascii="Times New Roman" w:hAnsi="Times New Roman" w:cs="Times New Roman"/>
          <w:color w:val="000000" w:themeColor="text1"/>
          <w:sz w:val="24"/>
          <w:szCs w:val="24"/>
        </w:rPr>
      </w:pPr>
      <w:r w:rsidRPr="001761DF">
        <w:rPr>
          <w:rFonts w:ascii="Times New Roman" w:hAnsi="Times New Roman" w:cs="Times New Roman"/>
          <w:color w:val="000000" w:themeColor="text1"/>
          <w:sz w:val="24"/>
          <w:szCs w:val="24"/>
        </w:rPr>
        <w:lastRenderedPageBreak/>
        <w:t>C</w:t>
      </w:r>
      <w:r w:rsidR="00420FDE" w:rsidRPr="001761DF">
        <w:rPr>
          <w:rFonts w:ascii="Times New Roman" w:hAnsi="Times New Roman" w:cs="Times New Roman"/>
          <w:color w:val="000000" w:themeColor="text1"/>
          <w:sz w:val="24"/>
          <w:szCs w:val="24"/>
        </w:rPr>
        <w:t xml:space="preserve">arbon dioxide </w:t>
      </w:r>
      <w:r w:rsidRPr="001761DF">
        <w:rPr>
          <w:rFonts w:ascii="Times New Roman" w:hAnsi="Times New Roman" w:cs="Times New Roman"/>
          <w:color w:val="000000" w:themeColor="text1"/>
          <w:sz w:val="24"/>
          <w:szCs w:val="24"/>
        </w:rPr>
        <w:t>emissions</w:t>
      </w:r>
      <w:r w:rsidR="00420FDE" w:rsidRPr="001761DF">
        <w:rPr>
          <w:rFonts w:ascii="Times New Roman" w:hAnsi="Times New Roman" w:cs="Times New Roman"/>
          <w:color w:val="000000" w:themeColor="text1"/>
          <w:sz w:val="24"/>
          <w:szCs w:val="24"/>
        </w:rPr>
        <w:t xml:space="preserve"> in Paraffin Wax Use</w:t>
      </w:r>
      <w:r w:rsidRPr="001761DF">
        <w:rPr>
          <w:rFonts w:ascii="Times New Roman" w:hAnsi="Times New Roman" w:cs="Times New Roman"/>
          <w:color w:val="000000" w:themeColor="text1"/>
          <w:sz w:val="24"/>
          <w:szCs w:val="24"/>
        </w:rPr>
        <w:t xml:space="preserve"> across all the years</w:t>
      </w:r>
      <w:r w:rsidR="00420FDE" w:rsidRPr="001761DF">
        <w:rPr>
          <w:rFonts w:ascii="Times New Roman" w:hAnsi="Times New Roman" w:cs="Times New Roman"/>
          <w:color w:val="000000" w:themeColor="text1"/>
          <w:sz w:val="24"/>
          <w:szCs w:val="24"/>
        </w:rPr>
        <w:t>;</w:t>
      </w:r>
      <w:r w:rsidRPr="001761DF">
        <w:rPr>
          <w:rFonts w:ascii="Times New Roman" w:hAnsi="Times New Roman" w:cs="Times New Roman"/>
          <w:color w:val="000000" w:themeColor="text1"/>
          <w:sz w:val="24"/>
          <w:szCs w:val="24"/>
        </w:rPr>
        <w:t xml:space="preserve"> </w:t>
      </w:r>
    </w:p>
    <w:p w14:paraId="0F271867" w14:textId="58733D36" w:rsidR="00420FDE" w:rsidRPr="001761DF" w:rsidRDefault="00AA1A3F" w:rsidP="001761DF">
      <w:pPr>
        <w:spacing w:after="120" w:line="276" w:lineRule="auto"/>
        <w:jc w:val="both"/>
        <w:rPr>
          <w:rFonts w:ascii="Times New Roman" w:hAnsi="Times New Roman" w:cs="Times New Roman"/>
          <w:color w:val="000000" w:themeColor="text1"/>
          <w:sz w:val="24"/>
          <w:szCs w:val="24"/>
        </w:rPr>
      </w:pPr>
      <w:r w:rsidRPr="001761DF">
        <w:rPr>
          <w:rFonts w:ascii="Times New Roman" w:hAnsi="Times New Roman" w:cs="Times New Roman"/>
          <w:color w:val="000000" w:themeColor="text1"/>
          <w:sz w:val="24"/>
          <w:szCs w:val="24"/>
        </w:rPr>
        <w:t>Emissions of HCF from Foam Blowing Agents, Fire Protection, Aerosols and Solvents</w:t>
      </w:r>
      <w:r w:rsidR="00420FDE" w:rsidRPr="001761DF">
        <w:rPr>
          <w:rFonts w:ascii="Times New Roman" w:hAnsi="Times New Roman" w:cs="Times New Roman"/>
          <w:color w:val="000000" w:themeColor="text1"/>
          <w:sz w:val="24"/>
          <w:szCs w:val="24"/>
        </w:rPr>
        <w:t xml:space="preserve"> across all the years;</w:t>
      </w:r>
    </w:p>
    <w:p w14:paraId="70157214" w14:textId="0DFC3887" w:rsidR="00420FDE" w:rsidRPr="001761DF" w:rsidRDefault="00AA1A3F" w:rsidP="001761DF">
      <w:pPr>
        <w:spacing w:after="120" w:line="276" w:lineRule="auto"/>
        <w:jc w:val="both"/>
        <w:rPr>
          <w:rFonts w:ascii="Times New Roman" w:hAnsi="Times New Roman" w:cs="Times New Roman"/>
          <w:color w:val="000000" w:themeColor="text1"/>
          <w:sz w:val="24"/>
          <w:szCs w:val="24"/>
        </w:rPr>
      </w:pPr>
      <w:r w:rsidRPr="001761DF">
        <w:rPr>
          <w:rFonts w:ascii="Times New Roman" w:hAnsi="Times New Roman" w:cs="Times New Roman"/>
          <w:color w:val="000000" w:themeColor="text1"/>
          <w:sz w:val="24"/>
          <w:szCs w:val="24"/>
        </w:rPr>
        <w:t>Evaporative emissions of nitrous oxide (N2O) from Medical applications (anaesthetic use, analgesic use and veterinary use)</w:t>
      </w:r>
      <w:r w:rsidR="00420FDE" w:rsidRPr="001761DF">
        <w:rPr>
          <w:rFonts w:ascii="Times New Roman" w:hAnsi="Times New Roman" w:cs="Times New Roman"/>
          <w:color w:val="000000" w:themeColor="text1"/>
          <w:sz w:val="24"/>
          <w:szCs w:val="24"/>
        </w:rPr>
        <w:t xml:space="preserve"> across the years;</w:t>
      </w:r>
      <w:r w:rsidRPr="001761DF">
        <w:rPr>
          <w:rFonts w:ascii="Times New Roman" w:hAnsi="Times New Roman" w:cs="Times New Roman"/>
          <w:color w:val="000000" w:themeColor="text1"/>
          <w:sz w:val="24"/>
          <w:szCs w:val="24"/>
        </w:rPr>
        <w:t xml:space="preserve"> </w:t>
      </w:r>
    </w:p>
    <w:p w14:paraId="207FA8AE" w14:textId="4732D367" w:rsidR="00420FDE" w:rsidRPr="001761DF" w:rsidRDefault="00AA1A3F" w:rsidP="001761DF">
      <w:pPr>
        <w:spacing w:after="120" w:line="276" w:lineRule="auto"/>
        <w:jc w:val="both"/>
        <w:rPr>
          <w:rFonts w:ascii="Times New Roman" w:hAnsi="Times New Roman" w:cs="Times New Roman"/>
          <w:color w:val="000000" w:themeColor="text1"/>
          <w:sz w:val="24"/>
          <w:szCs w:val="24"/>
        </w:rPr>
      </w:pPr>
      <w:r w:rsidRPr="001761DF">
        <w:rPr>
          <w:rFonts w:ascii="Times New Roman" w:hAnsi="Times New Roman" w:cs="Times New Roman"/>
          <w:color w:val="000000" w:themeColor="text1"/>
          <w:sz w:val="24"/>
          <w:szCs w:val="24"/>
        </w:rPr>
        <w:t>Nitrous oxide emissions produced, directly and indirectly, during the storage and treatment of manure before it is applied to land or otherwise used for feed, fuel, or construction purpose</w:t>
      </w:r>
      <w:r w:rsidR="00420FDE" w:rsidRPr="001761DF">
        <w:rPr>
          <w:rFonts w:ascii="Times New Roman" w:hAnsi="Times New Roman" w:cs="Times New Roman"/>
          <w:color w:val="000000" w:themeColor="text1"/>
          <w:sz w:val="24"/>
          <w:szCs w:val="24"/>
        </w:rPr>
        <w:t>; and</w:t>
      </w:r>
    </w:p>
    <w:p w14:paraId="6957AA63" w14:textId="678958E1" w:rsidR="00AA1A3F" w:rsidRPr="001761DF" w:rsidRDefault="00AA1A3F" w:rsidP="001761DF">
      <w:pPr>
        <w:spacing w:after="120" w:line="276" w:lineRule="auto"/>
        <w:jc w:val="both"/>
        <w:rPr>
          <w:rFonts w:ascii="Times New Roman" w:hAnsi="Times New Roman" w:cs="Times New Roman"/>
          <w:color w:val="000000" w:themeColor="text1"/>
          <w:sz w:val="24"/>
          <w:szCs w:val="24"/>
        </w:rPr>
      </w:pPr>
      <w:r w:rsidRPr="001761DF">
        <w:rPr>
          <w:rFonts w:ascii="Times New Roman" w:hAnsi="Times New Roman" w:cs="Times New Roman"/>
          <w:color w:val="000000" w:themeColor="text1"/>
          <w:sz w:val="24"/>
          <w:szCs w:val="24"/>
        </w:rPr>
        <w:t>Emissions from Liming of soils</w:t>
      </w:r>
      <w:r w:rsidR="001D312B" w:rsidRPr="001761DF">
        <w:rPr>
          <w:rFonts w:ascii="Times New Roman" w:hAnsi="Times New Roman" w:cs="Times New Roman"/>
          <w:color w:val="000000" w:themeColor="text1"/>
          <w:sz w:val="24"/>
          <w:szCs w:val="24"/>
        </w:rPr>
        <w:t xml:space="preserve"> for 1994. 2000, 2005 and 2010</w:t>
      </w:r>
      <w:r w:rsidRPr="001761DF">
        <w:rPr>
          <w:rFonts w:ascii="Times New Roman" w:hAnsi="Times New Roman" w:cs="Times New Roman"/>
          <w:color w:val="000000" w:themeColor="text1"/>
          <w:sz w:val="24"/>
          <w:szCs w:val="24"/>
        </w:rPr>
        <w:t xml:space="preserve">. </w:t>
      </w:r>
    </w:p>
    <w:p w14:paraId="4E90AF9A" w14:textId="77777777" w:rsidR="00A73946" w:rsidRPr="00191ACB" w:rsidRDefault="00A73946" w:rsidP="006B1FB2">
      <w:pPr>
        <w:jc w:val="both"/>
        <w:rPr>
          <w:rFonts w:ascii="Times New Roman" w:hAnsi="Times New Roman" w:cs="Times New Roman"/>
          <w:color w:val="000000" w:themeColor="text1"/>
          <w:sz w:val="24"/>
          <w:szCs w:val="24"/>
        </w:rPr>
        <w:sectPr w:rsidR="00A73946" w:rsidRPr="00191ACB" w:rsidSect="002E579E">
          <w:pgSz w:w="12240" w:h="15840"/>
          <w:pgMar w:top="1009" w:right="1440" w:bottom="1009" w:left="1009" w:header="720" w:footer="720" w:gutter="0"/>
          <w:cols w:space="720"/>
          <w:docGrid w:linePitch="299"/>
        </w:sectPr>
      </w:pPr>
    </w:p>
    <w:p w14:paraId="2E320176" w14:textId="1609A8FF" w:rsidR="006B1FB2" w:rsidRPr="00191ACB" w:rsidRDefault="00F37A8D" w:rsidP="00F37A8D">
      <w:pPr>
        <w:pStyle w:val="Caption"/>
        <w:rPr>
          <w:color w:val="000000" w:themeColor="text1"/>
          <w:sz w:val="24"/>
          <w:szCs w:val="24"/>
        </w:rPr>
      </w:pPr>
      <w:bookmarkStart w:id="105" w:name="_Toc56583765"/>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w:t>
      </w:r>
      <w:r w:rsidR="00875942">
        <w:rPr>
          <w:sz w:val="24"/>
          <w:szCs w:val="24"/>
        </w:rPr>
        <w:fldChar w:fldCharType="end"/>
      </w:r>
      <w:r w:rsidRPr="00191ACB">
        <w:rPr>
          <w:sz w:val="24"/>
          <w:szCs w:val="24"/>
        </w:rPr>
        <w:t>:Detailed Summary of emissions</w:t>
      </w:r>
      <w:bookmarkEnd w:id="105"/>
    </w:p>
    <w:tbl>
      <w:tblPr>
        <w:tblW w:w="13660" w:type="dxa"/>
        <w:tblInd w:w="-10" w:type="dxa"/>
        <w:tblLook w:val="04A0" w:firstRow="1" w:lastRow="0" w:firstColumn="1" w:lastColumn="0" w:noHBand="0" w:noVBand="1"/>
      </w:tblPr>
      <w:tblGrid>
        <w:gridCol w:w="4115"/>
        <w:gridCol w:w="969"/>
        <w:gridCol w:w="969"/>
        <w:gridCol w:w="969"/>
        <w:gridCol w:w="970"/>
        <w:gridCol w:w="970"/>
        <w:gridCol w:w="970"/>
        <w:gridCol w:w="970"/>
        <w:gridCol w:w="970"/>
        <w:gridCol w:w="970"/>
        <w:gridCol w:w="970"/>
      </w:tblGrid>
      <w:tr w:rsidR="006B1FB2" w:rsidRPr="00191ACB" w14:paraId="3298BD97" w14:textId="77777777" w:rsidTr="00BE0D7C">
        <w:trPr>
          <w:trHeight w:val="300"/>
          <w:tblHeader/>
        </w:trPr>
        <w:tc>
          <w:tcPr>
            <w:tcW w:w="425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6ED3C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767" w:type="dxa"/>
            <w:tcBorders>
              <w:top w:val="single" w:sz="8" w:space="0" w:color="auto"/>
              <w:left w:val="nil"/>
              <w:bottom w:val="single" w:sz="8" w:space="0" w:color="auto"/>
              <w:right w:val="single" w:sz="8" w:space="0" w:color="auto"/>
            </w:tcBorders>
            <w:shd w:val="clear" w:color="auto" w:fill="auto"/>
            <w:noWrap/>
            <w:vAlign w:val="center"/>
            <w:hideMark/>
          </w:tcPr>
          <w:p w14:paraId="69C0215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1994</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0ACBAD1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2000</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42BD3FA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2005</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7140994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564512E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2011</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32F4221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2012</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5ACC4F8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2013</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6B12D37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2014</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4C4760A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69530FF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2016</w:t>
            </w:r>
          </w:p>
        </w:tc>
      </w:tr>
      <w:tr w:rsidR="006B1FB2" w:rsidRPr="00191ACB" w14:paraId="6CCD6449"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noWrap/>
            <w:vAlign w:val="center"/>
            <w:hideMark/>
          </w:tcPr>
          <w:p w14:paraId="28AE268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Total National Emissions and Removals </w:t>
            </w:r>
          </w:p>
        </w:tc>
        <w:tc>
          <w:tcPr>
            <w:tcW w:w="767" w:type="dxa"/>
            <w:tcBorders>
              <w:top w:val="nil"/>
              <w:left w:val="nil"/>
              <w:bottom w:val="single" w:sz="8" w:space="0" w:color="auto"/>
              <w:right w:val="single" w:sz="8" w:space="0" w:color="auto"/>
            </w:tcBorders>
            <w:shd w:val="clear" w:color="auto" w:fill="auto"/>
            <w:noWrap/>
            <w:vAlign w:val="center"/>
            <w:hideMark/>
          </w:tcPr>
          <w:p w14:paraId="3C0970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-57124</w:t>
            </w:r>
          </w:p>
        </w:tc>
        <w:tc>
          <w:tcPr>
            <w:tcW w:w="960" w:type="dxa"/>
            <w:tcBorders>
              <w:top w:val="nil"/>
              <w:left w:val="nil"/>
              <w:bottom w:val="single" w:sz="8" w:space="0" w:color="auto"/>
              <w:right w:val="single" w:sz="8" w:space="0" w:color="auto"/>
            </w:tcBorders>
            <w:shd w:val="clear" w:color="auto" w:fill="auto"/>
            <w:noWrap/>
            <w:vAlign w:val="center"/>
            <w:hideMark/>
          </w:tcPr>
          <w:p w14:paraId="512AB57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-39005.5</w:t>
            </w:r>
          </w:p>
        </w:tc>
        <w:tc>
          <w:tcPr>
            <w:tcW w:w="960" w:type="dxa"/>
            <w:tcBorders>
              <w:top w:val="nil"/>
              <w:left w:val="nil"/>
              <w:bottom w:val="single" w:sz="8" w:space="0" w:color="auto"/>
              <w:right w:val="single" w:sz="8" w:space="0" w:color="auto"/>
            </w:tcBorders>
            <w:shd w:val="clear" w:color="auto" w:fill="auto"/>
            <w:noWrap/>
            <w:vAlign w:val="center"/>
            <w:hideMark/>
          </w:tcPr>
          <w:p w14:paraId="6E80E5C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-31292</w:t>
            </w:r>
          </w:p>
        </w:tc>
        <w:tc>
          <w:tcPr>
            <w:tcW w:w="960" w:type="dxa"/>
            <w:tcBorders>
              <w:top w:val="nil"/>
              <w:left w:val="nil"/>
              <w:bottom w:val="single" w:sz="8" w:space="0" w:color="auto"/>
              <w:right w:val="single" w:sz="8" w:space="0" w:color="auto"/>
            </w:tcBorders>
            <w:shd w:val="clear" w:color="auto" w:fill="auto"/>
            <w:noWrap/>
            <w:vAlign w:val="center"/>
            <w:hideMark/>
          </w:tcPr>
          <w:p w14:paraId="61FC090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-16815.2</w:t>
            </w:r>
          </w:p>
        </w:tc>
        <w:tc>
          <w:tcPr>
            <w:tcW w:w="960" w:type="dxa"/>
            <w:tcBorders>
              <w:top w:val="nil"/>
              <w:left w:val="nil"/>
              <w:bottom w:val="single" w:sz="8" w:space="0" w:color="auto"/>
              <w:right w:val="single" w:sz="8" w:space="0" w:color="auto"/>
            </w:tcBorders>
            <w:shd w:val="clear" w:color="auto" w:fill="auto"/>
            <w:noWrap/>
            <w:vAlign w:val="center"/>
            <w:hideMark/>
          </w:tcPr>
          <w:p w14:paraId="1CF3A75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-19559.5</w:t>
            </w:r>
          </w:p>
        </w:tc>
        <w:tc>
          <w:tcPr>
            <w:tcW w:w="960" w:type="dxa"/>
            <w:tcBorders>
              <w:top w:val="nil"/>
              <w:left w:val="nil"/>
              <w:bottom w:val="single" w:sz="8" w:space="0" w:color="auto"/>
              <w:right w:val="single" w:sz="8" w:space="0" w:color="auto"/>
            </w:tcBorders>
            <w:shd w:val="clear" w:color="auto" w:fill="auto"/>
            <w:noWrap/>
            <w:vAlign w:val="center"/>
            <w:hideMark/>
          </w:tcPr>
          <w:p w14:paraId="4A668A5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-15245.4</w:t>
            </w:r>
          </w:p>
        </w:tc>
        <w:tc>
          <w:tcPr>
            <w:tcW w:w="960" w:type="dxa"/>
            <w:tcBorders>
              <w:top w:val="nil"/>
              <w:left w:val="nil"/>
              <w:bottom w:val="single" w:sz="8" w:space="0" w:color="auto"/>
              <w:right w:val="single" w:sz="8" w:space="0" w:color="auto"/>
            </w:tcBorders>
            <w:shd w:val="clear" w:color="auto" w:fill="auto"/>
            <w:noWrap/>
            <w:vAlign w:val="center"/>
            <w:hideMark/>
          </w:tcPr>
          <w:p w14:paraId="5AD71D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-12946.7</w:t>
            </w:r>
          </w:p>
        </w:tc>
        <w:tc>
          <w:tcPr>
            <w:tcW w:w="960" w:type="dxa"/>
            <w:tcBorders>
              <w:top w:val="nil"/>
              <w:left w:val="nil"/>
              <w:bottom w:val="single" w:sz="8" w:space="0" w:color="auto"/>
              <w:right w:val="single" w:sz="8" w:space="0" w:color="auto"/>
            </w:tcBorders>
            <w:shd w:val="clear" w:color="auto" w:fill="auto"/>
            <w:noWrap/>
            <w:vAlign w:val="center"/>
            <w:hideMark/>
          </w:tcPr>
          <w:p w14:paraId="09A5D3E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-11588.2</w:t>
            </w:r>
          </w:p>
        </w:tc>
        <w:tc>
          <w:tcPr>
            <w:tcW w:w="960" w:type="dxa"/>
            <w:tcBorders>
              <w:top w:val="nil"/>
              <w:left w:val="nil"/>
              <w:bottom w:val="single" w:sz="8" w:space="0" w:color="auto"/>
              <w:right w:val="single" w:sz="8" w:space="0" w:color="auto"/>
            </w:tcBorders>
            <w:shd w:val="clear" w:color="auto" w:fill="auto"/>
            <w:noWrap/>
            <w:vAlign w:val="center"/>
            <w:hideMark/>
          </w:tcPr>
          <w:p w14:paraId="39BEA40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-10006.1</w:t>
            </w:r>
          </w:p>
        </w:tc>
        <w:tc>
          <w:tcPr>
            <w:tcW w:w="960" w:type="dxa"/>
            <w:tcBorders>
              <w:top w:val="nil"/>
              <w:left w:val="nil"/>
              <w:bottom w:val="single" w:sz="8" w:space="0" w:color="auto"/>
              <w:right w:val="single" w:sz="8" w:space="0" w:color="auto"/>
            </w:tcBorders>
            <w:shd w:val="clear" w:color="auto" w:fill="auto"/>
            <w:noWrap/>
            <w:vAlign w:val="center"/>
            <w:hideMark/>
          </w:tcPr>
          <w:p w14:paraId="61A75D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-9508.5</w:t>
            </w:r>
          </w:p>
        </w:tc>
      </w:tr>
      <w:tr w:rsidR="006B1FB2" w:rsidRPr="00191ACB" w14:paraId="236EC23F" w14:textId="77777777" w:rsidTr="00BE0D7C">
        <w:trPr>
          <w:trHeight w:val="300"/>
        </w:trPr>
        <w:tc>
          <w:tcPr>
            <w:tcW w:w="4253" w:type="dxa"/>
            <w:tcBorders>
              <w:top w:val="nil"/>
              <w:left w:val="single" w:sz="8" w:space="0" w:color="auto"/>
              <w:bottom w:val="single" w:sz="8" w:space="0" w:color="auto"/>
              <w:right w:val="single" w:sz="8" w:space="0" w:color="auto"/>
            </w:tcBorders>
            <w:shd w:val="clear" w:color="000000" w:fill="9BC2E6"/>
            <w:vAlign w:val="center"/>
            <w:hideMark/>
          </w:tcPr>
          <w:p w14:paraId="1E8D3943"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1 - Energy </w:t>
            </w:r>
          </w:p>
        </w:tc>
        <w:tc>
          <w:tcPr>
            <w:tcW w:w="767" w:type="dxa"/>
            <w:tcBorders>
              <w:top w:val="nil"/>
              <w:left w:val="nil"/>
              <w:bottom w:val="single" w:sz="8" w:space="0" w:color="auto"/>
              <w:right w:val="single" w:sz="8" w:space="0" w:color="auto"/>
            </w:tcBorders>
            <w:shd w:val="clear" w:color="auto" w:fill="auto"/>
            <w:noWrap/>
            <w:vAlign w:val="center"/>
            <w:hideMark/>
          </w:tcPr>
          <w:p w14:paraId="2ADA72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2179.4</w:t>
            </w:r>
          </w:p>
        </w:tc>
        <w:tc>
          <w:tcPr>
            <w:tcW w:w="960" w:type="dxa"/>
            <w:tcBorders>
              <w:top w:val="nil"/>
              <w:left w:val="nil"/>
              <w:bottom w:val="single" w:sz="8" w:space="0" w:color="auto"/>
              <w:right w:val="single" w:sz="8" w:space="0" w:color="auto"/>
            </w:tcBorders>
            <w:shd w:val="clear" w:color="auto" w:fill="auto"/>
            <w:noWrap/>
            <w:vAlign w:val="center"/>
            <w:hideMark/>
          </w:tcPr>
          <w:p w14:paraId="19738D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1743.5</w:t>
            </w:r>
          </w:p>
        </w:tc>
        <w:tc>
          <w:tcPr>
            <w:tcW w:w="960" w:type="dxa"/>
            <w:tcBorders>
              <w:top w:val="nil"/>
              <w:left w:val="nil"/>
              <w:bottom w:val="single" w:sz="8" w:space="0" w:color="auto"/>
              <w:right w:val="single" w:sz="8" w:space="0" w:color="auto"/>
            </w:tcBorders>
            <w:shd w:val="clear" w:color="auto" w:fill="auto"/>
            <w:noWrap/>
            <w:vAlign w:val="center"/>
            <w:hideMark/>
          </w:tcPr>
          <w:p w14:paraId="010BFF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2158.9</w:t>
            </w:r>
          </w:p>
        </w:tc>
        <w:tc>
          <w:tcPr>
            <w:tcW w:w="960" w:type="dxa"/>
            <w:tcBorders>
              <w:top w:val="nil"/>
              <w:left w:val="nil"/>
              <w:bottom w:val="single" w:sz="8" w:space="0" w:color="auto"/>
              <w:right w:val="single" w:sz="8" w:space="0" w:color="auto"/>
            </w:tcBorders>
            <w:shd w:val="clear" w:color="auto" w:fill="auto"/>
            <w:noWrap/>
            <w:vAlign w:val="center"/>
            <w:hideMark/>
          </w:tcPr>
          <w:p w14:paraId="4467C1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3155.8</w:t>
            </w:r>
          </w:p>
        </w:tc>
        <w:tc>
          <w:tcPr>
            <w:tcW w:w="960" w:type="dxa"/>
            <w:tcBorders>
              <w:top w:val="nil"/>
              <w:left w:val="nil"/>
              <w:bottom w:val="single" w:sz="8" w:space="0" w:color="auto"/>
              <w:right w:val="single" w:sz="8" w:space="0" w:color="auto"/>
            </w:tcBorders>
            <w:shd w:val="clear" w:color="auto" w:fill="auto"/>
            <w:noWrap/>
            <w:vAlign w:val="center"/>
            <w:hideMark/>
          </w:tcPr>
          <w:p w14:paraId="5B7E225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3400.6</w:t>
            </w:r>
          </w:p>
        </w:tc>
        <w:tc>
          <w:tcPr>
            <w:tcW w:w="960" w:type="dxa"/>
            <w:tcBorders>
              <w:top w:val="nil"/>
              <w:left w:val="nil"/>
              <w:bottom w:val="single" w:sz="8" w:space="0" w:color="auto"/>
              <w:right w:val="single" w:sz="8" w:space="0" w:color="auto"/>
            </w:tcBorders>
            <w:shd w:val="clear" w:color="auto" w:fill="auto"/>
            <w:noWrap/>
            <w:vAlign w:val="center"/>
            <w:hideMark/>
          </w:tcPr>
          <w:p w14:paraId="10F7C7F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6796.9</w:t>
            </w:r>
          </w:p>
        </w:tc>
        <w:tc>
          <w:tcPr>
            <w:tcW w:w="960" w:type="dxa"/>
            <w:tcBorders>
              <w:top w:val="nil"/>
              <w:left w:val="nil"/>
              <w:bottom w:val="single" w:sz="8" w:space="0" w:color="auto"/>
              <w:right w:val="single" w:sz="8" w:space="0" w:color="auto"/>
            </w:tcBorders>
            <w:shd w:val="clear" w:color="auto" w:fill="auto"/>
            <w:noWrap/>
            <w:vAlign w:val="center"/>
            <w:hideMark/>
          </w:tcPr>
          <w:p w14:paraId="0CBEDAD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7752.3</w:t>
            </w:r>
          </w:p>
        </w:tc>
        <w:tc>
          <w:tcPr>
            <w:tcW w:w="960" w:type="dxa"/>
            <w:tcBorders>
              <w:top w:val="nil"/>
              <w:left w:val="nil"/>
              <w:bottom w:val="single" w:sz="8" w:space="0" w:color="auto"/>
              <w:right w:val="single" w:sz="8" w:space="0" w:color="auto"/>
            </w:tcBorders>
            <w:shd w:val="clear" w:color="auto" w:fill="auto"/>
            <w:noWrap/>
            <w:vAlign w:val="center"/>
            <w:hideMark/>
          </w:tcPr>
          <w:p w14:paraId="10DF60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7737.9</w:t>
            </w:r>
          </w:p>
        </w:tc>
        <w:tc>
          <w:tcPr>
            <w:tcW w:w="960" w:type="dxa"/>
            <w:tcBorders>
              <w:top w:val="nil"/>
              <w:left w:val="nil"/>
              <w:bottom w:val="single" w:sz="8" w:space="0" w:color="auto"/>
              <w:right w:val="single" w:sz="8" w:space="0" w:color="auto"/>
            </w:tcBorders>
            <w:shd w:val="clear" w:color="auto" w:fill="auto"/>
            <w:noWrap/>
            <w:vAlign w:val="center"/>
            <w:hideMark/>
          </w:tcPr>
          <w:p w14:paraId="649240E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7049.8</w:t>
            </w:r>
          </w:p>
        </w:tc>
        <w:tc>
          <w:tcPr>
            <w:tcW w:w="960" w:type="dxa"/>
            <w:tcBorders>
              <w:top w:val="nil"/>
              <w:left w:val="nil"/>
              <w:bottom w:val="single" w:sz="8" w:space="0" w:color="auto"/>
              <w:right w:val="single" w:sz="8" w:space="0" w:color="auto"/>
            </w:tcBorders>
            <w:shd w:val="clear" w:color="auto" w:fill="auto"/>
            <w:noWrap/>
            <w:vAlign w:val="center"/>
            <w:hideMark/>
          </w:tcPr>
          <w:p w14:paraId="59D0342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6443.7</w:t>
            </w:r>
          </w:p>
        </w:tc>
      </w:tr>
      <w:tr w:rsidR="006B1FB2" w:rsidRPr="00191ACB" w14:paraId="610D146B"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B1EB630"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 - Fuel Combustion Activities </w:t>
            </w:r>
          </w:p>
        </w:tc>
        <w:tc>
          <w:tcPr>
            <w:tcW w:w="767" w:type="dxa"/>
            <w:tcBorders>
              <w:top w:val="nil"/>
              <w:left w:val="nil"/>
              <w:bottom w:val="single" w:sz="8" w:space="0" w:color="auto"/>
              <w:right w:val="single" w:sz="8" w:space="0" w:color="auto"/>
            </w:tcBorders>
            <w:shd w:val="clear" w:color="auto" w:fill="auto"/>
            <w:noWrap/>
            <w:vAlign w:val="center"/>
            <w:hideMark/>
          </w:tcPr>
          <w:p w14:paraId="14403E5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2178.7</w:t>
            </w:r>
          </w:p>
        </w:tc>
        <w:tc>
          <w:tcPr>
            <w:tcW w:w="960" w:type="dxa"/>
            <w:tcBorders>
              <w:top w:val="nil"/>
              <w:left w:val="nil"/>
              <w:bottom w:val="single" w:sz="8" w:space="0" w:color="auto"/>
              <w:right w:val="single" w:sz="8" w:space="0" w:color="auto"/>
            </w:tcBorders>
            <w:shd w:val="clear" w:color="auto" w:fill="auto"/>
            <w:noWrap/>
            <w:vAlign w:val="center"/>
            <w:hideMark/>
          </w:tcPr>
          <w:p w14:paraId="7FA4161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1742.8</w:t>
            </w:r>
          </w:p>
        </w:tc>
        <w:tc>
          <w:tcPr>
            <w:tcW w:w="960" w:type="dxa"/>
            <w:tcBorders>
              <w:top w:val="nil"/>
              <w:left w:val="nil"/>
              <w:bottom w:val="single" w:sz="8" w:space="0" w:color="auto"/>
              <w:right w:val="single" w:sz="8" w:space="0" w:color="auto"/>
            </w:tcBorders>
            <w:shd w:val="clear" w:color="auto" w:fill="auto"/>
            <w:noWrap/>
            <w:vAlign w:val="center"/>
            <w:hideMark/>
          </w:tcPr>
          <w:p w14:paraId="54F19BE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2158.2</w:t>
            </w:r>
          </w:p>
        </w:tc>
        <w:tc>
          <w:tcPr>
            <w:tcW w:w="960" w:type="dxa"/>
            <w:tcBorders>
              <w:top w:val="nil"/>
              <w:left w:val="nil"/>
              <w:bottom w:val="single" w:sz="8" w:space="0" w:color="auto"/>
              <w:right w:val="single" w:sz="8" w:space="0" w:color="auto"/>
            </w:tcBorders>
            <w:shd w:val="clear" w:color="auto" w:fill="auto"/>
            <w:noWrap/>
            <w:vAlign w:val="center"/>
            <w:hideMark/>
          </w:tcPr>
          <w:p w14:paraId="53F68B1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3155.5</w:t>
            </w:r>
          </w:p>
        </w:tc>
        <w:tc>
          <w:tcPr>
            <w:tcW w:w="960" w:type="dxa"/>
            <w:tcBorders>
              <w:top w:val="nil"/>
              <w:left w:val="nil"/>
              <w:bottom w:val="single" w:sz="8" w:space="0" w:color="auto"/>
              <w:right w:val="single" w:sz="8" w:space="0" w:color="auto"/>
            </w:tcBorders>
            <w:shd w:val="clear" w:color="auto" w:fill="auto"/>
            <w:noWrap/>
            <w:vAlign w:val="center"/>
            <w:hideMark/>
          </w:tcPr>
          <w:p w14:paraId="3443B91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3400.4</w:t>
            </w:r>
          </w:p>
        </w:tc>
        <w:tc>
          <w:tcPr>
            <w:tcW w:w="960" w:type="dxa"/>
            <w:tcBorders>
              <w:top w:val="nil"/>
              <w:left w:val="nil"/>
              <w:bottom w:val="single" w:sz="8" w:space="0" w:color="auto"/>
              <w:right w:val="single" w:sz="8" w:space="0" w:color="auto"/>
            </w:tcBorders>
            <w:shd w:val="clear" w:color="auto" w:fill="auto"/>
            <w:noWrap/>
            <w:vAlign w:val="center"/>
            <w:hideMark/>
          </w:tcPr>
          <w:p w14:paraId="252094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6793.6</w:t>
            </w:r>
          </w:p>
        </w:tc>
        <w:tc>
          <w:tcPr>
            <w:tcW w:w="960" w:type="dxa"/>
            <w:tcBorders>
              <w:top w:val="nil"/>
              <w:left w:val="nil"/>
              <w:bottom w:val="single" w:sz="8" w:space="0" w:color="auto"/>
              <w:right w:val="single" w:sz="8" w:space="0" w:color="auto"/>
            </w:tcBorders>
            <w:shd w:val="clear" w:color="auto" w:fill="auto"/>
            <w:noWrap/>
            <w:vAlign w:val="center"/>
            <w:hideMark/>
          </w:tcPr>
          <w:p w14:paraId="6DE34B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7749.6</w:t>
            </w:r>
          </w:p>
        </w:tc>
        <w:tc>
          <w:tcPr>
            <w:tcW w:w="960" w:type="dxa"/>
            <w:tcBorders>
              <w:top w:val="nil"/>
              <w:left w:val="nil"/>
              <w:bottom w:val="single" w:sz="8" w:space="0" w:color="auto"/>
              <w:right w:val="single" w:sz="8" w:space="0" w:color="auto"/>
            </w:tcBorders>
            <w:shd w:val="clear" w:color="auto" w:fill="auto"/>
            <w:noWrap/>
            <w:vAlign w:val="center"/>
            <w:hideMark/>
          </w:tcPr>
          <w:p w14:paraId="43E6F75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7736.3</w:t>
            </w:r>
          </w:p>
        </w:tc>
        <w:tc>
          <w:tcPr>
            <w:tcW w:w="960" w:type="dxa"/>
            <w:tcBorders>
              <w:top w:val="nil"/>
              <w:left w:val="nil"/>
              <w:bottom w:val="single" w:sz="8" w:space="0" w:color="auto"/>
              <w:right w:val="single" w:sz="8" w:space="0" w:color="auto"/>
            </w:tcBorders>
            <w:shd w:val="clear" w:color="auto" w:fill="auto"/>
            <w:noWrap/>
            <w:vAlign w:val="center"/>
            <w:hideMark/>
          </w:tcPr>
          <w:p w14:paraId="0EAC65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7047.5</w:t>
            </w:r>
          </w:p>
        </w:tc>
        <w:tc>
          <w:tcPr>
            <w:tcW w:w="960" w:type="dxa"/>
            <w:tcBorders>
              <w:top w:val="nil"/>
              <w:left w:val="nil"/>
              <w:bottom w:val="single" w:sz="8" w:space="0" w:color="auto"/>
              <w:right w:val="single" w:sz="8" w:space="0" w:color="auto"/>
            </w:tcBorders>
            <w:shd w:val="clear" w:color="auto" w:fill="auto"/>
            <w:noWrap/>
            <w:vAlign w:val="center"/>
            <w:hideMark/>
          </w:tcPr>
          <w:p w14:paraId="06B1761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6442</w:t>
            </w:r>
          </w:p>
        </w:tc>
      </w:tr>
      <w:tr w:rsidR="006B1FB2" w:rsidRPr="00191ACB" w14:paraId="5143AF6C"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DD53D90"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1.A.1 - Energy Industries </w:t>
            </w:r>
          </w:p>
        </w:tc>
        <w:tc>
          <w:tcPr>
            <w:tcW w:w="767" w:type="dxa"/>
            <w:tcBorders>
              <w:top w:val="nil"/>
              <w:left w:val="nil"/>
              <w:bottom w:val="single" w:sz="8" w:space="0" w:color="auto"/>
              <w:right w:val="single" w:sz="8" w:space="0" w:color="auto"/>
            </w:tcBorders>
            <w:shd w:val="clear" w:color="auto" w:fill="auto"/>
            <w:noWrap/>
            <w:vAlign w:val="center"/>
            <w:hideMark/>
          </w:tcPr>
          <w:p w14:paraId="08A79E5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165.4</w:t>
            </w:r>
          </w:p>
        </w:tc>
        <w:tc>
          <w:tcPr>
            <w:tcW w:w="960" w:type="dxa"/>
            <w:tcBorders>
              <w:top w:val="nil"/>
              <w:left w:val="nil"/>
              <w:bottom w:val="single" w:sz="8" w:space="0" w:color="auto"/>
              <w:right w:val="single" w:sz="8" w:space="0" w:color="auto"/>
            </w:tcBorders>
            <w:shd w:val="clear" w:color="auto" w:fill="auto"/>
            <w:noWrap/>
            <w:vAlign w:val="center"/>
            <w:hideMark/>
          </w:tcPr>
          <w:p w14:paraId="2172786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34.7</w:t>
            </w:r>
          </w:p>
        </w:tc>
        <w:tc>
          <w:tcPr>
            <w:tcW w:w="960" w:type="dxa"/>
            <w:tcBorders>
              <w:top w:val="nil"/>
              <w:left w:val="nil"/>
              <w:bottom w:val="single" w:sz="8" w:space="0" w:color="auto"/>
              <w:right w:val="single" w:sz="8" w:space="0" w:color="auto"/>
            </w:tcBorders>
            <w:shd w:val="clear" w:color="auto" w:fill="auto"/>
            <w:noWrap/>
            <w:vAlign w:val="center"/>
            <w:hideMark/>
          </w:tcPr>
          <w:p w14:paraId="3F82BB0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177.3</w:t>
            </w:r>
          </w:p>
        </w:tc>
        <w:tc>
          <w:tcPr>
            <w:tcW w:w="960" w:type="dxa"/>
            <w:tcBorders>
              <w:top w:val="nil"/>
              <w:left w:val="nil"/>
              <w:bottom w:val="single" w:sz="8" w:space="0" w:color="auto"/>
              <w:right w:val="single" w:sz="8" w:space="0" w:color="auto"/>
            </w:tcBorders>
            <w:shd w:val="clear" w:color="auto" w:fill="auto"/>
            <w:noWrap/>
            <w:vAlign w:val="center"/>
            <w:hideMark/>
          </w:tcPr>
          <w:p w14:paraId="154CBAD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204.8</w:t>
            </w:r>
          </w:p>
        </w:tc>
        <w:tc>
          <w:tcPr>
            <w:tcW w:w="960" w:type="dxa"/>
            <w:tcBorders>
              <w:top w:val="nil"/>
              <w:left w:val="nil"/>
              <w:bottom w:val="single" w:sz="8" w:space="0" w:color="auto"/>
              <w:right w:val="single" w:sz="8" w:space="0" w:color="auto"/>
            </w:tcBorders>
            <w:shd w:val="clear" w:color="auto" w:fill="auto"/>
            <w:noWrap/>
            <w:vAlign w:val="center"/>
            <w:hideMark/>
          </w:tcPr>
          <w:p w14:paraId="3BA829F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206.1</w:t>
            </w:r>
          </w:p>
        </w:tc>
        <w:tc>
          <w:tcPr>
            <w:tcW w:w="960" w:type="dxa"/>
            <w:tcBorders>
              <w:top w:val="nil"/>
              <w:left w:val="nil"/>
              <w:bottom w:val="single" w:sz="8" w:space="0" w:color="auto"/>
              <w:right w:val="single" w:sz="8" w:space="0" w:color="auto"/>
            </w:tcBorders>
            <w:shd w:val="clear" w:color="auto" w:fill="auto"/>
            <w:noWrap/>
            <w:vAlign w:val="center"/>
            <w:hideMark/>
          </w:tcPr>
          <w:p w14:paraId="3D5E9F2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217.5</w:t>
            </w:r>
          </w:p>
        </w:tc>
        <w:tc>
          <w:tcPr>
            <w:tcW w:w="960" w:type="dxa"/>
            <w:tcBorders>
              <w:top w:val="nil"/>
              <w:left w:val="nil"/>
              <w:bottom w:val="single" w:sz="8" w:space="0" w:color="auto"/>
              <w:right w:val="single" w:sz="8" w:space="0" w:color="auto"/>
            </w:tcBorders>
            <w:shd w:val="clear" w:color="auto" w:fill="auto"/>
            <w:noWrap/>
            <w:vAlign w:val="center"/>
            <w:hideMark/>
          </w:tcPr>
          <w:p w14:paraId="720B89E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1777.5</w:t>
            </w:r>
          </w:p>
        </w:tc>
        <w:tc>
          <w:tcPr>
            <w:tcW w:w="960" w:type="dxa"/>
            <w:tcBorders>
              <w:top w:val="nil"/>
              <w:left w:val="nil"/>
              <w:bottom w:val="single" w:sz="8" w:space="0" w:color="auto"/>
              <w:right w:val="single" w:sz="8" w:space="0" w:color="auto"/>
            </w:tcBorders>
            <w:shd w:val="clear" w:color="auto" w:fill="auto"/>
            <w:noWrap/>
            <w:vAlign w:val="center"/>
            <w:hideMark/>
          </w:tcPr>
          <w:p w14:paraId="3FB5753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2660.8</w:t>
            </w:r>
          </w:p>
        </w:tc>
        <w:tc>
          <w:tcPr>
            <w:tcW w:w="960" w:type="dxa"/>
            <w:tcBorders>
              <w:top w:val="nil"/>
              <w:left w:val="nil"/>
              <w:bottom w:val="single" w:sz="8" w:space="0" w:color="auto"/>
              <w:right w:val="single" w:sz="8" w:space="0" w:color="auto"/>
            </w:tcBorders>
            <w:shd w:val="clear" w:color="auto" w:fill="auto"/>
            <w:noWrap/>
            <w:vAlign w:val="center"/>
            <w:hideMark/>
          </w:tcPr>
          <w:p w14:paraId="2F5EE88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451.5</w:t>
            </w:r>
          </w:p>
        </w:tc>
        <w:tc>
          <w:tcPr>
            <w:tcW w:w="960" w:type="dxa"/>
            <w:tcBorders>
              <w:top w:val="nil"/>
              <w:left w:val="nil"/>
              <w:bottom w:val="single" w:sz="8" w:space="0" w:color="auto"/>
              <w:right w:val="single" w:sz="8" w:space="0" w:color="auto"/>
            </w:tcBorders>
            <w:shd w:val="clear" w:color="auto" w:fill="auto"/>
            <w:noWrap/>
            <w:vAlign w:val="center"/>
            <w:hideMark/>
          </w:tcPr>
          <w:p w14:paraId="670BF85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1090.9</w:t>
            </w:r>
          </w:p>
        </w:tc>
      </w:tr>
      <w:tr w:rsidR="006B1FB2" w:rsidRPr="00191ACB" w14:paraId="368E09B0"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CAD9F7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1.A.2 - Manufacturing Industries and Construction </w:t>
            </w:r>
          </w:p>
        </w:tc>
        <w:tc>
          <w:tcPr>
            <w:tcW w:w="767" w:type="dxa"/>
            <w:tcBorders>
              <w:top w:val="nil"/>
              <w:left w:val="nil"/>
              <w:bottom w:val="single" w:sz="8" w:space="0" w:color="auto"/>
              <w:right w:val="single" w:sz="8" w:space="0" w:color="auto"/>
            </w:tcBorders>
            <w:shd w:val="clear" w:color="auto" w:fill="auto"/>
            <w:noWrap/>
            <w:vAlign w:val="center"/>
            <w:hideMark/>
          </w:tcPr>
          <w:p w14:paraId="1BCAB0C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905.5</w:t>
            </w:r>
          </w:p>
        </w:tc>
        <w:tc>
          <w:tcPr>
            <w:tcW w:w="960" w:type="dxa"/>
            <w:tcBorders>
              <w:top w:val="nil"/>
              <w:left w:val="nil"/>
              <w:bottom w:val="single" w:sz="8" w:space="0" w:color="auto"/>
              <w:right w:val="single" w:sz="8" w:space="0" w:color="auto"/>
            </w:tcBorders>
            <w:shd w:val="clear" w:color="auto" w:fill="auto"/>
            <w:noWrap/>
            <w:vAlign w:val="center"/>
            <w:hideMark/>
          </w:tcPr>
          <w:p w14:paraId="49EBBBD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675.6</w:t>
            </w:r>
          </w:p>
        </w:tc>
        <w:tc>
          <w:tcPr>
            <w:tcW w:w="960" w:type="dxa"/>
            <w:tcBorders>
              <w:top w:val="nil"/>
              <w:left w:val="nil"/>
              <w:bottom w:val="single" w:sz="8" w:space="0" w:color="auto"/>
              <w:right w:val="single" w:sz="8" w:space="0" w:color="auto"/>
            </w:tcBorders>
            <w:shd w:val="clear" w:color="auto" w:fill="auto"/>
            <w:noWrap/>
            <w:vAlign w:val="center"/>
            <w:hideMark/>
          </w:tcPr>
          <w:p w14:paraId="7393391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759.3</w:t>
            </w:r>
          </w:p>
        </w:tc>
        <w:tc>
          <w:tcPr>
            <w:tcW w:w="960" w:type="dxa"/>
            <w:tcBorders>
              <w:top w:val="nil"/>
              <w:left w:val="nil"/>
              <w:bottom w:val="single" w:sz="8" w:space="0" w:color="auto"/>
              <w:right w:val="single" w:sz="8" w:space="0" w:color="auto"/>
            </w:tcBorders>
            <w:shd w:val="clear" w:color="auto" w:fill="auto"/>
            <w:noWrap/>
            <w:vAlign w:val="center"/>
            <w:hideMark/>
          </w:tcPr>
          <w:p w14:paraId="72023AD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1585.4</w:t>
            </w:r>
          </w:p>
        </w:tc>
        <w:tc>
          <w:tcPr>
            <w:tcW w:w="960" w:type="dxa"/>
            <w:tcBorders>
              <w:top w:val="nil"/>
              <w:left w:val="nil"/>
              <w:bottom w:val="single" w:sz="8" w:space="0" w:color="auto"/>
              <w:right w:val="single" w:sz="8" w:space="0" w:color="auto"/>
            </w:tcBorders>
            <w:shd w:val="clear" w:color="auto" w:fill="auto"/>
            <w:noWrap/>
            <w:vAlign w:val="center"/>
            <w:hideMark/>
          </w:tcPr>
          <w:p w14:paraId="5A97296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1332.1</w:t>
            </w:r>
          </w:p>
        </w:tc>
        <w:tc>
          <w:tcPr>
            <w:tcW w:w="960" w:type="dxa"/>
            <w:tcBorders>
              <w:top w:val="nil"/>
              <w:left w:val="nil"/>
              <w:bottom w:val="single" w:sz="8" w:space="0" w:color="auto"/>
              <w:right w:val="single" w:sz="8" w:space="0" w:color="auto"/>
            </w:tcBorders>
            <w:shd w:val="clear" w:color="auto" w:fill="auto"/>
            <w:noWrap/>
            <w:vAlign w:val="center"/>
            <w:hideMark/>
          </w:tcPr>
          <w:p w14:paraId="741B7D2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3659.7</w:t>
            </w:r>
          </w:p>
        </w:tc>
        <w:tc>
          <w:tcPr>
            <w:tcW w:w="960" w:type="dxa"/>
            <w:tcBorders>
              <w:top w:val="nil"/>
              <w:left w:val="nil"/>
              <w:bottom w:val="single" w:sz="8" w:space="0" w:color="auto"/>
              <w:right w:val="single" w:sz="8" w:space="0" w:color="auto"/>
            </w:tcBorders>
            <w:shd w:val="clear" w:color="auto" w:fill="auto"/>
            <w:noWrap/>
            <w:vAlign w:val="center"/>
            <w:hideMark/>
          </w:tcPr>
          <w:p w14:paraId="5D9C1D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3018.3</w:t>
            </w:r>
          </w:p>
        </w:tc>
        <w:tc>
          <w:tcPr>
            <w:tcW w:w="960" w:type="dxa"/>
            <w:tcBorders>
              <w:top w:val="nil"/>
              <w:left w:val="nil"/>
              <w:bottom w:val="single" w:sz="8" w:space="0" w:color="auto"/>
              <w:right w:val="single" w:sz="8" w:space="0" w:color="auto"/>
            </w:tcBorders>
            <w:shd w:val="clear" w:color="auto" w:fill="auto"/>
            <w:noWrap/>
            <w:vAlign w:val="center"/>
            <w:hideMark/>
          </w:tcPr>
          <w:p w14:paraId="491FC35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2174</w:t>
            </w:r>
          </w:p>
        </w:tc>
        <w:tc>
          <w:tcPr>
            <w:tcW w:w="960" w:type="dxa"/>
            <w:tcBorders>
              <w:top w:val="nil"/>
              <w:left w:val="nil"/>
              <w:bottom w:val="single" w:sz="8" w:space="0" w:color="auto"/>
              <w:right w:val="single" w:sz="8" w:space="0" w:color="auto"/>
            </w:tcBorders>
            <w:shd w:val="clear" w:color="auto" w:fill="auto"/>
            <w:noWrap/>
            <w:vAlign w:val="center"/>
            <w:hideMark/>
          </w:tcPr>
          <w:p w14:paraId="6294D34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3108.3</w:t>
            </w:r>
          </w:p>
        </w:tc>
        <w:tc>
          <w:tcPr>
            <w:tcW w:w="960" w:type="dxa"/>
            <w:tcBorders>
              <w:top w:val="nil"/>
              <w:left w:val="nil"/>
              <w:bottom w:val="single" w:sz="8" w:space="0" w:color="auto"/>
              <w:right w:val="single" w:sz="8" w:space="0" w:color="auto"/>
            </w:tcBorders>
            <w:shd w:val="clear" w:color="auto" w:fill="auto"/>
            <w:noWrap/>
            <w:vAlign w:val="center"/>
            <w:hideMark/>
          </w:tcPr>
          <w:p w14:paraId="027AA8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2274.2</w:t>
            </w:r>
          </w:p>
        </w:tc>
      </w:tr>
      <w:tr w:rsidR="006B1FB2" w:rsidRPr="00191ACB" w14:paraId="72C8C180"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2166E4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1.A.3 - Transport </w:t>
            </w:r>
          </w:p>
        </w:tc>
        <w:tc>
          <w:tcPr>
            <w:tcW w:w="767" w:type="dxa"/>
            <w:tcBorders>
              <w:top w:val="nil"/>
              <w:left w:val="nil"/>
              <w:bottom w:val="single" w:sz="8" w:space="0" w:color="auto"/>
              <w:right w:val="single" w:sz="8" w:space="0" w:color="auto"/>
            </w:tcBorders>
            <w:shd w:val="clear" w:color="auto" w:fill="auto"/>
            <w:noWrap/>
            <w:vAlign w:val="center"/>
            <w:hideMark/>
          </w:tcPr>
          <w:p w14:paraId="31921D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653.1</w:t>
            </w:r>
          </w:p>
        </w:tc>
        <w:tc>
          <w:tcPr>
            <w:tcW w:w="960" w:type="dxa"/>
            <w:tcBorders>
              <w:top w:val="nil"/>
              <w:left w:val="nil"/>
              <w:bottom w:val="single" w:sz="8" w:space="0" w:color="auto"/>
              <w:right w:val="single" w:sz="8" w:space="0" w:color="auto"/>
            </w:tcBorders>
            <w:shd w:val="clear" w:color="auto" w:fill="auto"/>
            <w:noWrap/>
            <w:vAlign w:val="center"/>
            <w:hideMark/>
          </w:tcPr>
          <w:p w14:paraId="4D7F7A7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581.3</w:t>
            </w:r>
          </w:p>
        </w:tc>
        <w:tc>
          <w:tcPr>
            <w:tcW w:w="960" w:type="dxa"/>
            <w:tcBorders>
              <w:top w:val="nil"/>
              <w:left w:val="nil"/>
              <w:bottom w:val="single" w:sz="8" w:space="0" w:color="auto"/>
              <w:right w:val="single" w:sz="8" w:space="0" w:color="auto"/>
            </w:tcBorders>
            <w:shd w:val="clear" w:color="auto" w:fill="auto"/>
            <w:noWrap/>
            <w:vAlign w:val="center"/>
            <w:hideMark/>
          </w:tcPr>
          <w:p w14:paraId="2E8A545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671.6</w:t>
            </w:r>
          </w:p>
        </w:tc>
        <w:tc>
          <w:tcPr>
            <w:tcW w:w="960" w:type="dxa"/>
            <w:tcBorders>
              <w:top w:val="nil"/>
              <w:left w:val="nil"/>
              <w:bottom w:val="single" w:sz="8" w:space="0" w:color="auto"/>
              <w:right w:val="single" w:sz="8" w:space="0" w:color="auto"/>
            </w:tcBorders>
            <w:shd w:val="clear" w:color="auto" w:fill="auto"/>
            <w:noWrap/>
            <w:vAlign w:val="center"/>
            <w:hideMark/>
          </w:tcPr>
          <w:p w14:paraId="0BD171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680</w:t>
            </w:r>
          </w:p>
        </w:tc>
        <w:tc>
          <w:tcPr>
            <w:tcW w:w="960" w:type="dxa"/>
            <w:tcBorders>
              <w:top w:val="nil"/>
              <w:left w:val="nil"/>
              <w:bottom w:val="single" w:sz="8" w:space="0" w:color="auto"/>
              <w:right w:val="single" w:sz="8" w:space="0" w:color="auto"/>
            </w:tcBorders>
            <w:shd w:val="clear" w:color="auto" w:fill="auto"/>
            <w:noWrap/>
            <w:vAlign w:val="center"/>
            <w:hideMark/>
          </w:tcPr>
          <w:p w14:paraId="7CFD3A8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803.4</w:t>
            </w:r>
          </w:p>
        </w:tc>
        <w:tc>
          <w:tcPr>
            <w:tcW w:w="960" w:type="dxa"/>
            <w:tcBorders>
              <w:top w:val="nil"/>
              <w:left w:val="nil"/>
              <w:bottom w:val="single" w:sz="8" w:space="0" w:color="auto"/>
              <w:right w:val="single" w:sz="8" w:space="0" w:color="auto"/>
            </w:tcBorders>
            <w:shd w:val="clear" w:color="auto" w:fill="auto"/>
            <w:noWrap/>
            <w:vAlign w:val="center"/>
            <w:hideMark/>
          </w:tcPr>
          <w:p w14:paraId="19BB62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976.6</w:t>
            </w:r>
          </w:p>
        </w:tc>
        <w:tc>
          <w:tcPr>
            <w:tcW w:w="960" w:type="dxa"/>
            <w:tcBorders>
              <w:top w:val="nil"/>
              <w:left w:val="nil"/>
              <w:bottom w:val="single" w:sz="8" w:space="0" w:color="auto"/>
              <w:right w:val="single" w:sz="8" w:space="0" w:color="auto"/>
            </w:tcBorders>
            <w:shd w:val="clear" w:color="auto" w:fill="auto"/>
            <w:noWrap/>
            <w:vAlign w:val="center"/>
            <w:hideMark/>
          </w:tcPr>
          <w:p w14:paraId="44B417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1102</w:t>
            </w:r>
          </w:p>
        </w:tc>
        <w:tc>
          <w:tcPr>
            <w:tcW w:w="960" w:type="dxa"/>
            <w:tcBorders>
              <w:top w:val="nil"/>
              <w:left w:val="nil"/>
              <w:bottom w:val="single" w:sz="8" w:space="0" w:color="auto"/>
              <w:right w:val="single" w:sz="8" w:space="0" w:color="auto"/>
            </w:tcBorders>
            <w:shd w:val="clear" w:color="auto" w:fill="auto"/>
            <w:noWrap/>
            <w:vAlign w:val="center"/>
            <w:hideMark/>
          </w:tcPr>
          <w:p w14:paraId="4BF367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1207.7</w:t>
            </w:r>
          </w:p>
        </w:tc>
        <w:tc>
          <w:tcPr>
            <w:tcW w:w="960" w:type="dxa"/>
            <w:tcBorders>
              <w:top w:val="nil"/>
              <w:left w:val="nil"/>
              <w:bottom w:val="single" w:sz="8" w:space="0" w:color="auto"/>
              <w:right w:val="single" w:sz="8" w:space="0" w:color="auto"/>
            </w:tcBorders>
            <w:shd w:val="clear" w:color="auto" w:fill="auto"/>
            <w:noWrap/>
            <w:vAlign w:val="center"/>
            <w:hideMark/>
          </w:tcPr>
          <w:p w14:paraId="53DA187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1408.1</w:t>
            </w:r>
          </w:p>
        </w:tc>
        <w:tc>
          <w:tcPr>
            <w:tcW w:w="960" w:type="dxa"/>
            <w:tcBorders>
              <w:top w:val="nil"/>
              <w:left w:val="nil"/>
              <w:bottom w:val="single" w:sz="8" w:space="0" w:color="auto"/>
              <w:right w:val="single" w:sz="8" w:space="0" w:color="auto"/>
            </w:tcBorders>
            <w:shd w:val="clear" w:color="auto" w:fill="auto"/>
            <w:noWrap/>
            <w:vAlign w:val="center"/>
            <w:hideMark/>
          </w:tcPr>
          <w:p w14:paraId="70EA97A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1218.7</w:t>
            </w:r>
          </w:p>
        </w:tc>
      </w:tr>
      <w:tr w:rsidR="006B1FB2" w:rsidRPr="00191ACB" w14:paraId="481246C0"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AB431A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1.A.4 - Other Sectors </w:t>
            </w:r>
          </w:p>
        </w:tc>
        <w:tc>
          <w:tcPr>
            <w:tcW w:w="767" w:type="dxa"/>
            <w:tcBorders>
              <w:top w:val="nil"/>
              <w:left w:val="nil"/>
              <w:bottom w:val="single" w:sz="8" w:space="0" w:color="auto"/>
              <w:right w:val="single" w:sz="8" w:space="0" w:color="auto"/>
            </w:tcBorders>
            <w:shd w:val="clear" w:color="auto" w:fill="auto"/>
            <w:noWrap/>
            <w:vAlign w:val="center"/>
            <w:hideMark/>
          </w:tcPr>
          <w:p w14:paraId="0DE0B72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454.7</w:t>
            </w:r>
          </w:p>
        </w:tc>
        <w:tc>
          <w:tcPr>
            <w:tcW w:w="960" w:type="dxa"/>
            <w:tcBorders>
              <w:top w:val="nil"/>
              <w:left w:val="nil"/>
              <w:bottom w:val="single" w:sz="8" w:space="0" w:color="auto"/>
              <w:right w:val="single" w:sz="8" w:space="0" w:color="auto"/>
            </w:tcBorders>
            <w:shd w:val="clear" w:color="auto" w:fill="auto"/>
            <w:noWrap/>
            <w:vAlign w:val="center"/>
            <w:hideMark/>
          </w:tcPr>
          <w:p w14:paraId="00DECF2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451.2</w:t>
            </w:r>
          </w:p>
        </w:tc>
        <w:tc>
          <w:tcPr>
            <w:tcW w:w="960" w:type="dxa"/>
            <w:tcBorders>
              <w:top w:val="nil"/>
              <w:left w:val="nil"/>
              <w:bottom w:val="single" w:sz="8" w:space="0" w:color="auto"/>
              <w:right w:val="single" w:sz="8" w:space="0" w:color="auto"/>
            </w:tcBorders>
            <w:shd w:val="clear" w:color="auto" w:fill="auto"/>
            <w:noWrap/>
            <w:vAlign w:val="center"/>
            <w:hideMark/>
          </w:tcPr>
          <w:p w14:paraId="7EBCB9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550</w:t>
            </w:r>
          </w:p>
        </w:tc>
        <w:tc>
          <w:tcPr>
            <w:tcW w:w="960" w:type="dxa"/>
            <w:tcBorders>
              <w:top w:val="nil"/>
              <w:left w:val="nil"/>
              <w:bottom w:val="single" w:sz="8" w:space="0" w:color="auto"/>
              <w:right w:val="single" w:sz="8" w:space="0" w:color="auto"/>
            </w:tcBorders>
            <w:shd w:val="clear" w:color="auto" w:fill="auto"/>
            <w:noWrap/>
            <w:vAlign w:val="center"/>
            <w:hideMark/>
          </w:tcPr>
          <w:p w14:paraId="2923147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685.3</w:t>
            </w:r>
          </w:p>
        </w:tc>
        <w:tc>
          <w:tcPr>
            <w:tcW w:w="960" w:type="dxa"/>
            <w:tcBorders>
              <w:top w:val="nil"/>
              <w:left w:val="nil"/>
              <w:bottom w:val="single" w:sz="8" w:space="0" w:color="auto"/>
              <w:right w:val="single" w:sz="8" w:space="0" w:color="auto"/>
            </w:tcBorders>
            <w:shd w:val="clear" w:color="auto" w:fill="auto"/>
            <w:noWrap/>
            <w:vAlign w:val="center"/>
            <w:hideMark/>
          </w:tcPr>
          <w:p w14:paraId="41D42A1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1058.9</w:t>
            </w:r>
          </w:p>
        </w:tc>
        <w:tc>
          <w:tcPr>
            <w:tcW w:w="960" w:type="dxa"/>
            <w:tcBorders>
              <w:top w:val="nil"/>
              <w:left w:val="nil"/>
              <w:bottom w:val="single" w:sz="8" w:space="0" w:color="auto"/>
              <w:right w:val="single" w:sz="8" w:space="0" w:color="auto"/>
            </w:tcBorders>
            <w:shd w:val="clear" w:color="auto" w:fill="auto"/>
            <w:noWrap/>
            <w:vAlign w:val="center"/>
            <w:hideMark/>
          </w:tcPr>
          <w:p w14:paraId="0360661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1939.8</w:t>
            </w:r>
          </w:p>
        </w:tc>
        <w:tc>
          <w:tcPr>
            <w:tcW w:w="960" w:type="dxa"/>
            <w:tcBorders>
              <w:top w:val="nil"/>
              <w:left w:val="nil"/>
              <w:bottom w:val="single" w:sz="8" w:space="0" w:color="auto"/>
              <w:right w:val="single" w:sz="8" w:space="0" w:color="auto"/>
            </w:tcBorders>
            <w:shd w:val="clear" w:color="auto" w:fill="auto"/>
            <w:noWrap/>
            <w:vAlign w:val="center"/>
            <w:hideMark/>
          </w:tcPr>
          <w:p w14:paraId="2438514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1851.8</w:t>
            </w:r>
          </w:p>
        </w:tc>
        <w:tc>
          <w:tcPr>
            <w:tcW w:w="960" w:type="dxa"/>
            <w:tcBorders>
              <w:top w:val="nil"/>
              <w:left w:val="nil"/>
              <w:bottom w:val="single" w:sz="8" w:space="0" w:color="auto"/>
              <w:right w:val="single" w:sz="8" w:space="0" w:color="auto"/>
            </w:tcBorders>
            <w:shd w:val="clear" w:color="auto" w:fill="auto"/>
            <w:noWrap/>
            <w:vAlign w:val="center"/>
            <w:hideMark/>
          </w:tcPr>
          <w:p w14:paraId="1F91CB2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1693.9</w:t>
            </w:r>
          </w:p>
        </w:tc>
        <w:tc>
          <w:tcPr>
            <w:tcW w:w="960" w:type="dxa"/>
            <w:tcBorders>
              <w:top w:val="nil"/>
              <w:left w:val="nil"/>
              <w:bottom w:val="single" w:sz="8" w:space="0" w:color="auto"/>
              <w:right w:val="single" w:sz="8" w:space="0" w:color="auto"/>
            </w:tcBorders>
            <w:shd w:val="clear" w:color="auto" w:fill="auto"/>
            <w:noWrap/>
            <w:vAlign w:val="center"/>
            <w:hideMark/>
          </w:tcPr>
          <w:p w14:paraId="372AAAB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2079.6</w:t>
            </w:r>
          </w:p>
        </w:tc>
        <w:tc>
          <w:tcPr>
            <w:tcW w:w="960" w:type="dxa"/>
            <w:tcBorders>
              <w:top w:val="nil"/>
              <w:left w:val="nil"/>
              <w:bottom w:val="single" w:sz="8" w:space="0" w:color="auto"/>
              <w:right w:val="single" w:sz="8" w:space="0" w:color="auto"/>
            </w:tcBorders>
            <w:shd w:val="clear" w:color="auto" w:fill="auto"/>
            <w:noWrap/>
            <w:vAlign w:val="center"/>
            <w:hideMark/>
          </w:tcPr>
          <w:p w14:paraId="7AE5419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1858.2</w:t>
            </w:r>
          </w:p>
        </w:tc>
      </w:tr>
      <w:tr w:rsidR="006B1FB2" w:rsidRPr="00191ACB" w14:paraId="7670EF50"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0310833"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1.A.5 - Non-Specified </w:t>
            </w:r>
          </w:p>
        </w:tc>
        <w:tc>
          <w:tcPr>
            <w:tcW w:w="767" w:type="dxa"/>
            <w:tcBorders>
              <w:top w:val="nil"/>
              <w:left w:val="nil"/>
              <w:bottom w:val="single" w:sz="8" w:space="0" w:color="auto"/>
              <w:right w:val="single" w:sz="8" w:space="0" w:color="auto"/>
            </w:tcBorders>
            <w:shd w:val="clear" w:color="auto" w:fill="auto"/>
            <w:noWrap/>
            <w:vAlign w:val="center"/>
            <w:hideMark/>
          </w:tcPr>
          <w:p w14:paraId="741434D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63BEB4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3BEF76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0265C7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AB571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DCD78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E819F8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DD287E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0B3FA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3B0887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003F7D9C"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599B57A"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1.B - Fugitive emissions from fuels </w:t>
            </w:r>
          </w:p>
        </w:tc>
        <w:tc>
          <w:tcPr>
            <w:tcW w:w="767" w:type="dxa"/>
            <w:tcBorders>
              <w:top w:val="nil"/>
              <w:left w:val="nil"/>
              <w:bottom w:val="single" w:sz="8" w:space="0" w:color="auto"/>
              <w:right w:val="single" w:sz="8" w:space="0" w:color="auto"/>
            </w:tcBorders>
            <w:shd w:val="clear" w:color="auto" w:fill="auto"/>
            <w:noWrap/>
            <w:vAlign w:val="center"/>
            <w:hideMark/>
          </w:tcPr>
          <w:p w14:paraId="54D3F0A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0.7</w:t>
            </w:r>
          </w:p>
        </w:tc>
        <w:tc>
          <w:tcPr>
            <w:tcW w:w="960" w:type="dxa"/>
            <w:tcBorders>
              <w:top w:val="nil"/>
              <w:left w:val="nil"/>
              <w:bottom w:val="single" w:sz="8" w:space="0" w:color="auto"/>
              <w:right w:val="single" w:sz="8" w:space="0" w:color="auto"/>
            </w:tcBorders>
            <w:shd w:val="clear" w:color="auto" w:fill="auto"/>
            <w:noWrap/>
            <w:vAlign w:val="center"/>
            <w:hideMark/>
          </w:tcPr>
          <w:p w14:paraId="61C3D6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0.7</w:t>
            </w:r>
          </w:p>
        </w:tc>
        <w:tc>
          <w:tcPr>
            <w:tcW w:w="960" w:type="dxa"/>
            <w:tcBorders>
              <w:top w:val="nil"/>
              <w:left w:val="nil"/>
              <w:bottom w:val="single" w:sz="8" w:space="0" w:color="auto"/>
              <w:right w:val="single" w:sz="8" w:space="0" w:color="auto"/>
            </w:tcBorders>
            <w:shd w:val="clear" w:color="auto" w:fill="auto"/>
            <w:noWrap/>
            <w:vAlign w:val="center"/>
            <w:hideMark/>
          </w:tcPr>
          <w:p w14:paraId="3100A1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0.7</w:t>
            </w:r>
          </w:p>
        </w:tc>
        <w:tc>
          <w:tcPr>
            <w:tcW w:w="960" w:type="dxa"/>
            <w:tcBorders>
              <w:top w:val="nil"/>
              <w:left w:val="nil"/>
              <w:bottom w:val="single" w:sz="8" w:space="0" w:color="auto"/>
              <w:right w:val="single" w:sz="8" w:space="0" w:color="auto"/>
            </w:tcBorders>
            <w:shd w:val="clear" w:color="auto" w:fill="auto"/>
            <w:noWrap/>
            <w:vAlign w:val="center"/>
            <w:hideMark/>
          </w:tcPr>
          <w:p w14:paraId="003C17E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0.4</w:t>
            </w:r>
          </w:p>
        </w:tc>
        <w:tc>
          <w:tcPr>
            <w:tcW w:w="960" w:type="dxa"/>
            <w:tcBorders>
              <w:top w:val="nil"/>
              <w:left w:val="nil"/>
              <w:bottom w:val="single" w:sz="8" w:space="0" w:color="auto"/>
              <w:right w:val="single" w:sz="8" w:space="0" w:color="auto"/>
            </w:tcBorders>
            <w:shd w:val="clear" w:color="auto" w:fill="auto"/>
            <w:noWrap/>
            <w:vAlign w:val="center"/>
            <w:hideMark/>
          </w:tcPr>
          <w:p w14:paraId="1C6DB0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0.2</w:t>
            </w:r>
          </w:p>
        </w:tc>
        <w:tc>
          <w:tcPr>
            <w:tcW w:w="960" w:type="dxa"/>
            <w:tcBorders>
              <w:top w:val="nil"/>
              <w:left w:val="nil"/>
              <w:bottom w:val="single" w:sz="8" w:space="0" w:color="auto"/>
              <w:right w:val="single" w:sz="8" w:space="0" w:color="auto"/>
            </w:tcBorders>
            <w:shd w:val="clear" w:color="auto" w:fill="auto"/>
            <w:noWrap/>
            <w:vAlign w:val="center"/>
            <w:hideMark/>
          </w:tcPr>
          <w:p w14:paraId="371C692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w:t>
            </w:r>
          </w:p>
        </w:tc>
        <w:tc>
          <w:tcPr>
            <w:tcW w:w="960" w:type="dxa"/>
            <w:tcBorders>
              <w:top w:val="nil"/>
              <w:left w:val="nil"/>
              <w:bottom w:val="single" w:sz="8" w:space="0" w:color="auto"/>
              <w:right w:val="single" w:sz="8" w:space="0" w:color="auto"/>
            </w:tcBorders>
            <w:shd w:val="clear" w:color="auto" w:fill="auto"/>
            <w:noWrap/>
            <w:vAlign w:val="center"/>
            <w:hideMark/>
          </w:tcPr>
          <w:p w14:paraId="57F9B17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2.7</w:t>
            </w:r>
          </w:p>
        </w:tc>
        <w:tc>
          <w:tcPr>
            <w:tcW w:w="960" w:type="dxa"/>
            <w:tcBorders>
              <w:top w:val="nil"/>
              <w:left w:val="nil"/>
              <w:bottom w:val="single" w:sz="8" w:space="0" w:color="auto"/>
              <w:right w:val="single" w:sz="8" w:space="0" w:color="auto"/>
            </w:tcBorders>
            <w:shd w:val="clear" w:color="auto" w:fill="auto"/>
            <w:noWrap/>
            <w:vAlign w:val="center"/>
            <w:hideMark/>
          </w:tcPr>
          <w:p w14:paraId="2118F41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w:t>
            </w:r>
          </w:p>
        </w:tc>
        <w:tc>
          <w:tcPr>
            <w:tcW w:w="960" w:type="dxa"/>
            <w:tcBorders>
              <w:top w:val="nil"/>
              <w:left w:val="nil"/>
              <w:bottom w:val="single" w:sz="8" w:space="0" w:color="auto"/>
              <w:right w:val="single" w:sz="8" w:space="0" w:color="auto"/>
            </w:tcBorders>
            <w:shd w:val="clear" w:color="auto" w:fill="auto"/>
            <w:noWrap/>
            <w:vAlign w:val="center"/>
            <w:hideMark/>
          </w:tcPr>
          <w:p w14:paraId="555937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w:t>
            </w:r>
          </w:p>
        </w:tc>
        <w:tc>
          <w:tcPr>
            <w:tcW w:w="960" w:type="dxa"/>
            <w:tcBorders>
              <w:top w:val="nil"/>
              <w:left w:val="nil"/>
              <w:bottom w:val="single" w:sz="8" w:space="0" w:color="auto"/>
              <w:right w:val="single" w:sz="8" w:space="0" w:color="auto"/>
            </w:tcBorders>
            <w:shd w:val="clear" w:color="auto" w:fill="auto"/>
            <w:noWrap/>
            <w:vAlign w:val="center"/>
            <w:hideMark/>
          </w:tcPr>
          <w:p w14:paraId="5ABF843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r>
      <w:tr w:rsidR="006B1FB2" w:rsidRPr="00191ACB" w14:paraId="4063DBD3"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EC27E6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1.B.1 - Solid Fuels </w:t>
            </w:r>
          </w:p>
        </w:tc>
        <w:tc>
          <w:tcPr>
            <w:tcW w:w="767" w:type="dxa"/>
            <w:tcBorders>
              <w:top w:val="nil"/>
              <w:left w:val="nil"/>
              <w:bottom w:val="single" w:sz="8" w:space="0" w:color="auto"/>
              <w:right w:val="single" w:sz="8" w:space="0" w:color="auto"/>
            </w:tcBorders>
            <w:shd w:val="clear" w:color="auto" w:fill="auto"/>
            <w:noWrap/>
            <w:vAlign w:val="center"/>
            <w:hideMark/>
          </w:tcPr>
          <w:p w14:paraId="2678CA4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0.7</w:t>
            </w:r>
          </w:p>
        </w:tc>
        <w:tc>
          <w:tcPr>
            <w:tcW w:w="960" w:type="dxa"/>
            <w:tcBorders>
              <w:top w:val="nil"/>
              <w:left w:val="nil"/>
              <w:bottom w:val="single" w:sz="8" w:space="0" w:color="auto"/>
              <w:right w:val="single" w:sz="8" w:space="0" w:color="auto"/>
            </w:tcBorders>
            <w:shd w:val="clear" w:color="auto" w:fill="auto"/>
            <w:noWrap/>
            <w:vAlign w:val="center"/>
            <w:hideMark/>
          </w:tcPr>
          <w:p w14:paraId="02F4F43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0.7</w:t>
            </w:r>
          </w:p>
        </w:tc>
        <w:tc>
          <w:tcPr>
            <w:tcW w:w="960" w:type="dxa"/>
            <w:tcBorders>
              <w:top w:val="nil"/>
              <w:left w:val="nil"/>
              <w:bottom w:val="single" w:sz="8" w:space="0" w:color="auto"/>
              <w:right w:val="single" w:sz="8" w:space="0" w:color="auto"/>
            </w:tcBorders>
            <w:shd w:val="clear" w:color="auto" w:fill="auto"/>
            <w:noWrap/>
            <w:vAlign w:val="center"/>
            <w:hideMark/>
          </w:tcPr>
          <w:p w14:paraId="0A4A97F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0.7</w:t>
            </w:r>
          </w:p>
        </w:tc>
        <w:tc>
          <w:tcPr>
            <w:tcW w:w="960" w:type="dxa"/>
            <w:tcBorders>
              <w:top w:val="nil"/>
              <w:left w:val="nil"/>
              <w:bottom w:val="single" w:sz="8" w:space="0" w:color="auto"/>
              <w:right w:val="single" w:sz="8" w:space="0" w:color="auto"/>
            </w:tcBorders>
            <w:shd w:val="clear" w:color="auto" w:fill="auto"/>
            <w:noWrap/>
            <w:vAlign w:val="center"/>
            <w:hideMark/>
          </w:tcPr>
          <w:p w14:paraId="6AB47D0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0.4</w:t>
            </w:r>
          </w:p>
        </w:tc>
        <w:tc>
          <w:tcPr>
            <w:tcW w:w="960" w:type="dxa"/>
            <w:tcBorders>
              <w:top w:val="nil"/>
              <w:left w:val="nil"/>
              <w:bottom w:val="single" w:sz="8" w:space="0" w:color="auto"/>
              <w:right w:val="single" w:sz="8" w:space="0" w:color="auto"/>
            </w:tcBorders>
            <w:shd w:val="clear" w:color="auto" w:fill="auto"/>
            <w:noWrap/>
            <w:vAlign w:val="center"/>
            <w:hideMark/>
          </w:tcPr>
          <w:p w14:paraId="292C688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0.2</w:t>
            </w:r>
          </w:p>
        </w:tc>
        <w:tc>
          <w:tcPr>
            <w:tcW w:w="960" w:type="dxa"/>
            <w:tcBorders>
              <w:top w:val="nil"/>
              <w:left w:val="nil"/>
              <w:bottom w:val="single" w:sz="8" w:space="0" w:color="auto"/>
              <w:right w:val="single" w:sz="8" w:space="0" w:color="auto"/>
            </w:tcBorders>
            <w:shd w:val="clear" w:color="auto" w:fill="auto"/>
            <w:noWrap/>
            <w:vAlign w:val="center"/>
            <w:hideMark/>
          </w:tcPr>
          <w:p w14:paraId="27B286B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w:t>
            </w:r>
          </w:p>
        </w:tc>
        <w:tc>
          <w:tcPr>
            <w:tcW w:w="960" w:type="dxa"/>
            <w:tcBorders>
              <w:top w:val="nil"/>
              <w:left w:val="nil"/>
              <w:bottom w:val="single" w:sz="8" w:space="0" w:color="auto"/>
              <w:right w:val="single" w:sz="8" w:space="0" w:color="auto"/>
            </w:tcBorders>
            <w:shd w:val="clear" w:color="auto" w:fill="auto"/>
            <w:noWrap/>
            <w:vAlign w:val="center"/>
            <w:hideMark/>
          </w:tcPr>
          <w:p w14:paraId="06E6F0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2.7</w:t>
            </w:r>
          </w:p>
        </w:tc>
        <w:tc>
          <w:tcPr>
            <w:tcW w:w="960" w:type="dxa"/>
            <w:tcBorders>
              <w:top w:val="nil"/>
              <w:left w:val="nil"/>
              <w:bottom w:val="single" w:sz="8" w:space="0" w:color="auto"/>
              <w:right w:val="single" w:sz="8" w:space="0" w:color="auto"/>
            </w:tcBorders>
            <w:shd w:val="clear" w:color="auto" w:fill="auto"/>
            <w:noWrap/>
            <w:vAlign w:val="center"/>
            <w:hideMark/>
          </w:tcPr>
          <w:p w14:paraId="64A5260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w:t>
            </w:r>
          </w:p>
        </w:tc>
        <w:tc>
          <w:tcPr>
            <w:tcW w:w="960" w:type="dxa"/>
            <w:tcBorders>
              <w:top w:val="nil"/>
              <w:left w:val="nil"/>
              <w:bottom w:val="single" w:sz="8" w:space="0" w:color="auto"/>
              <w:right w:val="single" w:sz="8" w:space="0" w:color="auto"/>
            </w:tcBorders>
            <w:shd w:val="clear" w:color="auto" w:fill="auto"/>
            <w:noWrap/>
            <w:vAlign w:val="center"/>
            <w:hideMark/>
          </w:tcPr>
          <w:p w14:paraId="2EB1D2D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w:t>
            </w:r>
          </w:p>
        </w:tc>
        <w:tc>
          <w:tcPr>
            <w:tcW w:w="960" w:type="dxa"/>
            <w:tcBorders>
              <w:top w:val="nil"/>
              <w:left w:val="nil"/>
              <w:bottom w:val="single" w:sz="8" w:space="0" w:color="auto"/>
              <w:right w:val="single" w:sz="8" w:space="0" w:color="auto"/>
            </w:tcBorders>
            <w:shd w:val="clear" w:color="auto" w:fill="auto"/>
            <w:noWrap/>
            <w:vAlign w:val="center"/>
            <w:hideMark/>
          </w:tcPr>
          <w:p w14:paraId="76F216D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r>
      <w:tr w:rsidR="006B1FB2" w:rsidRPr="00191ACB" w14:paraId="6E7077B6"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1F508B0"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1.B.2 - Oil and Natural Gas </w:t>
            </w:r>
          </w:p>
        </w:tc>
        <w:tc>
          <w:tcPr>
            <w:tcW w:w="767" w:type="dxa"/>
            <w:tcBorders>
              <w:top w:val="nil"/>
              <w:left w:val="nil"/>
              <w:bottom w:val="single" w:sz="8" w:space="0" w:color="auto"/>
              <w:right w:val="single" w:sz="8" w:space="0" w:color="auto"/>
            </w:tcBorders>
            <w:shd w:val="clear" w:color="auto" w:fill="auto"/>
            <w:noWrap/>
            <w:vAlign w:val="center"/>
            <w:hideMark/>
          </w:tcPr>
          <w:p w14:paraId="405B3C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72813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76FD44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830947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ABC9B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099260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E547B8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A13276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BDC94C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845879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4C1524F1"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BAD6D9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1.B.3 - Other emissions from Energy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7752FA7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55FD7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8CB4C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A4EE85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034E39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80D08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7036A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919A11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746D5F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38B24F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694B1255"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23700E6"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1.C - Carbon dioxide Transport and Storage </w:t>
            </w:r>
          </w:p>
        </w:tc>
        <w:tc>
          <w:tcPr>
            <w:tcW w:w="767" w:type="dxa"/>
            <w:tcBorders>
              <w:top w:val="nil"/>
              <w:left w:val="nil"/>
              <w:bottom w:val="single" w:sz="8" w:space="0" w:color="auto"/>
              <w:right w:val="single" w:sz="8" w:space="0" w:color="auto"/>
            </w:tcBorders>
            <w:shd w:val="clear" w:color="auto" w:fill="auto"/>
            <w:noWrap/>
            <w:vAlign w:val="center"/>
            <w:hideMark/>
          </w:tcPr>
          <w:p w14:paraId="732A5F1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B8F69B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7D6B83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366EF8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F00C39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B5B9F9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5063EB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BA1E58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CEF321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F61E2E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113835AE"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00B334E"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1.C.1 - Transport of CO2 </w:t>
            </w:r>
          </w:p>
        </w:tc>
        <w:tc>
          <w:tcPr>
            <w:tcW w:w="767" w:type="dxa"/>
            <w:tcBorders>
              <w:top w:val="nil"/>
              <w:left w:val="nil"/>
              <w:bottom w:val="single" w:sz="8" w:space="0" w:color="auto"/>
              <w:right w:val="single" w:sz="8" w:space="0" w:color="auto"/>
            </w:tcBorders>
            <w:shd w:val="clear" w:color="auto" w:fill="auto"/>
            <w:noWrap/>
            <w:vAlign w:val="center"/>
            <w:hideMark/>
          </w:tcPr>
          <w:p w14:paraId="48BBE4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B37AA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18A5F1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46FD90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1E637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7FEB93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213E6F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09175B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75DC65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38F082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48DCC081"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34701D9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1.C.2 - Injection and Storage </w:t>
            </w:r>
          </w:p>
        </w:tc>
        <w:tc>
          <w:tcPr>
            <w:tcW w:w="767" w:type="dxa"/>
            <w:tcBorders>
              <w:top w:val="nil"/>
              <w:left w:val="nil"/>
              <w:bottom w:val="single" w:sz="8" w:space="0" w:color="auto"/>
              <w:right w:val="single" w:sz="8" w:space="0" w:color="auto"/>
            </w:tcBorders>
            <w:shd w:val="clear" w:color="auto" w:fill="auto"/>
            <w:noWrap/>
            <w:vAlign w:val="center"/>
            <w:hideMark/>
          </w:tcPr>
          <w:p w14:paraId="4C2B16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C184E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B7A5D3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0580D2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CFCA3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31DF58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F615C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52237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CA7D0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CF407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3533CD68"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7D1FE10"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1.C.3 - Other </w:t>
            </w:r>
          </w:p>
        </w:tc>
        <w:tc>
          <w:tcPr>
            <w:tcW w:w="767" w:type="dxa"/>
            <w:tcBorders>
              <w:top w:val="nil"/>
              <w:left w:val="nil"/>
              <w:bottom w:val="single" w:sz="8" w:space="0" w:color="auto"/>
              <w:right w:val="single" w:sz="8" w:space="0" w:color="auto"/>
            </w:tcBorders>
            <w:shd w:val="clear" w:color="auto" w:fill="auto"/>
            <w:noWrap/>
            <w:vAlign w:val="center"/>
            <w:hideMark/>
          </w:tcPr>
          <w:p w14:paraId="2E0C868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192A7C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23BBE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90F124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23DB57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467777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05FC76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571C82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919800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25154E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42F96665"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F5BE95F"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2 - Industrial Processes and Product Use </w:t>
            </w:r>
          </w:p>
        </w:tc>
        <w:tc>
          <w:tcPr>
            <w:tcW w:w="767" w:type="dxa"/>
            <w:tcBorders>
              <w:top w:val="nil"/>
              <w:left w:val="nil"/>
              <w:bottom w:val="single" w:sz="8" w:space="0" w:color="auto"/>
              <w:right w:val="single" w:sz="8" w:space="0" w:color="auto"/>
            </w:tcBorders>
            <w:shd w:val="clear" w:color="auto" w:fill="auto"/>
            <w:noWrap/>
            <w:vAlign w:val="center"/>
            <w:hideMark/>
          </w:tcPr>
          <w:p w14:paraId="2414AC2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431.2</w:t>
            </w:r>
          </w:p>
        </w:tc>
        <w:tc>
          <w:tcPr>
            <w:tcW w:w="960" w:type="dxa"/>
            <w:tcBorders>
              <w:top w:val="nil"/>
              <w:left w:val="nil"/>
              <w:bottom w:val="single" w:sz="8" w:space="0" w:color="auto"/>
              <w:right w:val="single" w:sz="8" w:space="0" w:color="auto"/>
            </w:tcBorders>
            <w:shd w:val="clear" w:color="auto" w:fill="auto"/>
            <w:noWrap/>
            <w:vAlign w:val="center"/>
            <w:hideMark/>
          </w:tcPr>
          <w:p w14:paraId="481CB79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1091</w:t>
            </w:r>
          </w:p>
        </w:tc>
        <w:tc>
          <w:tcPr>
            <w:tcW w:w="960" w:type="dxa"/>
            <w:tcBorders>
              <w:top w:val="nil"/>
              <w:left w:val="nil"/>
              <w:bottom w:val="single" w:sz="8" w:space="0" w:color="auto"/>
              <w:right w:val="single" w:sz="8" w:space="0" w:color="auto"/>
            </w:tcBorders>
            <w:shd w:val="clear" w:color="auto" w:fill="auto"/>
            <w:noWrap/>
            <w:vAlign w:val="center"/>
            <w:hideMark/>
          </w:tcPr>
          <w:p w14:paraId="10BD20B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1375.6</w:t>
            </w:r>
          </w:p>
        </w:tc>
        <w:tc>
          <w:tcPr>
            <w:tcW w:w="960" w:type="dxa"/>
            <w:tcBorders>
              <w:top w:val="nil"/>
              <w:left w:val="nil"/>
              <w:bottom w:val="single" w:sz="8" w:space="0" w:color="auto"/>
              <w:right w:val="single" w:sz="8" w:space="0" w:color="auto"/>
            </w:tcBorders>
            <w:shd w:val="clear" w:color="auto" w:fill="auto"/>
            <w:noWrap/>
            <w:vAlign w:val="center"/>
            <w:hideMark/>
          </w:tcPr>
          <w:p w14:paraId="429D9B3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1621</w:t>
            </w:r>
          </w:p>
        </w:tc>
        <w:tc>
          <w:tcPr>
            <w:tcW w:w="960" w:type="dxa"/>
            <w:tcBorders>
              <w:top w:val="nil"/>
              <w:left w:val="nil"/>
              <w:bottom w:val="single" w:sz="8" w:space="0" w:color="auto"/>
              <w:right w:val="single" w:sz="8" w:space="0" w:color="auto"/>
            </w:tcBorders>
            <w:shd w:val="clear" w:color="auto" w:fill="auto"/>
            <w:noWrap/>
            <w:vAlign w:val="center"/>
            <w:hideMark/>
          </w:tcPr>
          <w:p w14:paraId="3357B14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1544</w:t>
            </w:r>
          </w:p>
        </w:tc>
        <w:tc>
          <w:tcPr>
            <w:tcW w:w="960" w:type="dxa"/>
            <w:tcBorders>
              <w:top w:val="nil"/>
              <w:left w:val="nil"/>
              <w:bottom w:val="single" w:sz="8" w:space="0" w:color="auto"/>
              <w:right w:val="single" w:sz="8" w:space="0" w:color="auto"/>
            </w:tcBorders>
            <w:shd w:val="clear" w:color="auto" w:fill="auto"/>
            <w:noWrap/>
            <w:vAlign w:val="center"/>
            <w:hideMark/>
          </w:tcPr>
          <w:p w14:paraId="4638715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1641.8</w:t>
            </w:r>
          </w:p>
        </w:tc>
        <w:tc>
          <w:tcPr>
            <w:tcW w:w="960" w:type="dxa"/>
            <w:tcBorders>
              <w:top w:val="nil"/>
              <w:left w:val="nil"/>
              <w:bottom w:val="single" w:sz="8" w:space="0" w:color="auto"/>
              <w:right w:val="single" w:sz="8" w:space="0" w:color="auto"/>
            </w:tcBorders>
            <w:shd w:val="clear" w:color="auto" w:fill="auto"/>
            <w:noWrap/>
            <w:vAlign w:val="center"/>
            <w:hideMark/>
          </w:tcPr>
          <w:p w14:paraId="7E6014A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1755.3</w:t>
            </w:r>
          </w:p>
        </w:tc>
        <w:tc>
          <w:tcPr>
            <w:tcW w:w="960" w:type="dxa"/>
            <w:tcBorders>
              <w:top w:val="nil"/>
              <w:left w:val="nil"/>
              <w:bottom w:val="single" w:sz="8" w:space="0" w:color="auto"/>
              <w:right w:val="single" w:sz="8" w:space="0" w:color="auto"/>
            </w:tcBorders>
            <w:shd w:val="clear" w:color="auto" w:fill="auto"/>
            <w:noWrap/>
            <w:vAlign w:val="center"/>
            <w:hideMark/>
          </w:tcPr>
          <w:p w14:paraId="4706326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1609.7</w:t>
            </w:r>
          </w:p>
        </w:tc>
        <w:tc>
          <w:tcPr>
            <w:tcW w:w="960" w:type="dxa"/>
            <w:tcBorders>
              <w:top w:val="nil"/>
              <w:left w:val="nil"/>
              <w:bottom w:val="single" w:sz="8" w:space="0" w:color="auto"/>
              <w:right w:val="single" w:sz="8" w:space="0" w:color="auto"/>
            </w:tcBorders>
            <w:shd w:val="clear" w:color="auto" w:fill="auto"/>
            <w:noWrap/>
            <w:vAlign w:val="center"/>
            <w:hideMark/>
          </w:tcPr>
          <w:p w14:paraId="53C84F2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1904.8</w:t>
            </w:r>
          </w:p>
        </w:tc>
        <w:tc>
          <w:tcPr>
            <w:tcW w:w="960" w:type="dxa"/>
            <w:tcBorders>
              <w:top w:val="nil"/>
              <w:left w:val="nil"/>
              <w:bottom w:val="single" w:sz="8" w:space="0" w:color="auto"/>
              <w:right w:val="single" w:sz="8" w:space="0" w:color="auto"/>
            </w:tcBorders>
            <w:shd w:val="clear" w:color="auto" w:fill="auto"/>
            <w:noWrap/>
            <w:vAlign w:val="center"/>
            <w:hideMark/>
          </w:tcPr>
          <w:p w14:paraId="4690FA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2091.2</w:t>
            </w:r>
          </w:p>
        </w:tc>
      </w:tr>
      <w:tr w:rsidR="006B1FB2" w:rsidRPr="00191ACB" w14:paraId="25B739C6"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74DA0A2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2.A - Mineral Industry </w:t>
            </w:r>
          </w:p>
        </w:tc>
        <w:tc>
          <w:tcPr>
            <w:tcW w:w="767" w:type="dxa"/>
            <w:tcBorders>
              <w:top w:val="nil"/>
              <w:left w:val="nil"/>
              <w:bottom w:val="single" w:sz="8" w:space="0" w:color="auto"/>
              <w:right w:val="single" w:sz="8" w:space="0" w:color="auto"/>
            </w:tcBorders>
            <w:shd w:val="clear" w:color="auto" w:fill="auto"/>
            <w:noWrap/>
            <w:vAlign w:val="center"/>
            <w:hideMark/>
          </w:tcPr>
          <w:p w14:paraId="6BC475B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322.6</w:t>
            </w:r>
          </w:p>
        </w:tc>
        <w:tc>
          <w:tcPr>
            <w:tcW w:w="960" w:type="dxa"/>
            <w:tcBorders>
              <w:top w:val="nil"/>
              <w:left w:val="nil"/>
              <w:bottom w:val="single" w:sz="8" w:space="0" w:color="auto"/>
              <w:right w:val="single" w:sz="8" w:space="0" w:color="auto"/>
            </w:tcBorders>
            <w:shd w:val="clear" w:color="auto" w:fill="auto"/>
            <w:noWrap/>
            <w:vAlign w:val="center"/>
            <w:hideMark/>
          </w:tcPr>
          <w:p w14:paraId="6AE5284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1044.2</w:t>
            </w:r>
          </w:p>
        </w:tc>
        <w:tc>
          <w:tcPr>
            <w:tcW w:w="960" w:type="dxa"/>
            <w:tcBorders>
              <w:top w:val="nil"/>
              <w:left w:val="nil"/>
              <w:bottom w:val="single" w:sz="8" w:space="0" w:color="auto"/>
              <w:right w:val="single" w:sz="8" w:space="0" w:color="auto"/>
            </w:tcBorders>
            <w:shd w:val="clear" w:color="auto" w:fill="auto"/>
            <w:noWrap/>
            <w:vAlign w:val="center"/>
            <w:hideMark/>
          </w:tcPr>
          <w:p w14:paraId="7446FF2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1275.8</w:t>
            </w:r>
          </w:p>
        </w:tc>
        <w:tc>
          <w:tcPr>
            <w:tcW w:w="960" w:type="dxa"/>
            <w:tcBorders>
              <w:top w:val="nil"/>
              <w:left w:val="nil"/>
              <w:bottom w:val="single" w:sz="8" w:space="0" w:color="auto"/>
              <w:right w:val="single" w:sz="8" w:space="0" w:color="auto"/>
            </w:tcBorders>
            <w:shd w:val="clear" w:color="auto" w:fill="auto"/>
            <w:noWrap/>
            <w:vAlign w:val="center"/>
            <w:hideMark/>
          </w:tcPr>
          <w:p w14:paraId="62B8B4B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1479.9</w:t>
            </w:r>
          </w:p>
        </w:tc>
        <w:tc>
          <w:tcPr>
            <w:tcW w:w="960" w:type="dxa"/>
            <w:tcBorders>
              <w:top w:val="nil"/>
              <w:left w:val="nil"/>
              <w:bottom w:val="single" w:sz="8" w:space="0" w:color="auto"/>
              <w:right w:val="single" w:sz="8" w:space="0" w:color="auto"/>
            </w:tcBorders>
            <w:shd w:val="clear" w:color="auto" w:fill="auto"/>
            <w:noWrap/>
            <w:vAlign w:val="center"/>
            <w:hideMark/>
          </w:tcPr>
          <w:p w14:paraId="62F9E06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1452.8</w:t>
            </w:r>
          </w:p>
        </w:tc>
        <w:tc>
          <w:tcPr>
            <w:tcW w:w="960" w:type="dxa"/>
            <w:tcBorders>
              <w:top w:val="nil"/>
              <w:left w:val="nil"/>
              <w:bottom w:val="single" w:sz="8" w:space="0" w:color="auto"/>
              <w:right w:val="single" w:sz="8" w:space="0" w:color="auto"/>
            </w:tcBorders>
            <w:shd w:val="clear" w:color="auto" w:fill="auto"/>
            <w:noWrap/>
            <w:vAlign w:val="center"/>
            <w:hideMark/>
          </w:tcPr>
          <w:p w14:paraId="272340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1540.6</w:t>
            </w:r>
          </w:p>
        </w:tc>
        <w:tc>
          <w:tcPr>
            <w:tcW w:w="960" w:type="dxa"/>
            <w:tcBorders>
              <w:top w:val="nil"/>
              <w:left w:val="nil"/>
              <w:bottom w:val="single" w:sz="8" w:space="0" w:color="auto"/>
              <w:right w:val="single" w:sz="8" w:space="0" w:color="auto"/>
            </w:tcBorders>
            <w:shd w:val="clear" w:color="auto" w:fill="auto"/>
            <w:noWrap/>
            <w:vAlign w:val="center"/>
            <w:hideMark/>
          </w:tcPr>
          <w:p w14:paraId="0E5E765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1646.6</w:t>
            </w:r>
          </w:p>
        </w:tc>
        <w:tc>
          <w:tcPr>
            <w:tcW w:w="960" w:type="dxa"/>
            <w:tcBorders>
              <w:top w:val="nil"/>
              <w:left w:val="nil"/>
              <w:bottom w:val="single" w:sz="8" w:space="0" w:color="auto"/>
              <w:right w:val="single" w:sz="8" w:space="0" w:color="auto"/>
            </w:tcBorders>
            <w:shd w:val="clear" w:color="auto" w:fill="auto"/>
            <w:noWrap/>
            <w:vAlign w:val="center"/>
            <w:hideMark/>
          </w:tcPr>
          <w:p w14:paraId="58EDD19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1488.1</w:t>
            </w:r>
          </w:p>
        </w:tc>
        <w:tc>
          <w:tcPr>
            <w:tcW w:w="960" w:type="dxa"/>
            <w:tcBorders>
              <w:top w:val="nil"/>
              <w:left w:val="nil"/>
              <w:bottom w:val="single" w:sz="8" w:space="0" w:color="auto"/>
              <w:right w:val="single" w:sz="8" w:space="0" w:color="auto"/>
            </w:tcBorders>
            <w:shd w:val="clear" w:color="auto" w:fill="auto"/>
            <w:noWrap/>
            <w:vAlign w:val="center"/>
            <w:hideMark/>
          </w:tcPr>
          <w:p w14:paraId="368EC2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1782.5</w:t>
            </w:r>
          </w:p>
        </w:tc>
        <w:tc>
          <w:tcPr>
            <w:tcW w:w="960" w:type="dxa"/>
            <w:tcBorders>
              <w:top w:val="nil"/>
              <w:left w:val="nil"/>
              <w:bottom w:val="single" w:sz="8" w:space="0" w:color="auto"/>
              <w:right w:val="single" w:sz="8" w:space="0" w:color="auto"/>
            </w:tcBorders>
            <w:shd w:val="clear" w:color="auto" w:fill="auto"/>
            <w:noWrap/>
            <w:vAlign w:val="center"/>
            <w:hideMark/>
          </w:tcPr>
          <w:p w14:paraId="1DB78D5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1951.6</w:t>
            </w:r>
          </w:p>
        </w:tc>
      </w:tr>
      <w:tr w:rsidR="006B1FB2" w:rsidRPr="00191ACB" w14:paraId="60755871"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130269E"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2.A.1 - Cement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2F462C0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172.6</w:t>
            </w:r>
          </w:p>
        </w:tc>
        <w:tc>
          <w:tcPr>
            <w:tcW w:w="960" w:type="dxa"/>
            <w:tcBorders>
              <w:top w:val="nil"/>
              <w:left w:val="nil"/>
              <w:bottom w:val="single" w:sz="8" w:space="0" w:color="auto"/>
              <w:right w:val="single" w:sz="8" w:space="0" w:color="auto"/>
            </w:tcBorders>
            <w:shd w:val="clear" w:color="auto" w:fill="auto"/>
            <w:noWrap/>
            <w:vAlign w:val="center"/>
            <w:hideMark/>
          </w:tcPr>
          <w:p w14:paraId="3213DDF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158.8</w:t>
            </w:r>
          </w:p>
        </w:tc>
        <w:tc>
          <w:tcPr>
            <w:tcW w:w="960" w:type="dxa"/>
            <w:tcBorders>
              <w:top w:val="nil"/>
              <w:left w:val="nil"/>
              <w:bottom w:val="single" w:sz="8" w:space="0" w:color="auto"/>
              <w:right w:val="single" w:sz="8" w:space="0" w:color="auto"/>
            </w:tcBorders>
            <w:shd w:val="clear" w:color="auto" w:fill="auto"/>
            <w:noWrap/>
            <w:vAlign w:val="center"/>
            <w:hideMark/>
          </w:tcPr>
          <w:p w14:paraId="3F370E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275.3</w:t>
            </w:r>
          </w:p>
        </w:tc>
        <w:tc>
          <w:tcPr>
            <w:tcW w:w="960" w:type="dxa"/>
            <w:tcBorders>
              <w:top w:val="nil"/>
              <w:left w:val="nil"/>
              <w:bottom w:val="single" w:sz="8" w:space="0" w:color="auto"/>
              <w:right w:val="single" w:sz="8" w:space="0" w:color="auto"/>
            </w:tcBorders>
            <w:shd w:val="clear" w:color="auto" w:fill="auto"/>
            <w:noWrap/>
            <w:vAlign w:val="center"/>
            <w:hideMark/>
          </w:tcPr>
          <w:p w14:paraId="3E307A6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375.2</w:t>
            </w:r>
          </w:p>
        </w:tc>
        <w:tc>
          <w:tcPr>
            <w:tcW w:w="960" w:type="dxa"/>
            <w:tcBorders>
              <w:top w:val="nil"/>
              <w:left w:val="nil"/>
              <w:bottom w:val="single" w:sz="8" w:space="0" w:color="auto"/>
              <w:right w:val="single" w:sz="8" w:space="0" w:color="auto"/>
            </w:tcBorders>
            <w:shd w:val="clear" w:color="auto" w:fill="auto"/>
            <w:noWrap/>
            <w:vAlign w:val="center"/>
            <w:hideMark/>
          </w:tcPr>
          <w:p w14:paraId="64D539B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533.6</w:t>
            </w:r>
          </w:p>
        </w:tc>
        <w:tc>
          <w:tcPr>
            <w:tcW w:w="960" w:type="dxa"/>
            <w:tcBorders>
              <w:top w:val="nil"/>
              <w:left w:val="nil"/>
              <w:bottom w:val="single" w:sz="8" w:space="0" w:color="auto"/>
              <w:right w:val="single" w:sz="8" w:space="0" w:color="auto"/>
            </w:tcBorders>
            <w:shd w:val="clear" w:color="auto" w:fill="auto"/>
            <w:noWrap/>
            <w:vAlign w:val="center"/>
            <w:hideMark/>
          </w:tcPr>
          <w:p w14:paraId="6314931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558.4</w:t>
            </w:r>
          </w:p>
        </w:tc>
        <w:tc>
          <w:tcPr>
            <w:tcW w:w="960" w:type="dxa"/>
            <w:tcBorders>
              <w:top w:val="nil"/>
              <w:left w:val="nil"/>
              <w:bottom w:val="single" w:sz="8" w:space="0" w:color="auto"/>
              <w:right w:val="single" w:sz="8" w:space="0" w:color="auto"/>
            </w:tcBorders>
            <w:shd w:val="clear" w:color="auto" w:fill="auto"/>
            <w:noWrap/>
            <w:vAlign w:val="center"/>
            <w:hideMark/>
          </w:tcPr>
          <w:p w14:paraId="275D047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602.6</w:t>
            </w:r>
          </w:p>
        </w:tc>
        <w:tc>
          <w:tcPr>
            <w:tcW w:w="960" w:type="dxa"/>
            <w:tcBorders>
              <w:top w:val="nil"/>
              <w:left w:val="nil"/>
              <w:bottom w:val="single" w:sz="8" w:space="0" w:color="auto"/>
              <w:right w:val="single" w:sz="8" w:space="0" w:color="auto"/>
            </w:tcBorders>
            <w:shd w:val="clear" w:color="auto" w:fill="auto"/>
            <w:noWrap/>
            <w:vAlign w:val="center"/>
            <w:hideMark/>
          </w:tcPr>
          <w:p w14:paraId="368070B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717.5</w:t>
            </w:r>
          </w:p>
        </w:tc>
        <w:tc>
          <w:tcPr>
            <w:tcW w:w="960" w:type="dxa"/>
            <w:tcBorders>
              <w:top w:val="nil"/>
              <w:left w:val="nil"/>
              <w:bottom w:val="single" w:sz="8" w:space="0" w:color="auto"/>
              <w:right w:val="single" w:sz="8" w:space="0" w:color="auto"/>
            </w:tcBorders>
            <w:shd w:val="clear" w:color="auto" w:fill="auto"/>
            <w:noWrap/>
            <w:vAlign w:val="center"/>
            <w:hideMark/>
          </w:tcPr>
          <w:p w14:paraId="7871EF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772.5</w:t>
            </w:r>
          </w:p>
        </w:tc>
        <w:tc>
          <w:tcPr>
            <w:tcW w:w="960" w:type="dxa"/>
            <w:tcBorders>
              <w:top w:val="nil"/>
              <w:left w:val="nil"/>
              <w:bottom w:val="single" w:sz="8" w:space="0" w:color="auto"/>
              <w:right w:val="single" w:sz="8" w:space="0" w:color="auto"/>
            </w:tcBorders>
            <w:shd w:val="clear" w:color="auto" w:fill="auto"/>
            <w:noWrap/>
            <w:vAlign w:val="center"/>
            <w:hideMark/>
          </w:tcPr>
          <w:p w14:paraId="45EAEC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925.1</w:t>
            </w:r>
          </w:p>
        </w:tc>
      </w:tr>
      <w:tr w:rsidR="006B1FB2" w:rsidRPr="00191ACB" w14:paraId="5D1CF493"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0CECC0F"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2.A.2 - Lime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687709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150</w:t>
            </w:r>
          </w:p>
        </w:tc>
        <w:tc>
          <w:tcPr>
            <w:tcW w:w="960" w:type="dxa"/>
            <w:tcBorders>
              <w:top w:val="nil"/>
              <w:left w:val="nil"/>
              <w:bottom w:val="single" w:sz="8" w:space="0" w:color="auto"/>
              <w:right w:val="single" w:sz="8" w:space="0" w:color="auto"/>
            </w:tcBorders>
            <w:shd w:val="clear" w:color="auto" w:fill="auto"/>
            <w:noWrap/>
            <w:vAlign w:val="center"/>
            <w:hideMark/>
          </w:tcPr>
          <w:p w14:paraId="39A9F59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885.3</w:t>
            </w:r>
          </w:p>
        </w:tc>
        <w:tc>
          <w:tcPr>
            <w:tcW w:w="960" w:type="dxa"/>
            <w:tcBorders>
              <w:top w:val="nil"/>
              <w:left w:val="nil"/>
              <w:bottom w:val="single" w:sz="8" w:space="0" w:color="auto"/>
              <w:right w:val="single" w:sz="8" w:space="0" w:color="auto"/>
            </w:tcBorders>
            <w:shd w:val="clear" w:color="auto" w:fill="auto"/>
            <w:noWrap/>
            <w:vAlign w:val="center"/>
            <w:hideMark/>
          </w:tcPr>
          <w:p w14:paraId="483FCE4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1000.5</w:t>
            </w:r>
          </w:p>
        </w:tc>
        <w:tc>
          <w:tcPr>
            <w:tcW w:w="960" w:type="dxa"/>
            <w:tcBorders>
              <w:top w:val="nil"/>
              <w:left w:val="nil"/>
              <w:bottom w:val="single" w:sz="8" w:space="0" w:color="auto"/>
              <w:right w:val="single" w:sz="8" w:space="0" w:color="auto"/>
            </w:tcBorders>
            <w:shd w:val="clear" w:color="auto" w:fill="auto"/>
            <w:noWrap/>
            <w:vAlign w:val="center"/>
            <w:hideMark/>
          </w:tcPr>
          <w:p w14:paraId="52D8DE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1103</w:t>
            </w:r>
          </w:p>
        </w:tc>
        <w:tc>
          <w:tcPr>
            <w:tcW w:w="960" w:type="dxa"/>
            <w:tcBorders>
              <w:top w:val="nil"/>
              <w:left w:val="nil"/>
              <w:bottom w:val="single" w:sz="8" w:space="0" w:color="auto"/>
              <w:right w:val="single" w:sz="8" w:space="0" w:color="auto"/>
            </w:tcBorders>
            <w:shd w:val="clear" w:color="auto" w:fill="auto"/>
            <w:noWrap/>
            <w:vAlign w:val="center"/>
            <w:hideMark/>
          </w:tcPr>
          <w:p w14:paraId="64E8E92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919.2</w:t>
            </w:r>
          </w:p>
        </w:tc>
        <w:tc>
          <w:tcPr>
            <w:tcW w:w="960" w:type="dxa"/>
            <w:tcBorders>
              <w:top w:val="nil"/>
              <w:left w:val="nil"/>
              <w:bottom w:val="single" w:sz="8" w:space="0" w:color="auto"/>
              <w:right w:val="single" w:sz="8" w:space="0" w:color="auto"/>
            </w:tcBorders>
            <w:shd w:val="clear" w:color="auto" w:fill="auto"/>
            <w:noWrap/>
            <w:vAlign w:val="center"/>
            <w:hideMark/>
          </w:tcPr>
          <w:p w14:paraId="5644F5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979.5</w:t>
            </w:r>
          </w:p>
        </w:tc>
        <w:tc>
          <w:tcPr>
            <w:tcW w:w="960" w:type="dxa"/>
            <w:tcBorders>
              <w:top w:val="nil"/>
              <w:left w:val="nil"/>
              <w:bottom w:val="single" w:sz="8" w:space="0" w:color="auto"/>
              <w:right w:val="single" w:sz="8" w:space="0" w:color="auto"/>
            </w:tcBorders>
            <w:shd w:val="clear" w:color="auto" w:fill="auto"/>
            <w:noWrap/>
            <w:vAlign w:val="center"/>
            <w:hideMark/>
          </w:tcPr>
          <w:p w14:paraId="2E8C01A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1040.4</w:t>
            </w:r>
          </w:p>
        </w:tc>
        <w:tc>
          <w:tcPr>
            <w:tcW w:w="960" w:type="dxa"/>
            <w:tcBorders>
              <w:top w:val="nil"/>
              <w:left w:val="nil"/>
              <w:bottom w:val="single" w:sz="8" w:space="0" w:color="auto"/>
              <w:right w:val="single" w:sz="8" w:space="0" w:color="auto"/>
            </w:tcBorders>
            <w:shd w:val="clear" w:color="auto" w:fill="auto"/>
            <w:noWrap/>
            <w:vAlign w:val="center"/>
            <w:hideMark/>
          </w:tcPr>
          <w:p w14:paraId="4C2833B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768.1</w:t>
            </w:r>
          </w:p>
        </w:tc>
        <w:tc>
          <w:tcPr>
            <w:tcW w:w="960" w:type="dxa"/>
            <w:tcBorders>
              <w:top w:val="nil"/>
              <w:left w:val="nil"/>
              <w:bottom w:val="single" w:sz="8" w:space="0" w:color="auto"/>
              <w:right w:val="single" w:sz="8" w:space="0" w:color="auto"/>
            </w:tcBorders>
            <w:shd w:val="clear" w:color="auto" w:fill="auto"/>
            <w:noWrap/>
            <w:vAlign w:val="center"/>
            <w:hideMark/>
          </w:tcPr>
          <w:p w14:paraId="3D53E6D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1004.4</w:t>
            </w:r>
          </w:p>
        </w:tc>
        <w:tc>
          <w:tcPr>
            <w:tcW w:w="960" w:type="dxa"/>
            <w:tcBorders>
              <w:top w:val="nil"/>
              <w:left w:val="nil"/>
              <w:bottom w:val="single" w:sz="8" w:space="0" w:color="auto"/>
              <w:right w:val="single" w:sz="8" w:space="0" w:color="auto"/>
            </w:tcBorders>
            <w:shd w:val="clear" w:color="auto" w:fill="auto"/>
            <w:noWrap/>
            <w:vAlign w:val="center"/>
            <w:hideMark/>
          </w:tcPr>
          <w:p w14:paraId="56CBA24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1015.9</w:t>
            </w:r>
          </w:p>
        </w:tc>
      </w:tr>
      <w:tr w:rsidR="006B1FB2" w:rsidRPr="00191ACB" w14:paraId="01875E24"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3ADF9E7E"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2.A.3 - Glass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2FD0219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EA655B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E32DA2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FE78BA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0E5EA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F705F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509C07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228CC2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22DB05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DD3CDB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4F65E5E1"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133463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2.A.4 - Other Process Uses of Carbonates </w:t>
            </w:r>
          </w:p>
        </w:tc>
        <w:tc>
          <w:tcPr>
            <w:tcW w:w="767" w:type="dxa"/>
            <w:tcBorders>
              <w:top w:val="nil"/>
              <w:left w:val="nil"/>
              <w:bottom w:val="single" w:sz="8" w:space="0" w:color="auto"/>
              <w:right w:val="single" w:sz="8" w:space="0" w:color="auto"/>
            </w:tcBorders>
            <w:shd w:val="clear" w:color="auto" w:fill="auto"/>
            <w:noWrap/>
            <w:vAlign w:val="center"/>
            <w:hideMark/>
          </w:tcPr>
          <w:p w14:paraId="6718D21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3E3FBC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2E36254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E409B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960" w:type="dxa"/>
            <w:tcBorders>
              <w:top w:val="nil"/>
              <w:left w:val="nil"/>
              <w:bottom w:val="single" w:sz="8" w:space="0" w:color="auto"/>
              <w:right w:val="single" w:sz="8" w:space="0" w:color="auto"/>
            </w:tcBorders>
            <w:shd w:val="clear" w:color="auto" w:fill="auto"/>
            <w:noWrap/>
            <w:vAlign w:val="center"/>
            <w:hideMark/>
          </w:tcPr>
          <w:p w14:paraId="3F9BBDF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4D2CB6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2.8</w:t>
            </w:r>
          </w:p>
        </w:tc>
        <w:tc>
          <w:tcPr>
            <w:tcW w:w="960" w:type="dxa"/>
            <w:tcBorders>
              <w:top w:val="nil"/>
              <w:left w:val="nil"/>
              <w:bottom w:val="single" w:sz="8" w:space="0" w:color="auto"/>
              <w:right w:val="single" w:sz="8" w:space="0" w:color="auto"/>
            </w:tcBorders>
            <w:shd w:val="clear" w:color="auto" w:fill="auto"/>
            <w:noWrap/>
            <w:vAlign w:val="center"/>
            <w:hideMark/>
          </w:tcPr>
          <w:p w14:paraId="35D1E3C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3.6</w:t>
            </w:r>
          </w:p>
        </w:tc>
        <w:tc>
          <w:tcPr>
            <w:tcW w:w="960" w:type="dxa"/>
            <w:tcBorders>
              <w:top w:val="nil"/>
              <w:left w:val="nil"/>
              <w:bottom w:val="single" w:sz="8" w:space="0" w:color="auto"/>
              <w:right w:val="single" w:sz="8" w:space="0" w:color="auto"/>
            </w:tcBorders>
            <w:shd w:val="clear" w:color="auto" w:fill="auto"/>
            <w:noWrap/>
            <w:vAlign w:val="center"/>
            <w:hideMark/>
          </w:tcPr>
          <w:p w14:paraId="501BBCA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2.5</w:t>
            </w:r>
          </w:p>
        </w:tc>
        <w:tc>
          <w:tcPr>
            <w:tcW w:w="960" w:type="dxa"/>
            <w:tcBorders>
              <w:top w:val="nil"/>
              <w:left w:val="nil"/>
              <w:bottom w:val="single" w:sz="8" w:space="0" w:color="auto"/>
              <w:right w:val="single" w:sz="8" w:space="0" w:color="auto"/>
            </w:tcBorders>
            <w:shd w:val="clear" w:color="auto" w:fill="auto"/>
            <w:noWrap/>
            <w:vAlign w:val="center"/>
            <w:hideMark/>
          </w:tcPr>
          <w:p w14:paraId="532051F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5.7</w:t>
            </w:r>
          </w:p>
        </w:tc>
        <w:tc>
          <w:tcPr>
            <w:tcW w:w="960" w:type="dxa"/>
            <w:tcBorders>
              <w:top w:val="nil"/>
              <w:left w:val="nil"/>
              <w:bottom w:val="single" w:sz="8" w:space="0" w:color="auto"/>
              <w:right w:val="single" w:sz="8" w:space="0" w:color="auto"/>
            </w:tcBorders>
            <w:shd w:val="clear" w:color="auto" w:fill="auto"/>
            <w:noWrap/>
            <w:vAlign w:val="center"/>
            <w:hideMark/>
          </w:tcPr>
          <w:p w14:paraId="19F4622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10.5</w:t>
            </w:r>
          </w:p>
        </w:tc>
      </w:tr>
      <w:tr w:rsidR="006B1FB2" w:rsidRPr="00191ACB" w14:paraId="1AD23949"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330CAA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2.A.5 - Other (please specify) </w:t>
            </w:r>
          </w:p>
        </w:tc>
        <w:tc>
          <w:tcPr>
            <w:tcW w:w="767" w:type="dxa"/>
            <w:tcBorders>
              <w:top w:val="nil"/>
              <w:left w:val="nil"/>
              <w:bottom w:val="single" w:sz="8" w:space="0" w:color="auto"/>
              <w:right w:val="single" w:sz="8" w:space="0" w:color="auto"/>
            </w:tcBorders>
            <w:shd w:val="clear" w:color="auto" w:fill="auto"/>
            <w:noWrap/>
            <w:vAlign w:val="center"/>
            <w:hideMark/>
          </w:tcPr>
          <w:p w14:paraId="51DBEB7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CE5434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2527E6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1C7916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02101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D5370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50B3B8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AF7F21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50FA8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4C1687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20B1F19C"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DEC7000"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 - Chemical Industry </w:t>
            </w:r>
          </w:p>
        </w:tc>
        <w:tc>
          <w:tcPr>
            <w:tcW w:w="767" w:type="dxa"/>
            <w:tcBorders>
              <w:top w:val="nil"/>
              <w:left w:val="nil"/>
              <w:bottom w:val="single" w:sz="8" w:space="0" w:color="auto"/>
              <w:right w:val="single" w:sz="8" w:space="0" w:color="auto"/>
            </w:tcBorders>
            <w:shd w:val="clear" w:color="auto" w:fill="auto"/>
            <w:noWrap/>
            <w:vAlign w:val="center"/>
            <w:hideMark/>
          </w:tcPr>
          <w:p w14:paraId="4291789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101.5</w:t>
            </w:r>
          </w:p>
        </w:tc>
        <w:tc>
          <w:tcPr>
            <w:tcW w:w="960" w:type="dxa"/>
            <w:tcBorders>
              <w:top w:val="nil"/>
              <w:left w:val="nil"/>
              <w:bottom w:val="single" w:sz="8" w:space="0" w:color="auto"/>
              <w:right w:val="single" w:sz="8" w:space="0" w:color="auto"/>
            </w:tcBorders>
            <w:shd w:val="clear" w:color="auto" w:fill="auto"/>
            <w:noWrap/>
            <w:vAlign w:val="center"/>
            <w:hideMark/>
          </w:tcPr>
          <w:p w14:paraId="61CCAC8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23.7</w:t>
            </w:r>
          </w:p>
        </w:tc>
        <w:tc>
          <w:tcPr>
            <w:tcW w:w="960" w:type="dxa"/>
            <w:tcBorders>
              <w:top w:val="nil"/>
              <w:left w:val="nil"/>
              <w:bottom w:val="single" w:sz="8" w:space="0" w:color="auto"/>
              <w:right w:val="single" w:sz="8" w:space="0" w:color="auto"/>
            </w:tcBorders>
            <w:shd w:val="clear" w:color="auto" w:fill="auto"/>
            <w:noWrap/>
            <w:vAlign w:val="center"/>
            <w:hideMark/>
          </w:tcPr>
          <w:p w14:paraId="04035ED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059D62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179D95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A94589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48168AB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23D478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0.6</w:t>
            </w:r>
          </w:p>
        </w:tc>
        <w:tc>
          <w:tcPr>
            <w:tcW w:w="960" w:type="dxa"/>
            <w:tcBorders>
              <w:top w:val="nil"/>
              <w:left w:val="nil"/>
              <w:bottom w:val="single" w:sz="8" w:space="0" w:color="auto"/>
              <w:right w:val="single" w:sz="8" w:space="0" w:color="auto"/>
            </w:tcBorders>
            <w:shd w:val="clear" w:color="auto" w:fill="auto"/>
            <w:noWrap/>
            <w:vAlign w:val="center"/>
            <w:hideMark/>
          </w:tcPr>
          <w:p w14:paraId="2928672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E09955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4.2</w:t>
            </w:r>
          </w:p>
        </w:tc>
      </w:tr>
      <w:tr w:rsidR="006B1FB2" w:rsidRPr="00191ACB" w14:paraId="57F464D2"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58EB574"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2.B.1 - Ammonia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2ED3FD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37.2</w:t>
            </w:r>
          </w:p>
        </w:tc>
        <w:tc>
          <w:tcPr>
            <w:tcW w:w="960" w:type="dxa"/>
            <w:tcBorders>
              <w:top w:val="nil"/>
              <w:left w:val="nil"/>
              <w:bottom w:val="single" w:sz="8" w:space="0" w:color="auto"/>
              <w:right w:val="single" w:sz="8" w:space="0" w:color="auto"/>
            </w:tcBorders>
            <w:shd w:val="clear" w:color="auto" w:fill="auto"/>
            <w:noWrap/>
            <w:vAlign w:val="center"/>
            <w:hideMark/>
          </w:tcPr>
          <w:p w14:paraId="15AE3A1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57F6F84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38A025B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72D3E0D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45650ED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50F62D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F43708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2941091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3F05AE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6BBBF2FB"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5CCBC88"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2.B.2 - Nitric Acid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2A698A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64.3</w:t>
            </w:r>
          </w:p>
        </w:tc>
        <w:tc>
          <w:tcPr>
            <w:tcW w:w="960" w:type="dxa"/>
            <w:tcBorders>
              <w:top w:val="nil"/>
              <w:left w:val="nil"/>
              <w:bottom w:val="single" w:sz="8" w:space="0" w:color="auto"/>
              <w:right w:val="single" w:sz="8" w:space="0" w:color="auto"/>
            </w:tcBorders>
            <w:shd w:val="clear" w:color="auto" w:fill="auto"/>
            <w:noWrap/>
            <w:vAlign w:val="center"/>
            <w:hideMark/>
          </w:tcPr>
          <w:p w14:paraId="2E06071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23.7</w:t>
            </w:r>
          </w:p>
        </w:tc>
        <w:tc>
          <w:tcPr>
            <w:tcW w:w="960" w:type="dxa"/>
            <w:tcBorders>
              <w:top w:val="nil"/>
              <w:left w:val="nil"/>
              <w:bottom w:val="single" w:sz="8" w:space="0" w:color="auto"/>
              <w:right w:val="single" w:sz="8" w:space="0" w:color="auto"/>
            </w:tcBorders>
            <w:shd w:val="clear" w:color="auto" w:fill="auto"/>
            <w:noWrap/>
            <w:vAlign w:val="center"/>
            <w:hideMark/>
          </w:tcPr>
          <w:p w14:paraId="384AEED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2DBAC1F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70B0229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302B7FA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FCCF52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44E47C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0.6</w:t>
            </w:r>
          </w:p>
        </w:tc>
        <w:tc>
          <w:tcPr>
            <w:tcW w:w="960" w:type="dxa"/>
            <w:tcBorders>
              <w:top w:val="nil"/>
              <w:left w:val="nil"/>
              <w:bottom w:val="single" w:sz="8" w:space="0" w:color="auto"/>
              <w:right w:val="single" w:sz="8" w:space="0" w:color="auto"/>
            </w:tcBorders>
            <w:shd w:val="clear" w:color="auto" w:fill="auto"/>
            <w:noWrap/>
            <w:vAlign w:val="center"/>
            <w:hideMark/>
          </w:tcPr>
          <w:p w14:paraId="0C91DCF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52D5B63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4.2</w:t>
            </w:r>
          </w:p>
        </w:tc>
      </w:tr>
      <w:tr w:rsidR="006B1FB2" w:rsidRPr="00191ACB" w14:paraId="39A6D330"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4657E5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2.B.3 - Adipic Acid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64ABE26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11AA39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60223C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B2380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BFD0EB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62A641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34F7A0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B0897E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3B7AE4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8A62A0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68183D47"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000BC5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2.B.4 - Caprolactam, Glyoxal and Glyoxylic Acid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47454E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8D35EF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FEF2A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531271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9B62A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C8095C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BFDA3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C82643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14A68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E94A8B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0819F5FF"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4F3C8BA"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2.B.5 - Carbide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17684B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72C305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546990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0694F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3291B6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B0D745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E352EB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94DAE5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4254E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6319B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5D531F80"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6FEEE68"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2.B.6 - Titanium Dioxide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5D0D038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74CC2D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6DB44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4CFF09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84E6AB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36194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19922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AC998C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2F67EC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5698D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0269AB51"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8EC5DE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2.B.7 - Soda Ash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7EDBFA3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81A841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C495EA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5C1551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4EAD33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FB68A5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8E570B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521D8C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E86EC6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928845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60EB6144"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ADDEE43"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2.B.8 - Petrochemical and Carbon Black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1F0A3DC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6F1106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90F04B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0352E1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335C5A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0EC725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9EAF8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650F29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A76290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210932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1976876F"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0FF5CD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2.B.9 - Fluorochemical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1F98CC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3E7D0F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F4832E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FD590F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F277E1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91E20D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3DE86B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AE2CD3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9E742F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801005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033B6853"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73367CE5"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2.B.10 - Other (Please specify) </w:t>
            </w:r>
          </w:p>
        </w:tc>
        <w:tc>
          <w:tcPr>
            <w:tcW w:w="767" w:type="dxa"/>
            <w:tcBorders>
              <w:top w:val="nil"/>
              <w:left w:val="nil"/>
              <w:bottom w:val="single" w:sz="8" w:space="0" w:color="auto"/>
              <w:right w:val="single" w:sz="8" w:space="0" w:color="auto"/>
            </w:tcBorders>
            <w:shd w:val="clear" w:color="auto" w:fill="auto"/>
            <w:noWrap/>
            <w:vAlign w:val="center"/>
            <w:hideMark/>
          </w:tcPr>
          <w:p w14:paraId="0C6259A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41603E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BA0A38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CADB65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F3870E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3505DB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D27B20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6E5CF7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955246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2618BC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170CE7D8"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91DD946"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2.C - Metal Industry </w:t>
            </w:r>
          </w:p>
        </w:tc>
        <w:tc>
          <w:tcPr>
            <w:tcW w:w="767" w:type="dxa"/>
            <w:tcBorders>
              <w:top w:val="nil"/>
              <w:left w:val="nil"/>
              <w:bottom w:val="single" w:sz="8" w:space="0" w:color="auto"/>
              <w:right w:val="single" w:sz="8" w:space="0" w:color="auto"/>
            </w:tcBorders>
            <w:shd w:val="clear" w:color="auto" w:fill="auto"/>
            <w:noWrap/>
            <w:vAlign w:val="center"/>
            <w:hideMark/>
          </w:tcPr>
          <w:p w14:paraId="292510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E042B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50F5545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EB2532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w:t>
            </w:r>
          </w:p>
        </w:tc>
        <w:tc>
          <w:tcPr>
            <w:tcW w:w="960" w:type="dxa"/>
            <w:tcBorders>
              <w:top w:val="nil"/>
              <w:left w:val="nil"/>
              <w:bottom w:val="single" w:sz="8" w:space="0" w:color="auto"/>
              <w:right w:val="single" w:sz="8" w:space="0" w:color="auto"/>
            </w:tcBorders>
            <w:shd w:val="clear" w:color="auto" w:fill="auto"/>
            <w:noWrap/>
            <w:vAlign w:val="center"/>
            <w:hideMark/>
          </w:tcPr>
          <w:p w14:paraId="4A2D7B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3.9</w:t>
            </w:r>
          </w:p>
        </w:tc>
        <w:tc>
          <w:tcPr>
            <w:tcW w:w="960" w:type="dxa"/>
            <w:tcBorders>
              <w:top w:val="nil"/>
              <w:left w:val="nil"/>
              <w:bottom w:val="single" w:sz="8" w:space="0" w:color="auto"/>
              <w:right w:val="single" w:sz="8" w:space="0" w:color="auto"/>
            </w:tcBorders>
            <w:shd w:val="clear" w:color="auto" w:fill="auto"/>
            <w:noWrap/>
            <w:vAlign w:val="center"/>
            <w:hideMark/>
          </w:tcPr>
          <w:p w14:paraId="4DDD3B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5.4</w:t>
            </w:r>
          </w:p>
        </w:tc>
        <w:tc>
          <w:tcPr>
            <w:tcW w:w="960" w:type="dxa"/>
            <w:tcBorders>
              <w:top w:val="nil"/>
              <w:left w:val="nil"/>
              <w:bottom w:val="single" w:sz="8" w:space="0" w:color="auto"/>
              <w:right w:val="single" w:sz="8" w:space="0" w:color="auto"/>
            </w:tcBorders>
            <w:shd w:val="clear" w:color="auto" w:fill="auto"/>
            <w:noWrap/>
            <w:vAlign w:val="center"/>
            <w:hideMark/>
          </w:tcPr>
          <w:p w14:paraId="3B3CEE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7.2</w:t>
            </w:r>
          </w:p>
        </w:tc>
        <w:tc>
          <w:tcPr>
            <w:tcW w:w="960" w:type="dxa"/>
            <w:tcBorders>
              <w:top w:val="nil"/>
              <w:left w:val="nil"/>
              <w:bottom w:val="single" w:sz="8" w:space="0" w:color="auto"/>
              <w:right w:val="single" w:sz="8" w:space="0" w:color="auto"/>
            </w:tcBorders>
            <w:shd w:val="clear" w:color="auto" w:fill="auto"/>
            <w:noWrap/>
            <w:vAlign w:val="center"/>
            <w:hideMark/>
          </w:tcPr>
          <w:p w14:paraId="2B9F4FA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7.6</w:t>
            </w:r>
          </w:p>
        </w:tc>
        <w:tc>
          <w:tcPr>
            <w:tcW w:w="960" w:type="dxa"/>
            <w:tcBorders>
              <w:top w:val="nil"/>
              <w:left w:val="nil"/>
              <w:bottom w:val="single" w:sz="8" w:space="0" w:color="auto"/>
              <w:right w:val="single" w:sz="8" w:space="0" w:color="auto"/>
            </w:tcBorders>
            <w:shd w:val="clear" w:color="auto" w:fill="auto"/>
            <w:noWrap/>
            <w:vAlign w:val="center"/>
            <w:hideMark/>
          </w:tcPr>
          <w:p w14:paraId="19BEA93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5.2</w:t>
            </w:r>
          </w:p>
        </w:tc>
        <w:tc>
          <w:tcPr>
            <w:tcW w:w="960" w:type="dxa"/>
            <w:tcBorders>
              <w:top w:val="nil"/>
              <w:left w:val="nil"/>
              <w:bottom w:val="single" w:sz="8" w:space="0" w:color="auto"/>
              <w:right w:val="single" w:sz="8" w:space="0" w:color="auto"/>
            </w:tcBorders>
            <w:shd w:val="clear" w:color="auto" w:fill="auto"/>
            <w:noWrap/>
            <w:vAlign w:val="center"/>
            <w:hideMark/>
          </w:tcPr>
          <w:p w14:paraId="426E284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4.1</w:t>
            </w:r>
          </w:p>
        </w:tc>
      </w:tr>
      <w:tr w:rsidR="006B1FB2" w:rsidRPr="00191ACB" w14:paraId="0C9A0E1C"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5270316"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2.C.1 - Iron and Steel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24AE56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4F4BBBE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2774ECF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4BB32A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w:t>
            </w:r>
          </w:p>
        </w:tc>
        <w:tc>
          <w:tcPr>
            <w:tcW w:w="960" w:type="dxa"/>
            <w:tcBorders>
              <w:top w:val="nil"/>
              <w:left w:val="nil"/>
              <w:bottom w:val="single" w:sz="8" w:space="0" w:color="auto"/>
              <w:right w:val="single" w:sz="8" w:space="0" w:color="auto"/>
            </w:tcBorders>
            <w:shd w:val="clear" w:color="auto" w:fill="auto"/>
            <w:noWrap/>
            <w:vAlign w:val="center"/>
            <w:hideMark/>
          </w:tcPr>
          <w:p w14:paraId="3373475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3.9</w:t>
            </w:r>
          </w:p>
        </w:tc>
        <w:tc>
          <w:tcPr>
            <w:tcW w:w="960" w:type="dxa"/>
            <w:tcBorders>
              <w:top w:val="nil"/>
              <w:left w:val="nil"/>
              <w:bottom w:val="single" w:sz="8" w:space="0" w:color="auto"/>
              <w:right w:val="single" w:sz="8" w:space="0" w:color="auto"/>
            </w:tcBorders>
            <w:shd w:val="clear" w:color="auto" w:fill="auto"/>
            <w:noWrap/>
            <w:vAlign w:val="center"/>
            <w:hideMark/>
          </w:tcPr>
          <w:p w14:paraId="6885E88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5.4</w:t>
            </w:r>
          </w:p>
        </w:tc>
        <w:tc>
          <w:tcPr>
            <w:tcW w:w="960" w:type="dxa"/>
            <w:tcBorders>
              <w:top w:val="nil"/>
              <w:left w:val="nil"/>
              <w:bottom w:val="single" w:sz="8" w:space="0" w:color="auto"/>
              <w:right w:val="single" w:sz="8" w:space="0" w:color="auto"/>
            </w:tcBorders>
            <w:shd w:val="clear" w:color="auto" w:fill="auto"/>
            <w:noWrap/>
            <w:vAlign w:val="center"/>
            <w:hideMark/>
          </w:tcPr>
          <w:p w14:paraId="7436FEF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7.2</w:t>
            </w:r>
          </w:p>
        </w:tc>
        <w:tc>
          <w:tcPr>
            <w:tcW w:w="960" w:type="dxa"/>
            <w:tcBorders>
              <w:top w:val="nil"/>
              <w:left w:val="nil"/>
              <w:bottom w:val="single" w:sz="8" w:space="0" w:color="auto"/>
              <w:right w:val="single" w:sz="8" w:space="0" w:color="auto"/>
            </w:tcBorders>
            <w:shd w:val="clear" w:color="auto" w:fill="auto"/>
            <w:noWrap/>
            <w:vAlign w:val="center"/>
            <w:hideMark/>
          </w:tcPr>
          <w:p w14:paraId="7CDFA40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7.6</w:t>
            </w:r>
          </w:p>
        </w:tc>
        <w:tc>
          <w:tcPr>
            <w:tcW w:w="960" w:type="dxa"/>
            <w:tcBorders>
              <w:top w:val="nil"/>
              <w:left w:val="nil"/>
              <w:bottom w:val="single" w:sz="8" w:space="0" w:color="auto"/>
              <w:right w:val="single" w:sz="8" w:space="0" w:color="auto"/>
            </w:tcBorders>
            <w:shd w:val="clear" w:color="auto" w:fill="auto"/>
            <w:noWrap/>
            <w:vAlign w:val="center"/>
            <w:hideMark/>
          </w:tcPr>
          <w:p w14:paraId="2AA505E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5.2</w:t>
            </w:r>
          </w:p>
        </w:tc>
        <w:tc>
          <w:tcPr>
            <w:tcW w:w="960" w:type="dxa"/>
            <w:tcBorders>
              <w:top w:val="nil"/>
              <w:left w:val="nil"/>
              <w:bottom w:val="single" w:sz="8" w:space="0" w:color="auto"/>
              <w:right w:val="single" w:sz="8" w:space="0" w:color="auto"/>
            </w:tcBorders>
            <w:shd w:val="clear" w:color="auto" w:fill="auto"/>
            <w:noWrap/>
            <w:vAlign w:val="center"/>
            <w:hideMark/>
          </w:tcPr>
          <w:p w14:paraId="17E0228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4.1</w:t>
            </w:r>
          </w:p>
        </w:tc>
      </w:tr>
      <w:tr w:rsidR="006B1FB2" w:rsidRPr="00191ACB" w14:paraId="4A7F62D1"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D1BF2F6"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2.C.2 - Ferroalloys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04446FF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088B4E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27907E5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6D4AF46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6F8F84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6FDC69B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75CF70C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225AB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6A1E07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D1F07E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0E466918"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3FEB85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2.C.3 - Aluminium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2DF3390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6DF7D5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6D824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CEF08A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92C333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FB53CB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6E7F93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C51D6F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AB02C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39AA20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2DA4FEC4"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3E3A781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2.C.4 - Magnesium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641DD0F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6E5651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963543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2A33C7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B5383B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DEFC45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24C097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A12BA4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B80C5D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6322AE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441505B5"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DCE820A"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2.C.5 - Lead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665F957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7BF6F72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4C73D6E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3091A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5F481A7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C2B667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808033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670DA4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271D81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47ABF9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6419AD94"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7588C246"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2.C.6 - Zinc Production </w:t>
            </w:r>
          </w:p>
        </w:tc>
        <w:tc>
          <w:tcPr>
            <w:tcW w:w="767" w:type="dxa"/>
            <w:tcBorders>
              <w:top w:val="nil"/>
              <w:left w:val="nil"/>
              <w:bottom w:val="single" w:sz="8" w:space="0" w:color="auto"/>
              <w:right w:val="single" w:sz="8" w:space="0" w:color="auto"/>
            </w:tcBorders>
            <w:shd w:val="clear" w:color="auto" w:fill="auto"/>
            <w:noWrap/>
            <w:vAlign w:val="center"/>
            <w:hideMark/>
          </w:tcPr>
          <w:p w14:paraId="1A91E94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AADEC6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2D5409E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C0DE4B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C0C715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463D75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547FC5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5A78A9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77D850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565F94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68EB7E96"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824E00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2.C.7 - Other (please specify) </w:t>
            </w:r>
          </w:p>
        </w:tc>
        <w:tc>
          <w:tcPr>
            <w:tcW w:w="767" w:type="dxa"/>
            <w:tcBorders>
              <w:top w:val="nil"/>
              <w:left w:val="nil"/>
              <w:bottom w:val="single" w:sz="8" w:space="0" w:color="auto"/>
              <w:right w:val="single" w:sz="8" w:space="0" w:color="auto"/>
            </w:tcBorders>
            <w:shd w:val="clear" w:color="auto" w:fill="auto"/>
            <w:noWrap/>
            <w:vAlign w:val="center"/>
            <w:hideMark/>
          </w:tcPr>
          <w:p w14:paraId="49B26D0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D0D067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7BD35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0A74F4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D99A13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9CBE62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E4907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2BD7F6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ACD0E7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7B0139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3F41514E"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D642353"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2.D - Non-Energy Products from Fuels and Solvent Use </w:t>
            </w:r>
          </w:p>
        </w:tc>
        <w:tc>
          <w:tcPr>
            <w:tcW w:w="767" w:type="dxa"/>
            <w:tcBorders>
              <w:top w:val="nil"/>
              <w:left w:val="nil"/>
              <w:bottom w:val="single" w:sz="8" w:space="0" w:color="auto"/>
              <w:right w:val="single" w:sz="8" w:space="0" w:color="auto"/>
            </w:tcBorders>
            <w:shd w:val="clear" w:color="auto" w:fill="auto"/>
            <w:noWrap/>
            <w:vAlign w:val="center"/>
            <w:hideMark/>
          </w:tcPr>
          <w:p w14:paraId="75ABF10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604A9D7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2988BFA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8.4</w:t>
            </w:r>
          </w:p>
        </w:tc>
        <w:tc>
          <w:tcPr>
            <w:tcW w:w="960" w:type="dxa"/>
            <w:tcBorders>
              <w:top w:val="nil"/>
              <w:left w:val="nil"/>
              <w:bottom w:val="single" w:sz="8" w:space="0" w:color="auto"/>
              <w:right w:val="single" w:sz="8" w:space="0" w:color="auto"/>
            </w:tcBorders>
            <w:shd w:val="clear" w:color="auto" w:fill="auto"/>
            <w:noWrap/>
            <w:vAlign w:val="center"/>
            <w:hideMark/>
          </w:tcPr>
          <w:p w14:paraId="7E2DD53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14.9</w:t>
            </w:r>
          </w:p>
        </w:tc>
        <w:tc>
          <w:tcPr>
            <w:tcW w:w="960" w:type="dxa"/>
            <w:tcBorders>
              <w:top w:val="nil"/>
              <w:left w:val="nil"/>
              <w:bottom w:val="single" w:sz="8" w:space="0" w:color="auto"/>
              <w:right w:val="single" w:sz="8" w:space="0" w:color="auto"/>
            </w:tcBorders>
            <w:shd w:val="clear" w:color="auto" w:fill="auto"/>
            <w:noWrap/>
            <w:vAlign w:val="center"/>
            <w:hideMark/>
          </w:tcPr>
          <w:p w14:paraId="3F5A885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17.1</w:t>
            </w:r>
          </w:p>
        </w:tc>
        <w:tc>
          <w:tcPr>
            <w:tcW w:w="960" w:type="dxa"/>
            <w:tcBorders>
              <w:top w:val="nil"/>
              <w:left w:val="nil"/>
              <w:bottom w:val="single" w:sz="8" w:space="0" w:color="auto"/>
              <w:right w:val="single" w:sz="8" w:space="0" w:color="auto"/>
            </w:tcBorders>
            <w:shd w:val="clear" w:color="auto" w:fill="auto"/>
            <w:noWrap/>
            <w:vAlign w:val="center"/>
            <w:hideMark/>
          </w:tcPr>
          <w:p w14:paraId="0F2E0D5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18.1</w:t>
            </w:r>
          </w:p>
        </w:tc>
        <w:tc>
          <w:tcPr>
            <w:tcW w:w="960" w:type="dxa"/>
            <w:tcBorders>
              <w:top w:val="nil"/>
              <w:left w:val="nil"/>
              <w:bottom w:val="single" w:sz="8" w:space="0" w:color="auto"/>
              <w:right w:val="single" w:sz="8" w:space="0" w:color="auto"/>
            </w:tcBorders>
            <w:shd w:val="clear" w:color="auto" w:fill="auto"/>
            <w:noWrap/>
            <w:vAlign w:val="center"/>
            <w:hideMark/>
          </w:tcPr>
          <w:p w14:paraId="74C357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w:t>
            </w:r>
          </w:p>
        </w:tc>
        <w:tc>
          <w:tcPr>
            <w:tcW w:w="960" w:type="dxa"/>
            <w:tcBorders>
              <w:top w:val="nil"/>
              <w:left w:val="nil"/>
              <w:bottom w:val="single" w:sz="8" w:space="0" w:color="auto"/>
              <w:right w:val="single" w:sz="8" w:space="0" w:color="auto"/>
            </w:tcBorders>
            <w:shd w:val="clear" w:color="auto" w:fill="auto"/>
            <w:noWrap/>
            <w:vAlign w:val="center"/>
            <w:hideMark/>
          </w:tcPr>
          <w:p w14:paraId="04FC70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19.8</w:t>
            </w:r>
          </w:p>
        </w:tc>
        <w:tc>
          <w:tcPr>
            <w:tcW w:w="960" w:type="dxa"/>
            <w:tcBorders>
              <w:top w:val="nil"/>
              <w:left w:val="nil"/>
              <w:bottom w:val="single" w:sz="8" w:space="0" w:color="auto"/>
              <w:right w:val="single" w:sz="8" w:space="0" w:color="auto"/>
            </w:tcBorders>
            <w:shd w:val="clear" w:color="auto" w:fill="auto"/>
            <w:noWrap/>
            <w:vAlign w:val="center"/>
            <w:hideMark/>
          </w:tcPr>
          <w:p w14:paraId="637191A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14.9</w:t>
            </w:r>
          </w:p>
        </w:tc>
        <w:tc>
          <w:tcPr>
            <w:tcW w:w="960" w:type="dxa"/>
            <w:tcBorders>
              <w:top w:val="nil"/>
              <w:left w:val="nil"/>
              <w:bottom w:val="single" w:sz="8" w:space="0" w:color="auto"/>
              <w:right w:val="single" w:sz="8" w:space="0" w:color="auto"/>
            </w:tcBorders>
            <w:shd w:val="clear" w:color="auto" w:fill="auto"/>
            <w:noWrap/>
            <w:vAlign w:val="center"/>
            <w:hideMark/>
          </w:tcPr>
          <w:p w14:paraId="16EDE3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w:t>
            </w:r>
          </w:p>
        </w:tc>
      </w:tr>
      <w:tr w:rsidR="006B1FB2" w:rsidRPr="00191ACB" w14:paraId="5633CCA0"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7D8E65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2.D.1 - Lubricant Use </w:t>
            </w:r>
          </w:p>
        </w:tc>
        <w:tc>
          <w:tcPr>
            <w:tcW w:w="767" w:type="dxa"/>
            <w:tcBorders>
              <w:top w:val="nil"/>
              <w:left w:val="nil"/>
              <w:bottom w:val="single" w:sz="8" w:space="0" w:color="auto"/>
              <w:right w:val="single" w:sz="8" w:space="0" w:color="auto"/>
            </w:tcBorders>
            <w:shd w:val="clear" w:color="auto" w:fill="auto"/>
            <w:noWrap/>
            <w:vAlign w:val="center"/>
            <w:hideMark/>
          </w:tcPr>
          <w:p w14:paraId="6708881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4D5AC6C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2E89B9D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8.4</w:t>
            </w:r>
          </w:p>
        </w:tc>
        <w:tc>
          <w:tcPr>
            <w:tcW w:w="960" w:type="dxa"/>
            <w:tcBorders>
              <w:top w:val="nil"/>
              <w:left w:val="nil"/>
              <w:bottom w:val="single" w:sz="8" w:space="0" w:color="auto"/>
              <w:right w:val="single" w:sz="8" w:space="0" w:color="auto"/>
            </w:tcBorders>
            <w:shd w:val="clear" w:color="auto" w:fill="auto"/>
            <w:noWrap/>
            <w:vAlign w:val="center"/>
            <w:hideMark/>
          </w:tcPr>
          <w:p w14:paraId="74ABEB6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14.9</w:t>
            </w:r>
          </w:p>
        </w:tc>
        <w:tc>
          <w:tcPr>
            <w:tcW w:w="960" w:type="dxa"/>
            <w:tcBorders>
              <w:top w:val="nil"/>
              <w:left w:val="nil"/>
              <w:bottom w:val="single" w:sz="8" w:space="0" w:color="auto"/>
              <w:right w:val="single" w:sz="8" w:space="0" w:color="auto"/>
            </w:tcBorders>
            <w:shd w:val="clear" w:color="auto" w:fill="auto"/>
            <w:noWrap/>
            <w:vAlign w:val="center"/>
            <w:hideMark/>
          </w:tcPr>
          <w:p w14:paraId="027307B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17.1</w:t>
            </w:r>
          </w:p>
        </w:tc>
        <w:tc>
          <w:tcPr>
            <w:tcW w:w="960" w:type="dxa"/>
            <w:tcBorders>
              <w:top w:val="nil"/>
              <w:left w:val="nil"/>
              <w:bottom w:val="single" w:sz="8" w:space="0" w:color="auto"/>
              <w:right w:val="single" w:sz="8" w:space="0" w:color="auto"/>
            </w:tcBorders>
            <w:shd w:val="clear" w:color="auto" w:fill="auto"/>
            <w:noWrap/>
            <w:vAlign w:val="center"/>
            <w:hideMark/>
          </w:tcPr>
          <w:p w14:paraId="11FBD8F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18.1</w:t>
            </w:r>
          </w:p>
        </w:tc>
        <w:tc>
          <w:tcPr>
            <w:tcW w:w="960" w:type="dxa"/>
            <w:tcBorders>
              <w:top w:val="nil"/>
              <w:left w:val="nil"/>
              <w:bottom w:val="single" w:sz="8" w:space="0" w:color="auto"/>
              <w:right w:val="single" w:sz="8" w:space="0" w:color="auto"/>
            </w:tcBorders>
            <w:shd w:val="clear" w:color="auto" w:fill="auto"/>
            <w:noWrap/>
            <w:vAlign w:val="center"/>
            <w:hideMark/>
          </w:tcPr>
          <w:p w14:paraId="05BF3B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w:t>
            </w:r>
          </w:p>
        </w:tc>
        <w:tc>
          <w:tcPr>
            <w:tcW w:w="960" w:type="dxa"/>
            <w:tcBorders>
              <w:top w:val="nil"/>
              <w:left w:val="nil"/>
              <w:bottom w:val="single" w:sz="8" w:space="0" w:color="auto"/>
              <w:right w:val="single" w:sz="8" w:space="0" w:color="auto"/>
            </w:tcBorders>
            <w:shd w:val="clear" w:color="auto" w:fill="auto"/>
            <w:noWrap/>
            <w:vAlign w:val="center"/>
            <w:hideMark/>
          </w:tcPr>
          <w:p w14:paraId="1451B81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19.8</w:t>
            </w:r>
          </w:p>
        </w:tc>
        <w:tc>
          <w:tcPr>
            <w:tcW w:w="960" w:type="dxa"/>
            <w:tcBorders>
              <w:top w:val="nil"/>
              <w:left w:val="nil"/>
              <w:bottom w:val="single" w:sz="8" w:space="0" w:color="auto"/>
              <w:right w:val="single" w:sz="8" w:space="0" w:color="auto"/>
            </w:tcBorders>
            <w:shd w:val="clear" w:color="auto" w:fill="auto"/>
            <w:noWrap/>
            <w:vAlign w:val="center"/>
            <w:hideMark/>
          </w:tcPr>
          <w:p w14:paraId="1E10CF2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14.9</w:t>
            </w:r>
          </w:p>
        </w:tc>
        <w:tc>
          <w:tcPr>
            <w:tcW w:w="960" w:type="dxa"/>
            <w:tcBorders>
              <w:top w:val="nil"/>
              <w:left w:val="nil"/>
              <w:bottom w:val="single" w:sz="8" w:space="0" w:color="auto"/>
              <w:right w:val="single" w:sz="8" w:space="0" w:color="auto"/>
            </w:tcBorders>
            <w:shd w:val="clear" w:color="auto" w:fill="auto"/>
            <w:noWrap/>
            <w:vAlign w:val="center"/>
            <w:hideMark/>
          </w:tcPr>
          <w:p w14:paraId="05E8FCB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w:t>
            </w:r>
          </w:p>
        </w:tc>
      </w:tr>
      <w:tr w:rsidR="006B1FB2" w:rsidRPr="00191ACB" w14:paraId="4458C264"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C3DEF4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2.D.2 - Paraffin Wax Use </w:t>
            </w:r>
          </w:p>
        </w:tc>
        <w:tc>
          <w:tcPr>
            <w:tcW w:w="767" w:type="dxa"/>
            <w:tcBorders>
              <w:top w:val="nil"/>
              <w:left w:val="nil"/>
              <w:bottom w:val="single" w:sz="8" w:space="0" w:color="auto"/>
              <w:right w:val="single" w:sz="8" w:space="0" w:color="auto"/>
            </w:tcBorders>
            <w:shd w:val="clear" w:color="auto" w:fill="auto"/>
            <w:noWrap/>
            <w:vAlign w:val="center"/>
            <w:hideMark/>
          </w:tcPr>
          <w:p w14:paraId="0F11C99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386E97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5C211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12A06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4436268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C7065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2F050C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FC9CE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2C0F41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047FA4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7D51DC6E"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C265F4E"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2.D.3 - Solvent Use </w:t>
            </w:r>
          </w:p>
        </w:tc>
        <w:tc>
          <w:tcPr>
            <w:tcW w:w="767" w:type="dxa"/>
            <w:tcBorders>
              <w:top w:val="nil"/>
              <w:left w:val="nil"/>
              <w:bottom w:val="single" w:sz="8" w:space="0" w:color="auto"/>
              <w:right w:val="single" w:sz="8" w:space="0" w:color="auto"/>
            </w:tcBorders>
            <w:shd w:val="clear" w:color="auto" w:fill="auto"/>
            <w:noWrap/>
            <w:vAlign w:val="center"/>
            <w:hideMark/>
          </w:tcPr>
          <w:p w14:paraId="0722F92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3BDCB8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336AD6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3A6FF5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89E8B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56A82A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3222F0B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178C71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17987F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7E617E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428362A5"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8825DD3"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2.D.4 - Other (please specify) </w:t>
            </w:r>
          </w:p>
        </w:tc>
        <w:tc>
          <w:tcPr>
            <w:tcW w:w="767" w:type="dxa"/>
            <w:tcBorders>
              <w:top w:val="nil"/>
              <w:left w:val="nil"/>
              <w:bottom w:val="single" w:sz="8" w:space="0" w:color="auto"/>
              <w:right w:val="single" w:sz="8" w:space="0" w:color="auto"/>
            </w:tcBorders>
            <w:shd w:val="clear" w:color="auto" w:fill="auto"/>
            <w:noWrap/>
            <w:vAlign w:val="center"/>
            <w:hideMark/>
          </w:tcPr>
          <w:p w14:paraId="4C5636D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28322D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BDB425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58C764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8A2022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A3A01F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E69379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58783A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AD2CD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41DB3B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24616E2D"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56C298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2.E - Electronics Industry </w:t>
            </w:r>
          </w:p>
        </w:tc>
        <w:tc>
          <w:tcPr>
            <w:tcW w:w="767" w:type="dxa"/>
            <w:tcBorders>
              <w:top w:val="nil"/>
              <w:left w:val="nil"/>
              <w:bottom w:val="single" w:sz="8" w:space="0" w:color="auto"/>
              <w:right w:val="single" w:sz="8" w:space="0" w:color="auto"/>
            </w:tcBorders>
            <w:shd w:val="clear" w:color="auto" w:fill="auto"/>
            <w:noWrap/>
            <w:vAlign w:val="center"/>
            <w:hideMark/>
          </w:tcPr>
          <w:p w14:paraId="61814AB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81B93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4E884F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74132F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B4C517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9DF37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373263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38D24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8C6E83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1C8188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61C67B76"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8CC6F5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2.E.1 - Integrated Circuit or Semiconductor </w:t>
            </w:r>
          </w:p>
        </w:tc>
        <w:tc>
          <w:tcPr>
            <w:tcW w:w="767" w:type="dxa"/>
            <w:tcBorders>
              <w:top w:val="nil"/>
              <w:left w:val="nil"/>
              <w:bottom w:val="single" w:sz="8" w:space="0" w:color="auto"/>
              <w:right w:val="single" w:sz="8" w:space="0" w:color="auto"/>
            </w:tcBorders>
            <w:shd w:val="clear" w:color="auto" w:fill="auto"/>
            <w:noWrap/>
            <w:vAlign w:val="center"/>
            <w:hideMark/>
          </w:tcPr>
          <w:p w14:paraId="65D74E6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FE7359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4006F0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FAF17D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B3329F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4DEAB4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D5E5B0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7D6DBE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8BF2E5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960CDD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11040F29"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67B5874"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2.E.2 - TFT Flat Panel Display </w:t>
            </w:r>
          </w:p>
        </w:tc>
        <w:tc>
          <w:tcPr>
            <w:tcW w:w="767" w:type="dxa"/>
            <w:tcBorders>
              <w:top w:val="nil"/>
              <w:left w:val="nil"/>
              <w:bottom w:val="single" w:sz="8" w:space="0" w:color="auto"/>
              <w:right w:val="single" w:sz="8" w:space="0" w:color="auto"/>
            </w:tcBorders>
            <w:shd w:val="clear" w:color="auto" w:fill="auto"/>
            <w:noWrap/>
            <w:vAlign w:val="center"/>
            <w:hideMark/>
          </w:tcPr>
          <w:p w14:paraId="14FD13E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BF1AD3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18EA2B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80640B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2EDA9B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2938C6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17EC9A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80ACAE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1170BD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C2CE2C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3EA8CD7A"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3C65F73"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2.E.3 - Photovoltaics </w:t>
            </w:r>
          </w:p>
        </w:tc>
        <w:tc>
          <w:tcPr>
            <w:tcW w:w="767" w:type="dxa"/>
            <w:tcBorders>
              <w:top w:val="nil"/>
              <w:left w:val="nil"/>
              <w:bottom w:val="single" w:sz="8" w:space="0" w:color="auto"/>
              <w:right w:val="single" w:sz="8" w:space="0" w:color="auto"/>
            </w:tcBorders>
            <w:shd w:val="clear" w:color="auto" w:fill="auto"/>
            <w:noWrap/>
            <w:vAlign w:val="center"/>
            <w:hideMark/>
          </w:tcPr>
          <w:p w14:paraId="4C48AA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AC2B82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B1FE2C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14C872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FE98A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D81BD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55FB4A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3A2C4D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667035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8F8DFA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572B13D2"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CDFA9E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2.E.4 - Heat Transfer Fluid </w:t>
            </w:r>
          </w:p>
        </w:tc>
        <w:tc>
          <w:tcPr>
            <w:tcW w:w="767" w:type="dxa"/>
            <w:tcBorders>
              <w:top w:val="nil"/>
              <w:left w:val="nil"/>
              <w:bottom w:val="single" w:sz="8" w:space="0" w:color="auto"/>
              <w:right w:val="single" w:sz="8" w:space="0" w:color="auto"/>
            </w:tcBorders>
            <w:shd w:val="clear" w:color="auto" w:fill="auto"/>
            <w:noWrap/>
            <w:vAlign w:val="center"/>
            <w:hideMark/>
          </w:tcPr>
          <w:p w14:paraId="5B868C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3B921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04AE33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3FB9FC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72C82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1A0437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C47CAC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93AD26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0A712A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482C0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6A7AC8C6"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AA444A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2.E.5 - Other (please specify) </w:t>
            </w:r>
          </w:p>
        </w:tc>
        <w:tc>
          <w:tcPr>
            <w:tcW w:w="767" w:type="dxa"/>
            <w:tcBorders>
              <w:top w:val="nil"/>
              <w:left w:val="nil"/>
              <w:bottom w:val="single" w:sz="8" w:space="0" w:color="auto"/>
              <w:right w:val="single" w:sz="8" w:space="0" w:color="auto"/>
            </w:tcBorders>
            <w:shd w:val="clear" w:color="auto" w:fill="auto"/>
            <w:noWrap/>
            <w:vAlign w:val="center"/>
            <w:hideMark/>
          </w:tcPr>
          <w:p w14:paraId="7AEB24B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9ED77F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61F608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CC7A85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291BE0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C34547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E98E9A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B4809F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5B293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EC4443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77C9CDAB"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375545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2.F - Product Uses as Substitutes for Ozone Depleting Substances </w:t>
            </w:r>
          </w:p>
        </w:tc>
        <w:tc>
          <w:tcPr>
            <w:tcW w:w="767" w:type="dxa"/>
            <w:tcBorders>
              <w:top w:val="nil"/>
              <w:left w:val="nil"/>
              <w:bottom w:val="single" w:sz="8" w:space="0" w:color="auto"/>
              <w:right w:val="single" w:sz="8" w:space="0" w:color="auto"/>
            </w:tcBorders>
            <w:shd w:val="clear" w:color="auto" w:fill="auto"/>
            <w:noWrap/>
            <w:vAlign w:val="center"/>
            <w:hideMark/>
          </w:tcPr>
          <w:p w14:paraId="47320DA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4.3</w:t>
            </w:r>
          </w:p>
        </w:tc>
        <w:tc>
          <w:tcPr>
            <w:tcW w:w="960" w:type="dxa"/>
            <w:tcBorders>
              <w:top w:val="nil"/>
              <w:left w:val="nil"/>
              <w:bottom w:val="single" w:sz="8" w:space="0" w:color="auto"/>
              <w:right w:val="single" w:sz="8" w:space="0" w:color="auto"/>
            </w:tcBorders>
            <w:shd w:val="clear" w:color="auto" w:fill="auto"/>
            <w:noWrap/>
            <w:vAlign w:val="center"/>
            <w:hideMark/>
          </w:tcPr>
          <w:p w14:paraId="6641F33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19.1</w:t>
            </w:r>
          </w:p>
        </w:tc>
        <w:tc>
          <w:tcPr>
            <w:tcW w:w="960" w:type="dxa"/>
            <w:tcBorders>
              <w:top w:val="nil"/>
              <w:left w:val="nil"/>
              <w:bottom w:val="single" w:sz="8" w:space="0" w:color="auto"/>
              <w:right w:val="single" w:sz="8" w:space="0" w:color="auto"/>
            </w:tcBorders>
            <w:shd w:val="clear" w:color="auto" w:fill="auto"/>
            <w:noWrap/>
            <w:vAlign w:val="center"/>
            <w:hideMark/>
          </w:tcPr>
          <w:p w14:paraId="0B1D60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34.6</w:t>
            </w:r>
          </w:p>
        </w:tc>
        <w:tc>
          <w:tcPr>
            <w:tcW w:w="960" w:type="dxa"/>
            <w:tcBorders>
              <w:top w:val="nil"/>
              <w:left w:val="nil"/>
              <w:bottom w:val="single" w:sz="8" w:space="0" w:color="auto"/>
              <w:right w:val="single" w:sz="8" w:space="0" w:color="auto"/>
            </w:tcBorders>
            <w:shd w:val="clear" w:color="auto" w:fill="auto"/>
            <w:noWrap/>
            <w:vAlign w:val="center"/>
            <w:hideMark/>
          </w:tcPr>
          <w:p w14:paraId="011A329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60.6</w:t>
            </w:r>
          </w:p>
        </w:tc>
        <w:tc>
          <w:tcPr>
            <w:tcW w:w="960" w:type="dxa"/>
            <w:tcBorders>
              <w:top w:val="nil"/>
              <w:left w:val="nil"/>
              <w:bottom w:val="single" w:sz="8" w:space="0" w:color="auto"/>
              <w:right w:val="single" w:sz="8" w:space="0" w:color="auto"/>
            </w:tcBorders>
            <w:shd w:val="clear" w:color="auto" w:fill="auto"/>
            <w:noWrap/>
            <w:vAlign w:val="center"/>
            <w:hideMark/>
          </w:tcPr>
          <w:p w14:paraId="6512993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70.1</w:t>
            </w:r>
          </w:p>
        </w:tc>
        <w:tc>
          <w:tcPr>
            <w:tcW w:w="960" w:type="dxa"/>
            <w:tcBorders>
              <w:top w:val="nil"/>
              <w:left w:val="nil"/>
              <w:bottom w:val="single" w:sz="8" w:space="0" w:color="auto"/>
              <w:right w:val="single" w:sz="8" w:space="0" w:color="auto"/>
            </w:tcBorders>
            <w:shd w:val="clear" w:color="auto" w:fill="auto"/>
            <w:noWrap/>
            <w:vAlign w:val="center"/>
            <w:hideMark/>
          </w:tcPr>
          <w:p w14:paraId="158C20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77.6</w:t>
            </w:r>
          </w:p>
        </w:tc>
        <w:tc>
          <w:tcPr>
            <w:tcW w:w="960" w:type="dxa"/>
            <w:tcBorders>
              <w:top w:val="nil"/>
              <w:left w:val="nil"/>
              <w:bottom w:val="single" w:sz="8" w:space="0" w:color="auto"/>
              <w:right w:val="single" w:sz="8" w:space="0" w:color="auto"/>
            </w:tcBorders>
            <w:shd w:val="clear" w:color="auto" w:fill="auto"/>
            <w:noWrap/>
            <w:vAlign w:val="center"/>
            <w:hideMark/>
          </w:tcPr>
          <w:p w14:paraId="3BB5A4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85.4</w:t>
            </w:r>
          </w:p>
        </w:tc>
        <w:tc>
          <w:tcPr>
            <w:tcW w:w="960" w:type="dxa"/>
            <w:tcBorders>
              <w:top w:val="nil"/>
              <w:left w:val="nil"/>
              <w:bottom w:val="single" w:sz="8" w:space="0" w:color="auto"/>
              <w:right w:val="single" w:sz="8" w:space="0" w:color="auto"/>
            </w:tcBorders>
            <w:shd w:val="clear" w:color="auto" w:fill="auto"/>
            <w:noWrap/>
            <w:vAlign w:val="center"/>
            <w:hideMark/>
          </w:tcPr>
          <w:p w14:paraId="4271DB6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93.6</w:t>
            </w:r>
          </w:p>
        </w:tc>
        <w:tc>
          <w:tcPr>
            <w:tcW w:w="960" w:type="dxa"/>
            <w:tcBorders>
              <w:top w:val="nil"/>
              <w:left w:val="nil"/>
              <w:bottom w:val="single" w:sz="8" w:space="0" w:color="auto"/>
              <w:right w:val="single" w:sz="8" w:space="0" w:color="auto"/>
            </w:tcBorders>
            <w:shd w:val="clear" w:color="auto" w:fill="auto"/>
            <w:noWrap/>
            <w:vAlign w:val="center"/>
            <w:hideMark/>
          </w:tcPr>
          <w:p w14:paraId="24FB47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102.2</w:t>
            </w:r>
          </w:p>
        </w:tc>
        <w:tc>
          <w:tcPr>
            <w:tcW w:w="960" w:type="dxa"/>
            <w:tcBorders>
              <w:top w:val="nil"/>
              <w:left w:val="nil"/>
              <w:bottom w:val="single" w:sz="8" w:space="0" w:color="auto"/>
              <w:right w:val="single" w:sz="8" w:space="0" w:color="auto"/>
            </w:tcBorders>
            <w:shd w:val="clear" w:color="auto" w:fill="auto"/>
            <w:noWrap/>
            <w:vAlign w:val="center"/>
            <w:hideMark/>
          </w:tcPr>
          <w:p w14:paraId="57050C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111.3</w:t>
            </w:r>
          </w:p>
        </w:tc>
      </w:tr>
      <w:tr w:rsidR="006B1FB2" w:rsidRPr="00191ACB" w14:paraId="56E73378"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3E42338"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2.F.1 - Refrigeration and Air Conditioning </w:t>
            </w:r>
          </w:p>
        </w:tc>
        <w:tc>
          <w:tcPr>
            <w:tcW w:w="767" w:type="dxa"/>
            <w:tcBorders>
              <w:top w:val="nil"/>
              <w:left w:val="nil"/>
              <w:bottom w:val="single" w:sz="8" w:space="0" w:color="auto"/>
              <w:right w:val="single" w:sz="8" w:space="0" w:color="auto"/>
            </w:tcBorders>
            <w:shd w:val="clear" w:color="auto" w:fill="auto"/>
            <w:noWrap/>
            <w:vAlign w:val="center"/>
            <w:hideMark/>
          </w:tcPr>
          <w:p w14:paraId="3227C5D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4.3</w:t>
            </w:r>
          </w:p>
        </w:tc>
        <w:tc>
          <w:tcPr>
            <w:tcW w:w="960" w:type="dxa"/>
            <w:tcBorders>
              <w:top w:val="nil"/>
              <w:left w:val="nil"/>
              <w:bottom w:val="single" w:sz="8" w:space="0" w:color="auto"/>
              <w:right w:val="single" w:sz="8" w:space="0" w:color="auto"/>
            </w:tcBorders>
            <w:shd w:val="clear" w:color="auto" w:fill="auto"/>
            <w:noWrap/>
            <w:vAlign w:val="center"/>
            <w:hideMark/>
          </w:tcPr>
          <w:p w14:paraId="3ADD2F7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19.1</w:t>
            </w:r>
          </w:p>
        </w:tc>
        <w:tc>
          <w:tcPr>
            <w:tcW w:w="960" w:type="dxa"/>
            <w:tcBorders>
              <w:top w:val="nil"/>
              <w:left w:val="nil"/>
              <w:bottom w:val="single" w:sz="8" w:space="0" w:color="auto"/>
              <w:right w:val="single" w:sz="8" w:space="0" w:color="auto"/>
            </w:tcBorders>
            <w:shd w:val="clear" w:color="auto" w:fill="auto"/>
            <w:noWrap/>
            <w:vAlign w:val="center"/>
            <w:hideMark/>
          </w:tcPr>
          <w:p w14:paraId="527356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34.6</w:t>
            </w:r>
          </w:p>
        </w:tc>
        <w:tc>
          <w:tcPr>
            <w:tcW w:w="960" w:type="dxa"/>
            <w:tcBorders>
              <w:top w:val="nil"/>
              <w:left w:val="nil"/>
              <w:bottom w:val="single" w:sz="8" w:space="0" w:color="auto"/>
              <w:right w:val="single" w:sz="8" w:space="0" w:color="auto"/>
            </w:tcBorders>
            <w:shd w:val="clear" w:color="auto" w:fill="auto"/>
            <w:noWrap/>
            <w:vAlign w:val="center"/>
            <w:hideMark/>
          </w:tcPr>
          <w:p w14:paraId="2DD8BD5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60.6</w:t>
            </w:r>
          </w:p>
        </w:tc>
        <w:tc>
          <w:tcPr>
            <w:tcW w:w="960" w:type="dxa"/>
            <w:tcBorders>
              <w:top w:val="nil"/>
              <w:left w:val="nil"/>
              <w:bottom w:val="single" w:sz="8" w:space="0" w:color="auto"/>
              <w:right w:val="single" w:sz="8" w:space="0" w:color="auto"/>
            </w:tcBorders>
            <w:shd w:val="clear" w:color="auto" w:fill="auto"/>
            <w:noWrap/>
            <w:vAlign w:val="center"/>
            <w:hideMark/>
          </w:tcPr>
          <w:p w14:paraId="6EE5B1D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70.1</w:t>
            </w:r>
          </w:p>
        </w:tc>
        <w:tc>
          <w:tcPr>
            <w:tcW w:w="960" w:type="dxa"/>
            <w:tcBorders>
              <w:top w:val="nil"/>
              <w:left w:val="nil"/>
              <w:bottom w:val="single" w:sz="8" w:space="0" w:color="auto"/>
              <w:right w:val="single" w:sz="8" w:space="0" w:color="auto"/>
            </w:tcBorders>
            <w:shd w:val="clear" w:color="auto" w:fill="auto"/>
            <w:noWrap/>
            <w:vAlign w:val="center"/>
            <w:hideMark/>
          </w:tcPr>
          <w:p w14:paraId="7CE548A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77.6</w:t>
            </w:r>
          </w:p>
        </w:tc>
        <w:tc>
          <w:tcPr>
            <w:tcW w:w="960" w:type="dxa"/>
            <w:tcBorders>
              <w:top w:val="nil"/>
              <w:left w:val="nil"/>
              <w:bottom w:val="single" w:sz="8" w:space="0" w:color="auto"/>
              <w:right w:val="single" w:sz="8" w:space="0" w:color="auto"/>
            </w:tcBorders>
            <w:shd w:val="clear" w:color="auto" w:fill="auto"/>
            <w:noWrap/>
            <w:vAlign w:val="center"/>
            <w:hideMark/>
          </w:tcPr>
          <w:p w14:paraId="0320C85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85.4</w:t>
            </w:r>
          </w:p>
        </w:tc>
        <w:tc>
          <w:tcPr>
            <w:tcW w:w="960" w:type="dxa"/>
            <w:tcBorders>
              <w:top w:val="nil"/>
              <w:left w:val="nil"/>
              <w:bottom w:val="single" w:sz="8" w:space="0" w:color="auto"/>
              <w:right w:val="single" w:sz="8" w:space="0" w:color="auto"/>
            </w:tcBorders>
            <w:shd w:val="clear" w:color="auto" w:fill="auto"/>
            <w:noWrap/>
            <w:vAlign w:val="center"/>
            <w:hideMark/>
          </w:tcPr>
          <w:p w14:paraId="1BB3A3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93.6</w:t>
            </w:r>
          </w:p>
        </w:tc>
        <w:tc>
          <w:tcPr>
            <w:tcW w:w="960" w:type="dxa"/>
            <w:tcBorders>
              <w:top w:val="nil"/>
              <w:left w:val="nil"/>
              <w:bottom w:val="single" w:sz="8" w:space="0" w:color="auto"/>
              <w:right w:val="single" w:sz="8" w:space="0" w:color="auto"/>
            </w:tcBorders>
            <w:shd w:val="clear" w:color="auto" w:fill="auto"/>
            <w:noWrap/>
            <w:vAlign w:val="center"/>
            <w:hideMark/>
          </w:tcPr>
          <w:p w14:paraId="559B026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102.2</w:t>
            </w:r>
          </w:p>
        </w:tc>
        <w:tc>
          <w:tcPr>
            <w:tcW w:w="960" w:type="dxa"/>
            <w:tcBorders>
              <w:top w:val="nil"/>
              <w:left w:val="nil"/>
              <w:bottom w:val="single" w:sz="8" w:space="0" w:color="auto"/>
              <w:right w:val="single" w:sz="8" w:space="0" w:color="auto"/>
            </w:tcBorders>
            <w:shd w:val="clear" w:color="auto" w:fill="auto"/>
            <w:noWrap/>
            <w:vAlign w:val="center"/>
            <w:hideMark/>
          </w:tcPr>
          <w:p w14:paraId="36B8497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111.3</w:t>
            </w:r>
          </w:p>
        </w:tc>
      </w:tr>
      <w:tr w:rsidR="006B1FB2" w:rsidRPr="00191ACB" w14:paraId="7313C403"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7EAE693E"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2.F.2 - Foam Blowing Agents </w:t>
            </w:r>
          </w:p>
        </w:tc>
        <w:tc>
          <w:tcPr>
            <w:tcW w:w="767" w:type="dxa"/>
            <w:tcBorders>
              <w:top w:val="nil"/>
              <w:left w:val="nil"/>
              <w:bottom w:val="single" w:sz="8" w:space="0" w:color="auto"/>
              <w:right w:val="single" w:sz="8" w:space="0" w:color="auto"/>
            </w:tcBorders>
            <w:shd w:val="clear" w:color="auto" w:fill="auto"/>
            <w:noWrap/>
            <w:vAlign w:val="center"/>
            <w:hideMark/>
          </w:tcPr>
          <w:p w14:paraId="040869E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51D2CE6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F45345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3CF4B44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2B60CF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D1C70D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7722C84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C69CDD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5209A12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5678CB1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28CEA9DF"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85389B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2.F.3 - Fire Protection </w:t>
            </w:r>
          </w:p>
        </w:tc>
        <w:tc>
          <w:tcPr>
            <w:tcW w:w="767" w:type="dxa"/>
            <w:tcBorders>
              <w:top w:val="nil"/>
              <w:left w:val="nil"/>
              <w:bottom w:val="single" w:sz="8" w:space="0" w:color="auto"/>
              <w:right w:val="single" w:sz="8" w:space="0" w:color="auto"/>
            </w:tcBorders>
            <w:shd w:val="clear" w:color="auto" w:fill="auto"/>
            <w:noWrap/>
            <w:vAlign w:val="center"/>
            <w:hideMark/>
          </w:tcPr>
          <w:p w14:paraId="17D64D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354E2F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3A9357F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41A2C12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BD9AD6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8DDD19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40BD3AE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368AB07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1A00C8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740CC42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2382EF2D"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B57A5F5"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2.F.4 - Aerosols </w:t>
            </w:r>
          </w:p>
        </w:tc>
        <w:tc>
          <w:tcPr>
            <w:tcW w:w="767" w:type="dxa"/>
            <w:tcBorders>
              <w:top w:val="nil"/>
              <w:left w:val="nil"/>
              <w:bottom w:val="single" w:sz="8" w:space="0" w:color="auto"/>
              <w:right w:val="single" w:sz="8" w:space="0" w:color="auto"/>
            </w:tcBorders>
            <w:shd w:val="clear" w:color="auto" w:fill="auto"/>
            <w:noWrap/>
            <w:vAlign w:val="center"/>
            <w:hideMark/>
          </w:tcPr>
          <w:p w14:paraId="0C8668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B6758B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6C3925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77D0F07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25A6B4B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76EB6A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3D62020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73F4AC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0C96CB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0157DA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6B99ACAB"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711E53F5"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2.F.5 - Solvents </w:t>
            </w:r>
          </w:p>
        </w:tc>
        <w:tc>
          <w:tcPr>
            <w:tcW w:w="767" w:type="dxa"/>
            <w:tcBorders>
              <w:top w:val="nil"/>
              <w:left w:val="nil"/>
              <w:bottom w:val="single" w:sz="8" w:space="0" w:color="auto"/>
              <w:right w:val="single" w:sz="8" w:space="0" w:color="auto"/>
            </w:tcBorders>
            <w:shd w:val="clear" w:color="auto" w:fill="auto"/>
            <w:noWrap/>
            <w:vAlign w:val="center"/>
            <w:hideMark/>
          </w:tcPr>
          <w:p w14:paraId="3387CA3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7B64EB7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9A9B4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2E8554A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4C0D2B3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303EA3D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E2002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5D10170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4D5015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45A69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15E9BD77"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1821C1A"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2.F.6 - Other Applications (please specify) </w:t>
            </w:r>
          </w:p>
        </w:tc>
        <w:tc>
          <w:tcPr>
            <w:tcW w:w="767" w:type="dxa"/>
            <w:tcBorders>
              <w:top w:val="nil"/>
              <w:left w:val="nil"/>
              <w:bottom w:val="single" w:sz="8" w:space="0" w:color="auto"/>
              <w:right w:val="single" w:sz="8" w:space="0" w:color="auto"/>
            </w:tcBorders>
            <w:shd w:val="clear" w:color="auto" w:fill="auto"/>
            <w:noWrap/>
            <w:vAlign w:val="center"/>
            <w:hideMark/>
          </w:tcPr>
          <w:p w14:paraId="777CCE3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9FFD3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65CBC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EAAF97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0300C4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E543B1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06CA54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30D2AE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B33836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24616E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4AB7A4EB"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316496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2.G - Other Product Manufacture and Use </w:t>
            </w:r>
          </w:p>
        </w:tc>
        <w:tc>
          <w:tcPr>
            <w:tcW w:w="767" w:type="dxa"/>
            <w:tcBorders>
              <w:top w:val="nil"/>
              <w:left w:val="nil"/>
              <w:bottom w:val="single" w:sz="8" w:space="0" w:color="auto"/>
              <w:right w:val="single" w:sz="8" w:space="0" w:color="auto"/>
            </w:tcBorders>
            <w:shd w:val="clear" w:color="auto" w:fill="auto"/>
            <w:noWrap/>
            <w:vAlign w:val="center"/>
            <w:hideMark/>
          </w:tcPr>
          <w:p w14:paraId="490A158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22E9EA7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02D39C3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0B1C8F1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61A97C0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3E073AB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3664AC3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4F30829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130FB4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5C97E84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r>
      <w:tr w:rsidR="006B1FB2" w:rsidRPr="00191ACB" w14:paraId="5B6D1EC3"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23EA823"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2.G.1 - Electrical Equipment </w:t>
            </w:r>
          </w:p>
        </w:tc>
        <w:tc>
          <w:tcPr>
            <w:tcW w:w="767" w:type="dxa"/>
            <w:tcBorders>
              <w:top w:val="nil"/>
              <w:left w:val="nil"/>
              <w:bottom w:val="single" w:sz="8" w:space="0" w:color="auto"/>
              <w:right w:val="single" w:sz="8" w:space="0" w:color="auto"/>
            </w:tcBorders>
            <w:shd w:val="clear" w:color="auto" w:fill="auto"/>
            <w:noWrap/>
            <w:vAlign w:val="center"/>
            <w:hideMark/>
          </w:tcPr>
          <w:p w14:paraId="38C4F53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7701440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069AF49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01A531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396D7D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3875529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07EDAE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445EF4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09DF75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960" w:type="dxa"/>
            <w:tcBorders>
              <w:top w:val="nil"/>
              <w:left w:val="nil"/>
              <w:bottom w:val="single" w:sz="8" w:space="0" w:color="auto"/>
              <w:right w:val="single" w:sz="8" w:space="0" w:color="auto"/>
            </w:tcBorders>
            <w:shd w:val="clear" w:color="auto" w:fill="auto"/>
            <w:noWrap/>
            <w:vAlign w:val="center"/>
            <w:hideMark/>
          </w:tcPr>
          <w:p w14:paraId="5C9BADF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r>
      <w:tr w:rsidR="006B1FB2" w:rsidRPr="00191ACB" w14:paraId="47B43A52"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44216B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2.G.2 - SF6 and PFCs from Other Product Uses </w:t>
            </w:r>
          </w:p>
        </w:tc>
        <w:tc>
          <w:tcPr>
            <w:tcW w:w="767" w:type="dxa"/>
            <w:tcBorders>
              <w:top w:val="nil"/>
              <w:left w:val="nil"/>
              <w:bottom w:val="single" w:sz="8" w:space="0" w:color="auto"/>
              <w:right w:val="single" w:sz="8" w:space="0" w:color="auto"/>
            </w:tcBorders>
            <w:shd w:val="clear" w:color="auto" w:fill="auto"/>
            <w:noWrap/>
            <w:vAlign w:val="center"/>
            <w:hideMark/>
          </w:tcPr>
          <w:p w14:paraId="766EA90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E5721A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FB2A87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3F5717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A0E975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CD14F9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4E6D29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62974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F6ADC9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19D398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2401C73C"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82E2C8F"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2.G.3 - N2O from Product Uses </w:t>
            </w:r>
          </w:p>
        </w:tc>
        <w:tc>
          <w:tcPr>
            <w:tcW w:w="767" w:type="dxa"/>
            <w:tcBorders>
              <w:top w:val="nil"/>
              <w:left w:val="nil"/>
              <w:bottom w:val="single" w:sz="8" w:space="0" w:color="auto"/>
              <w:right w:val="single" w:sz="8" w:space="0" w:color="auto"/>
            </w:tcBorders>
            <w:shd w:val="clear" w:color="auto" w:fill="auto"/>
            <w:noWrap/>
            <w:vAlign w:val="center"/>
            <w:hideMark/>
          </w:tcPr>
          <w:p w14:paraId="4E7062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88B788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99B273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03C127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B9E37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FBF42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75E86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06AB92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94D76C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BD20B2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08812FF1"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7344FEE4"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2.G.4 - Other (Please specify) </w:t>
            </w:r>
          </w:p>
        </w:tc>
        <w:tc>
          <w:tcPr>
            <w:tcW w:w="767" w:type="dxa"/>
            <w:tcBorders>
              <w:top w:val="nil"/>
              <w:left w:val="nil"/>
              <w:bottom w:val="single" w:sz="8" w:space="0" w:color="auto"/>
              <w:right w:val="single" w:sz="8" w:space="0" w:color="auto"/>
            </w:tcBorders>
            <w:shd w:val="clear" w:color="auto" w:fill="auto"/>
            <w:noWrap/>
            <w:vAlign w:val="center"/>
            <w:hideMark/>
          </w:tcPr>
          <w:p w14:paraId="38F3769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F18C81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4C0AFF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F2A49A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4585FB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D5DA7D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CFD605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F66A78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035B47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75A26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69F4BCF1"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F18EC3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2.H - Other </w:t>
            </w:r>
          </w:p>
        </w:tc>
        <w:tc>
          <w:tcPr>
            <w:tcW w:w="767" w:type="dxa"/>
            <w:tcBorders>
              <w:top w:val="nil"/>
              <w:left w:val="nil"/>
              <w:bottom w:val="single" w:sz="8" w:space="0" w:color="auto"/>
              <w:right w:val="single" w:sz="8" w:space="0" w:color="auto"/>
            </w:tcBorders>
            <w:shd w:val="clear" w:color="auto" w:fill="auto"/>
            <w:noWrap/>
            <w:vAlign w:val="center"/>
            <w:hideMark/>
          </w:tcPr>
          <w:p w14:paraId="5A2A041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8ECD77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1124DD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640FCA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628B0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1FFCDC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D85AB9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C14ECC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9CCE3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4505C6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47ADC91E"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D01633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2.H.1 - Pulp and Paper Industry </w:t>
            </w:r>
          </w:p>
        </w:tc>
        <w:tc>
          <w:tcPr>
            <w:tcW w:w="767" w:type="dxa"/>
            <w:tcBorders>
              <w:top w:val="nil"/>
              <w:left w:val="nil"/>
              <w:bottom w:val="single" w:sz="8" w:space="0" w:color="auto"/>
              <w:right w:val="single" w:sz="8" w:space="0" w:color="auto"/>
            </w:tcBorders>
            <w:shd w:val="clear" w:color="auto" w:fill="auto"/>
            <w:noWrap/>
            <w:vAlign w:val="center"/>
            <w:hideMark/>
          </w:tcPr>
          <w:p w14:paraId="6948CE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91515F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8F9B2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E45850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C0E2C0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6BBB60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A42E7D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3C4C68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F01BF7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11B844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5FF85732"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71096886"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2.H.2 - Food and Beverages Industry </w:t>
            </w:r>
          </w:p>
        </w:tc>
        <w:tc>
          <w:tcPr>
            <w:tcW w:w="767" w:type="dxa"/>
            <w:tcBorders>
              <w:top w:val="nil"/>
              <w:left w:val="nil"/>
              <w:bottom w:val="single" w:sz="8" w:space="0" w:color="auto"/>
              <w:right w:val="single" w:sz="8" w:space="0" w:color="auto"/>
            </w:tcBorders>
            <w:shd w:val="clear" w:color="auto" w:fill="auto"/>
            <w:noWrap/>
            <w:vAlign w:val="center"/>
            <w:hideMark/>
          </w:tcPr>
          <w:p w14:paraId="10FBDAB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29023FA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5651953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2D6D9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5772CBE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A0584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70BFFBA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025F37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AFAB05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E4BE0B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17919460"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535F20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2.H.3 - Other (please specify) </w:t>
            </w:r>
          </w:p>
        </w:tc>
        <w:tc>
          <w:tcPr>
            <w:tcW w:w="767" w:type="dxa"/>
            <w:tcBorders>
              <w:top w:val="nil"/>
              <w:left w:val="nil"/>
              <w:bottom w:val="single" w:sz="8" w:space="0" w:color="auto"/>
              <w:right w:val="single" w:sz="8" w:space="0" w:color="auto"/>
            </w:tcBorders>
            <w:shd w:val="clear" w:color="auto" w:fill="auto"/>
            <w:noWrap/>
            <w:vAlign w:val="center"/>
            <w:hideMark/>
          </w:tcPr>
          <w:p w14:paraId="1192E0B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AC3B5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106AF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89A29B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D3F432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EFFD15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70EA37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7A2C4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A6031F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76A642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7F41CE0F"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6F5D6AE"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3 - Agriculture, Forestry, and Other Land Use </w:t>
            </w:r>
          </w:p>
        </w:tc>
        <w:tc>
          <w:tcPr>
            <w:tcW w:w="767" w:type="dxa"/>
            <w:tcBorders>
              <w:top w:val="nil"/>
              <w:left w:val="nil"/>
              <w:bottom w:val="single" w:sz="8" w:space="0" w:color="auto"/>
              <w:right w:val="single" w:sz="8" w:space="0" w:color="auto"/>
            </w:tcBorders>
            <w:shd w:val="clear" w:color="auto" w:fill="auto"/>
            <w:noWrap/>
            <w:vAlign w:val="center"/>
            <w:hideMark/>
          </w:tcPr>
          <w:p w14:paraId="6039A6B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-59939</w:t>
            </w:r>
          </w:p>
        </w:tc>
        <w:tc>
          <w:tcPr>
            <w:tcW w:w="960" w:type="dxa"/>
            <w:tcBorders>
              <w:top w:val="nil"/>
              <w:left w:val="nil"/>
              <w:bottom w:val="single" w:sz="8" w:space="0" w:color="auto"/>
              <w:right w:val="single" w:sz="8" w:space="0" w:color="auto"/>
            </w:tcBorders>
            <w:shd w:val="clear" w:color="auto" w:fill="auto"/>
            <w:noWrap/>
            <w:vAlign w:val="center"/>
            <w:hideMark/>
          </w:tcPr>
          <w:p w14:paraId="1EBD2AE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-42062.4</w:t>
            </w:r>
          </w:p>
        </w:tc>
        <w:tc>
          <w:tcPr>
            <w:tcW w:w="960" w:type="dxa"/>
            <w:tcBorders>
              <w:top w:val="nil"/>
              <w:left w:val="nil"/>
              <w:bottom w:val="single" w:sz="8" w:space="0" w:color="auto"/>
              <w:right w:val="single" w:sz="8" w:space="0" w:color="auto"/>
            </w:tcBorders>
            <w:shd w:val="clear" w:color="auto" w:fill="auto"/>
            <w:noWrap/>
            <w:vAlign w:val="center"/>
            <w:hideMark/>
          </w:tcPr>
          <w:p w14:paraId="5A2375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-35083.7</w:t>
            </w:r>
          </w:p>
        </w:tc>
        <w:tc>
          <w:tcPr>
            <w:tcW w:w="960" w:type="dxa"/>
            <w:tcBorders>
              <w:top w:val="nil"/>
              <w:left w:val="nil"/>
              <w:bottom w:val="single" w:sz="8" w:space="0" w:color="auto"/>
              <w:right w:val="single" w:sz="8" w:space="0" w:color="auto"/>
            </w:tcBorders>
            <w:shd w:val="clear" w:color="auto" w:fill="auto"/>
            <w:noWrap/>
            <w:vAlign w:val="center"/>
            <w:hideMark/>
          </w:tcPr>
          <w:p w14:paraId="1D5C8F1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-21898</w:t>
            </w:r>
          </w:p>
        </w:tc>
        <w:tc>
          <w:tcPr>
            <w:tcW w:w="960" w:type="dxa"/>
            <w:tcBorders>
              <w:top w:val="nil"/>
              <w:left w:val="nil"/>
              <w:bottom w:val="single" w:sz="8" w:space="0" w:color="auto"/>
              <w:right w:val="single" w:sz="8" w:space="0" w:color="auto"/>
            </w:tcBorders>
            <w:shd w:val="clear" w:color="auto" w:fill="auto"/>
            <w:noWrap/>
            <w:vAlign w:val="center"/>
            <w:hideMark/>
          </w:tcPr>
          <w:p w14:paraId="02EA63E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-24814</w:t>
            </w:r>
          </w:p>
        </w:tc>
        <w:tc>
          <w:tcPr>
            <w:tcW w:w="960" w:type="dxa"/>
            <w:tcBorders>
              <w:top w:val="nil"/>
              <w:left w:val="nil"/>
              <w:bottom w:val="single" w:sz="8" w:space="0" w:color="auto"/>
              <w:right w:val="single" w:sz="8" w:space="0" w:color="auto"/>
            </w:tcBorders>
            <w:shd w:val="clear" w:color="auto" w:fill="auto"/>
            <w:noWrap/>
            <w:vAlign w:val="center"/>
            <w:hideMark/>
          </w:tcPr>
          <w:p w14:paraId="7507B37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-23998.7</w:t>
            </w:r>
          </w:p>
        </w:tc>
        <w:tc>
          <w:tcPr>
            <w:tcW w:w="960" w:type="dxa"/>
            <w:tcBorders>
              <w:top w:val="nil"/>
              <w:left w:val="nil"/>
              <w:bottom w:val="single" w:sz="8" w:space="0" w:color="auto"/>
              <w:right w:val="single" w:sz="8" w:space="0" w:color="auto"/>
            </w:tcBorders>
            <w:shd w:val="clear" w:color="auto" w:fill="auto"/>
            <w:noWrap/>
            <w:vAlign w:val="center"/>
            <w:hideMark/>
          </w:tcPr>
          <w:p w14:paraId="437CC38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-22773.8</w:t>
            </w:r>
          </w:p>
        </w:tc>
        <w:tc>
          <w:tcPr>
            <w:tcW w:w="960" w:type="dxa"/>
            <w:tcBorders>
              <w:top w:val="nil"/>
              <w:left w:val="nil"/>
              <w:bottom w:val="single" w:sz="8" w:space="0" w:color="auto"/>
              <w:right w:val="single" w:sz="8" w:space="0" w:color="auto"/>
            </w:tcBorders>
            <w:shd w:val="clear" w:color="auto" w:fill="auto"/>
            <w:noWrap/>
            <w:vAlign w:val="center"/>
            <w:hideMark/>
          </w:tcPr>
          <w:p w14:paraId="246721F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-21260.6</w:t>
            </w:r>
          </w:p>
        </w:tc>
        <w:tc>
          <w:tcPr>
            <w:tcW w:w="960" w:type="dxa"/>
            <w:tcBorders>
              <w:top w:val="nil"/>
              <w:left w:val="nil"/>
              <w:bottom w:val="single" w:sz="8" w:space="0" w:color="auto"/>
              <w:right w:val="single" w:sz="8" w:space="0" w:color="auto"/>
            </w:tcBorders>
            <w:shd w:val="clear" w:color="auto" w:fill="auto"/>
            <w:noWrap/>
            <w:vAlign w:val="center"/>
            <w:hideMark/>
          </w:tcPr>
          <w:p w14:paraId="238DB7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-19290.9</w:t>
            </w:r>
          </w:p>
        </w:tc>
        <w:tc>
          <w:tcPr>
            <w:tcW w:w="960" w:type="dxa"/>
            <w:tcBorders>
              <w:top w:val="nil"/>
              <w:left w:val="nil"/>
              <w:bottom w:val="single" w:sz="8" w:space="0" w:color="auto"/>
              <w:right w:val="single" w:sz="8" w:space="0" w:color="auto"/>
            </w:tcBorders>
            <w:shd w:val="clear" w:color="auto" w:fill="auto"/>
            <w:noWrap/>
            <w:vAlign w:val="center"/>
            <w:hideMark/>
          </w:tcPr>
          <w:p w14:paraId="0ECA3AE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-18379.3</w:t>
            </w:r>
          </w:p>
        </w:tc>
      </w:tr>
      <w:tr w:rsidR="006B1FB2" w:rsidRPr="00191ACB" w14:paraId="583E1B26"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A8B0D1D"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3.A - Livestock </w:t>
            </w:r>
          </w:p>
        </w:tc>
        <w:tc>
          <w:tcPr>
            <w:tcW w:w="767" w:type="dxa"/>
            <w:tcBorders>
              <w:top w:val="nil"/>
              <w:left w:val="nil"/>
              <w:bottom w:val="single" w:sz="8" w:space="0" w:color="auto"/>
              <w:right w:val="single" w:sz="8" w:space="0" w:color="auto"/>
            </w:tcBorders>
            <w:shd w:val="clear" w:color="auto" w:fill="auto"/>
            <w:noWrap/>
            <w:vAlign w:val="center"/>
            <w:hideMark/>
          </w:tcPr>
          <w:p w14:paraId="6382C8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1856.8</w:t>
            </w:r>
          </w:p>
        </w:tc>
        <w:tc>
          <w:tcPr>
            <w:tcW w:w="960" w:type="dxa"/>
            <w:tcBorders>
              <w:top w:val="nil"/>
              <w:left w:val="nil"/>
              <w:bottom w:val="single" w:sz="8" w:space="0" w:color="auto"/>
              <w:right w:val="single" w:sz="8" w:space="0" w:color="auto"/>
            </w:tcBorders>
            <w:shd w:val="clear" w:color="auto" w:fill="auto"/>
            <w:noWrap/>
            <w:vAlign w:val="center"/>
            <w:hideMark/>
          </w:tcPr>
          <w:p w14:paraId="2B45905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1951.2</w:t>
            </w:r>
          </w:p>
        </w:tc>
        <w:tc>
          <w:tcPr>
            <w:tcW w:w="960" w:type="dxa"/>
            <w:tcBorders>
              <w:top w:val="nil"/>
              <w:left w:val="nil"/>
              <w:bottom w:val="single" w:sz="8" w:space="0" w:color="auto"/>
              <w:right w:val="single" w:sz="8" w:space="0" w:color="auto"/>
            </w:tcBorders>
            <w:shd w:val="clear" w:color="auto" w:fill="auto"/>
            <w:noWrap/>
            <w:vAlign w:val="center"/>
            <w:hideMark/>
          </w:tcPr>
          <w:p w14:paraId="26BED2A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1871</w:t>
            </w:r>
          </w:p>
        </w:tc>
        <w:tc>
          <w:tcPr>
            <w:tcW w:w="960" w:type="dxa"/>
            <w:tcBorders>
              <w:top w:val="nil"/>
              <w:left w:val="nil"/>
              <w:bottom w:val="single" w:sz="8" w:space="0" w:color="auto"/>
              <w:right w:val="single" w:sz="8" w:space="0" w:color="auto"/>
            </w:tcBorders>
            <w:shd w:val="clear" w:color="auto" w:fill="auto"/>
            <w:noWrap/>
            <w:vAlign w:val="center"/>
            <w:hideMark/>
          </w:tcPr>
          <w:p w14:paraId="01A3952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2336.4</w:t>
            </w:r>
          </w:p>
        </w:tc>
        <w:tc>
          <w:tcPr>
            <w:tcW w:w="960" w:type="dxa"/>
            <w:tcBorders>
              <w:top w:val="nil"/>
              <w:left w:val="nil"/>
              <w:bottom w:val="single" w:sz="8" w:space="0" w:color="auto"/>
              <w:right w:val="single" w:sz="8" w:space="0" w:color="auto"/>
            </w:tcBorders>
            <w:shd w:val="clear" w:color="auto" w:fill="auto"/>
            <w:noWrap/>
            <w:vAlign w:val="center"/>
            <w:hideMark/>
          </w:tcPr>
          <w:p w14:paraId="7B9EB0A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2966.7</w:t>
            </w:r>
          </w:p>
        </w:tc>
        <w:tc>
          <w:tcPr>
            <w:tcW w:w="960" w:type="dxa"/>
            <w:tcBorders>
              <w:top w:val="nil"/>
              <w:left w:val="nil"/>
              <w:bottom w:val="single" w:sz="8" w:space="0" w:color="auto"/>
              <w:right w:val="single" w:sz="8" w:space="0" w:color="auto"/>
            </w:tcBorders>
            <w:shd w:val="clear" w:color="auto" w:fill="auto"/>
            <w:noWrap/>
            <w:vAlign w:val="center"/>
            <w:hideMark/>
          </w:tcPr>
          <w:p w14:paraId="11EB86D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3013.5</w:t>
            </w:r>
          </w:p>
        </w:tc>
        <w:tc>
          <w:tcPr>
            <w:tcW w:w="960" w:type="dxa"/>
            <w:tcBorders>
              <w:top w:val="nil"/>
              <w:left w:val="nil"/>
              <w:bottom w:val="single" w:sz="8" w:space="0" w:color="auto"/>
              <w:right w:val="single" w:sz="8" w:space="0" w:color="auto"/>
            </w:tcBorders>
            <w:shd w:val="clear" w:color="auto" w:fill="auto"/>
            <w:noWrap/>
            <w:vAlign w:val="center"/>
            <w:hideMark/>
          </w:tcPr>
          <w:p w14:paraId="13A1479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3225.9</w:t>
            </w:r>
          </w:p>
        </w:tc>
        <w:tc>
          <w:tcPr>
            <w:tcW w:w="960" w:type="dxa"/>
            <w:tcBorders>
              <w:top w:val="nil"/>
              <w:left w:val="nil"/>
              <w:bottom w:val="single" w:sz="8" w:space="0" w:color="auto"/>
              <w:right w:val="single" w:sz="8" w:space="0" w:color="auto"/>
            </w:tcBorders>
            <w:shd w:val="clear" w:color="auto" w:fill="auto"/>
            <w:noWrap/>
            <w:vAlign w:val="center"/>
            <w:hideMark/>
          </w:tcPr>
          <w:p w14:paraId="2D434E8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3494.1</w:t>
            </w:r>
          </w:p>
        </w:tc>
        <w:tc>
          <w:tcPr>
            <w:tcW w:w="960" w:type="dxa"/>
            <w:tcBorders>
              <w:top w:val="nil"/>
              <w:left w:val="nil"/>
              <w:bottom w:val="single" w:sz="8" w:space="0" w:color="auto"/>
              <w:right w:val="single" w:sz="8" w:space="0" w:color="auto"/>
            </w:tcBorders>
            <w:shd w:val="clear" w:color="auto" w:fill="auto"/>
            <w:noWrap/>
            <w:vAlign w:val="center"/>
            <w:hideMark/>
          </w:tcPr>
          <w:p w14:paraId="0A2799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3819.7</w:t>
            </w:r>
          </w:p>
        </w:tc>
        <w:tc>
          <w:tcPr>
            <w:tcW w:w="960" w:type="dxa"/>
            <w:tcBorders>
              <w:top w:val="nil"/>
              <w:left w:val="nil"/>
              <w:bottom w:val="single" w:sz="8" w:space="0" w:color="auto"/>
              <w:right w:val="single" w:sz="8" w:space="0" w:color="auto"/>
            </w:tcBorders>
            <w:shd w:val="clear" w:color="auto" w:fill="auto"/>
            <w:noWrap/>
            <w:vAlign w:val="center"/>
            <w:hideMark/>
          </w:tcPr>
          <w:p w14:paraId="2C4B1A5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4200.4</w:t>
            </w:r>
          </w:p>
        </w:tc>
      </w:tr>
      <w:tr w:rsidR="006B1FB2" w:rsidRPr="00191ACB" w14:paraId="5C7CAE4A"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1A46CB3"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3.A.1 - Enteric Fermentation </w:t>
            </w:r>
          </w:p>
        </w:tc>
        <w:tc>
          <w:tcPr>
            <w:tcW w:w="767" w:type="dxa"/>
            <w:tcBorders>
              <w:top w:val="nil"/>
              <w:left w:val="nil"/>
              <w:bottom w:val="single" w:sz="8" w:space="0" w:color="auto"/>
              <w:right w:val="single" w:sz="8" w:space="0" w:color="auto"/>
            </w:tcBorders>
            <w:shd w:val="clear" w:color="auto" w:fill="auto"/>
            <w:noWrap/>
            <w:vAlign w:val="center"/>
            <w:hideMark/>
          </w:tcPr>
          <w:p w14:paraId="7BEAFE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1789.7</w:t>
            </w:r>
          </w:p>
        </w:tc>
        <w:tc>
          <w:tcPr>
            <w:tcW w:w="960" w:type="dxa"/>
            <w:tcBorders>
              <w:top w:val="nil"/>
              <w:left w:val="nil"/>
              <w:bottom w:val="single" w:sz="8" w:space="0" w:color="auto"/>
              <w:right w:val="single" w:sz="8" w:space="0" w:color="auto"/>
            </w:tcBorders>
            <w:shd w:val="clear" w:color="auto" w:fill="auto"/>
            <w:noWrap/>
            <w:vAlign w:val="center"/>
            <w:hideMark/>
          </w:tcPr>
          <w:p w14:paraId="013039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1880.5</w:t>
            </w:r>
          </w:p>
        </w:tc>
        <w:tc>
          <w:tcPr>
            <w:tcW w:w="960" w:type="dxa"/>
            <w:tcBorders>
              <w:top w:val="nil"/>
              <w:left w:val="nil"/>
              <w:bottom w:val="single" w:sz="8" w:space="0" w:color="auto"/>
              <w:right w:val="single" w:sz="8" w:space="0" w:color="auto"/>
            </w:tcBorders>
            <w:shd w:val="clear" w:color="auto" w:fill="auto"/>
            <w:noWrap/>
            <w:vAlign w:val="center"/>
            <w:hideMark/>
          </w:tcPr>
          <w:p w14:paraId="320A69D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1784</w:t>
            </w:r>
          </w:p>
        </w:tc>
        <w:tc>
          <w:tcPr>
            <w:tcW w:w="960" w:type="dxa"/>
            <w:tcBorders>
              <w:top w:val="nil"/>
              <w:left w:val="nil"/>
              <w:bottom w:val="single" w:sz="8" w:space="0" w:color="auto"/>
              <w:right w:val="single" w:sz="8" w:space="0" w:color="auto"/>
            </w:tcBorders>
            <w:shd w:val="clear" w:color="auto" w:fill="auto"/>
            <w:noWrap/>
            <w:vAlign w:val="center"/>
            <w:hideMark/>
          </w:tcPr>
          <w:p w14:paraId="548B321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2228.5</w:t>
            </w:r>
          </w:p>
        </w:tc>
        <w:tc>
          <w:tcPr>
            <w:tcW w:w="960" w:type="dxa"/>
            <w:tcBorders>
              <w:top w:val="nil"/>
              <w:left w:val="nil"/>
              <w:bottom w:val="single" w:sz="8" w:space="0" w:color="auto"/>
              <w:right w:val="single" w:sz="8" w:space="0" w:color="auto"/>
            </w:tcBorders>
            <w:shd w:val="clear" w:color="auto" w:fill="auto"/>
            <w:noWrap/>
            <w:vAlign w:val="center"/>
            <w:hideMark/>
          </w:tcPr>
          <w:p w14:paraId="7B0CE77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2840.2</w:t>
            </w:r>
          </w:p>
        </w:tc>
        <w:tc>
          <w:tcPr>
            <w:tcW w:w="960" w:type="dxa"/>
            <w:tcBorders>
              <w:top w:val="nil"/>
              <w:left w:val="nil"/>
              <w:bottom w:val="single" w:sz="8" w:space="0" w:color="auto"/>
              <w:right w:val="single" w:sz="8" w:space="0" w:color="auto"/>
            </w:tcBorders>
            <w:shd w:val="clear" w:color="auto" w:fill="auto"/>
            <w:noWrap/>
            <w:vAlign w:val="center"/>
            <w:hideMark/>
          </w:tcPr>
          <w:p w14:paraId="3919B42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2882</w:t>
            </w:r>
          </w:p>
        </w:tc>
        <w:tc>
          <w:tcPr>
            <w:tcW w:w="960" w:type="dxa"/>
            <w:tcBorders>
              <w:top w:val="nil"/>
              <w:left w:val="nil"/>
              <w:bottom w:val="single" w:sz="8" w:space="0" w:color="auto"/>
              <w:right w:val="single" w:sz="8" w:space="0" w:color="auto"/>
            </w:tcBorders>
            <w:shd w:val="clear" w:color="auto" w:fill="auto"/>
            <w:noWrap/>
            <w:vAlign w:val="center"/>
            <w:hideMark/>
          </w:tcPr>
          <w:p w14:paraId="2A21EF4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3074.8</w:t>
            </w:r>
          </w:p>
        </w:tc>
        <w:tc>
          <w:tcPr>
            <w:tcW w:w="960" w:type="dxa"/>
            <w:tcBorders>
              <w:top w:val="nil"/>
              <w:left w:val="nil"/>
              <w:bottom w:val="single" w:sz="8" w:space="0" w:color="auto"/>
              <w:right w:val="single" w:sz="8" w:space="0" w:color="auto"/>
            </w:tcBorders>
            <w:shd w:val="clear" w:color="auto" w:fill="auto"/>
            <w:noWrap/>
            <w:vAlign w:val="center"/>
            <w:hideMark/>
          </w:tcPr>
          <w:p w14:paraId="72E6255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3320.2</w:t>
            </w:r>
          </w:p>
        </w:tc>
        <w:tc>
          <w:tcPr>
            <w:tcW w:w="960" w:type="dxa"/>
            <w:tcBorders>
              <w:top w:val="nil"/>
              <w:left w:val="nil"/>
              <w:bottom w:val="single" w:sz="8" w:space="0" w:color="auto"/>
              <w:right w:val="single" w:sz="8" w:space="0" w:color="auto"/>
            </w:tcBorders>
            <w:shd w:val="clear" w:color="auto" w:fill="auto"/>
            <w:noWrap/>
            <w:vAlign w:val="center"/>
            <w:hideMark/>
          </w:tcPr>
          <w:p w14:paraId="0233D95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3616.5</w:t>
            </w:r>
          </w:p>
        </w:tc>
        <w:tc>
          <w:tcPr>
            <w:tcW w:w="960" w:type="dxa"/>
            <w:tcBorders>
              <w:top w:val="nil"/>
              <w:left w:val="nil"/>
              <w:bottom w:val="single" w:sz="8" w:space="0" w:color="auto"/>
              <w:right w:val="single" w:sz="8" w:space="0" w:color="auto"/>
            </w:tcBorders>
            <w:shd w:val="clear" w:color="auto" w:fill="auto"/>
            <w:noWrap/>
            <w:vAlign w:val="center"/>
            <w:hideMark/>
          </w:tcPr>
          <w:p w14:paraId="1A26C5B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3958</w:t>
            </w:r>
          </w:p>
        </w:tc>
      </w:tr>
      <w:tr w:rsidR="006B1FB2" w:rsidRPr="00191ACB" w14:paraId="43B9A4BF"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36373A6E"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3.A.2 - Manure Management </w:t>
            </w:r>
          </w:p>
        </w:tc>
        <w:tc>
          <w:tcPr>
            <w:tcW w:w="767" w:type="dxa"/>
            <w:tcBorders>
              <w:top w:val="nil"/>
              <w:left w:val="nil"/>
              <w:bottom w:val="single" w:sz="8" w:space="0" w:color="auto"/>
              <w:right w:val="single" w:sz="8" w:space="0" w:color="auto"/>
            </w:tcBorders>
            <w:shd w:val="clear" w:color="auto" w:fill="auto"/>
            <w:noWrap/>
            <w:vAlign w:val="center"/>
            <w:hideMark/>
          </w:tcPr>
          <w:p w14:paraId="7FC956D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67</w:t>
            </w:r>
          </w:p>
        </w:tc>
        <w:tc>
          <w:tcPr>
            <w:tcW w:w="960" w:type="dxa"/>
            <w:tcBorders>
              <w:top w:val="nil"/>
              <w:left w:val="nil"/>
              <w:bottom w:val="single" w:sz="8" w:space="0" w:color="auto"/>
              <w:right w:val="single" w:sz="8" w:space="0" w:color="auto"/>
            </w:tcBorders>
            <w:shd w:val="clear" w:color="auto" w:fill="auto"/>
            <w:noWrap/>
            <w:vAlign w:val="center"/>
            <w:hideMark/>
          </w:tcPr>
          <w:p w14:paraId="6A16525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70.7</w:t>
            </w:r>
          </w:p>
        </w:tc>
        <w:tc>
          <w:tcPr>
            <w:tcW w:w="960" w:type="dxa"/>
            <w:tcBorders>
              <w:top w:val="nil"/>
              <w:left w:val="nil"/>
              <w:bottom w:val="single" w:sz="8" w:space="0" w:color="auto"/>
              <w:right w:val="single" w:sz="8" w:space="0" w:color="auto"/>
            </w:tcBorders>
            <w:shd w:val="clear" w:color="auto" w:fill="auto"/>
            <w:noWrap/>
            <w:vAlign w:val="center"/>
            <w:hideMark/>
          </w:tcPr>
          <w:p w14:paraId="7562EA8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87</w:t>
            </w:r>
          </w:p>
        </w:tc>
        <w:tc>
          <w:tcPr>
            <w:tcW w:w="960" w:type="dxa"/>
            <w:tcBorders>
              <w:top w:val="nil"/>
              <w:left w:val="nil"/>
              <w:bottom w:val="single" w:sz="8" w:space="0" w:color="auto"/>
              <w:right w:val="single" w:sz="8" w:space="0" w:color="auto"/>
            </w:tcBorders>
            <w:shd w:val="clear" w:color="auto" w:fill="auto"/>
            <w:noWrap/>
            <w:vAlign w:val="center"/>
            <w:hideMark/>
          </w:tcPr>
          <w:p w14:paraId="6ECC9CC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107.9</w:t>
            </w:r>
          </w:p>
        </w:tc>
        <w:tc>
          <w:tcPr>
            <w:tcW w:w="960" w:type="dxa"/>
            <w:tcBorders>
              <w:top w:val="nil"/>
              <w:left w:val="nil"/>
              <w:bottom w:val="single" w:sz="8" w:space="0" w:color="auto"/>
              <w:right w:val="single" w:sz="8" w:space="0" w:color="auto"/>
            </w:tcBorders>
            <w:shd w:val="clear" w:color="auto" w:fill="auto"/>
            <w:noWrap/>
            <w:vAlign w:val="center"/>
            <w:hideMark/>
          </w:tcPr>
          <w:p w14:paraId="3AA766D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126.5</w:t>
            </w:r>
          </w:p>
        </w:tc>
        <w:tc>
          <w:tcPr>
            <w:tcW w:w="960" w:type="dxa"/>
            <w:tcBorders>
              <w:top w:val="nil"/>
              <w:left w:val="nil"/>
              <w:bottom w:val="single" w:sz="8" w:space="0" w:color="auto"/>
              <w:right w:val="single" w:sz="8" w:space="0" w:color="auto"/>
            </w:tcBorders>
            <w:shd w:val="clear" w:color="auto" w:fill="auto"/>
            <w:noWrap/>
            <w:vAlign w:val="center"/>
            <w:hideMark/>
          </w:tcPr>
          <w:p w14:paraId="432048C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131.4</w:t>
            </w:r>
          </w:p>
        </w:tc>
        <w:tc>
          <w:tcPr>
            <w:tcW w:w="960" w:type="dxa"/>
            <w:tcBorders>
              <w:top w:val="nil"/>
              <w:left w:val="nil"/>
              <w:bottom w:val="single" w:sz="8" w:space="0" w:color="auto"/>
              <w:right w:val="single" w:sz="8" w:space="0" w:color="auto"/>
            </w:tcBorders>
            <w:shd w:val="clear" w:color="auto" w:fill="auto"/>
            <w:noWrap/>
            <w:vAlign w:val="center"/>
            <w:hideMark/>
          </w:tcPr>
          <w:p w14:paraId="4893CC0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151.1</w:t>
            </w:r>
          </w:p>
        </w:tc>
        <w:tc>
          <w:tcPr>
            <w:tcW w:w="960" w:type="dxa"/>
            <w:tcBorders>
              <w:top w:val="nil"/>
              <w:left w:val="nil"/>
              <w:bottom w:val="single" w:sz="8" w:space="0" w:color="auto"/>
              <w:right w:val="single" w:sz="8" w:space="0" w:color="auto"/>
            </w:tcBorders>
            <w:shd w:val="clear" w:color="auto" w:fill="auto"/>
            <w:noWrap/>
            <w:vAlign w:val="center"/>
            <w:hideMark/>
          </w:tcPr>
          <w:p w14:paraId="690655E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173.8</w:t>
            </w:r>
          </w:p>
        </w:tc>
        <w:tc>
          <w:tcPr>
            <w:tcW w:w="960" w:type="dxa"/>
            <w:tcBorders>
              <w:top w:val="nil"/>
              <w:left w:val="nil"/>
              <w:bottom w:val="single" w:sz="8" w:space="0" w:color="auto"/>
              <w:right w:val="single" w:sz="8" w:space="0" w:color="auto"/>
            </w:tcBorders>
            <w:shd w:val="clear" w:color="auto" w:fill="auto"/>
            <w:noWrap/>
            <w:vAlign w:val="center"/>
            <w:hideMark/>
          </w:tcPr>
          <w:p w14:paraId="331A24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203.2</w:t>
            </w:r>
          </w:p>
        </w:tc>
        <w:tc>
          <w:tcPr>
            <w:tcW w:w="960" w:type="dxa"/>
            <w:tcBorders>
              <w:top w:val="nil"/>
              <w:left w:val="nil"/>
              <w:bottom w:val="single" w:sz="8" w:space="0" w:color="auto"/>
              <w:right w:val="single" w:sz="8" w:space="0" w:color="auto"/>
            </w:tcBorders>
            <w:shd w:val="clear" w:color="auto" w:fill="auto"/>
            <w:noWrap/>
            <w:vAlign w:val="center"/>
            <w:hideMark/>
          </w:tcPr>
          <w:p w14:paraId="0D09958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242.5</w:t>
            </w:r>
          </w:p>
        </w:tc>
      </w:tr>
      <w:tr w:rsidR="006B1FB2" w:rsidRPr="00191ACB" w14:paraId="0771A87D"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3F20B4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 - Land </w:t>
            </w:r>
          </w:p>
        </w:tc>
        <w:tc>
          <w:tcPr>
            <w:tcW w:w="767" w:type="dxa"/>
            <w:tcBorders>
              <w:top w:val="nil"/>
              <w:left w:val="nil"/>
              <w:bottom w:val="single" w:sz="8" w:space="0" w:color="auto"/>
              <w:right w:val="single" w:sz="8" w:space="0" w:color="auto"/>
            </w:tcBorders>
            <w:shd w:val="clear" w:color="auto" w:fill="auto"/>
            <w:noWrap/>
            <w:vAlign w:val="center"/>
            <w:hideMark/>
          </w:tcPr>
          <w:p w14:paraId="37A77F1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-69001.1</w:t>
            </w:r>
          </w:p>
        </w:tc>
        <w:tc>
          <w:tcPr>
            <w:tcW w:w="960" w:type="dxa"/>
            <w:tcBorders>
              <w:top w:val="nil"/>
              <w:left w:val="nil"/>
              <w:bottom w:val="single" w:sz="8" w:space="0" w:color="auto"/>
              <w:right w:val="single" w:sz="8" w:space="0" w:color="auto"/>
            </w:tcBorders>
            <w:shd w:val="clear" w:color="auto" w:fill="auto"/>
            <w:noWrap/>
            <w:vAlign w:val="center"/>
            <w:hideMark/>
          </w:tcPr>
          <w:p w14:paraId="2FC4004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-52444.8</w:t>
            </w:r>
          </w:p>
        </w:tc>
        <w:tc>
          <w:tcPr>
            <w:tcW w:w="960" w:type="dxa"/>
            <w:tcBorders>
              <w:top w:val="nil"/>
              <w:left w:val="nil"/>
              <w:bottom w:val="single" w:sz="8" w:space="0" w:color="auto"/>
              <w:right w:val="single" w:sz="8" w:space="0" w:color="auto"/>
            </w:tcBorders>
            <w:shd w:val="clear" w:color="auto" w:fill="auto"/>
            <w:noWrap/>
            <w:vAlign w:val="center"/>
            <w:hideMark/>
          </w:tcPr>
          <w:p w14:paraId="0D4AA87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-46868.2</w:t>
            </w:r>
          </w:p>
        </w:tc>
        <w:tc>
          <w:tcPr>
            <w:tcW w:w="960" w:type="dxa"/>
            <w:tcBorders>
              <w:top w:val="nil"/>
              <w:left w:val="nil"/>
              <w:bottom w:val="single" w:sz="8" w:space="0" w:color="auto"/>
              <w:right w:val="single" w:sz="8" w:space="0" w:color="auto"/>
            </w:tcBorders>
            <w:shd w:val="clear" w:color="auto" w:fill="auto"/>
            <w:noWrap/>
            <w:vAlign w:val="center"/>
            <w:hideMark/>
          </w:tcPr>
          <w:p w14:paraId="042D917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-35138.2</w:t>
            </w:r>
          </w:p>
        </w:tc>
        <w:tc>
          <w:tcPr>
            <w:tcW w:w="960" w:type="dxa"/>
            <w:tcBorders>
              <w:top w:val="nil"/>
              <w:left w:val="nil"/>
              <w:bottom w:val="single" w:sz="8" w:space="0" w:color="auto"/>
              <w:right w:val="single" w:sz="8" w:space="0" w:color="auto"/>
            </w:tcBorders>
            <w:shd w:val="clear" w:color="auto" w:fill="auto"/>
            <w:noWrap/>
            <w:vAlign w:val="center"/>
            <w:hideMark/>
          </w:tcPr>
          <w:p w14:paraId="6332002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-38514.1</w:t>
            </w:r>
          </w:p>
        </w:tc>
        <w:tc>
          <w:tcPr>
            <w:tcW w:w="960" w:type="dxa"/>
            <w:tcBorders>
              <w:top w:val="nil"/>
              <w:left w:val="nil"/>
              <w:bottom w:val="single" w:sz="8" w:space="0" w:color="auto"/>
              <w:right w:val="single" w:sz="8" w:space="0" w:color="auto"/>
            </w:tcBorders>
            <w:shd w:val="clear" w:color="auto" w:fill="auto"/>
            <w:noWrap/>
            <w:vAlign w:val="center"/>
            <w:hideMark/>
          </w:tcPr>
          <w:p w14:paraId="103BEEE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-37418.1</w:t>
            </w:r>
          </w:p>
        </w:tc>
        <w:tc>
          <w:tcPr>
            <w:tcW w:w="960" w:type="dxa"/>
            <w:tcBorders>
              <w:top w:val="nil"/>
              <w:left w:val="nil"/>
              <w:bottom w:val="single" w:sz="8" w:space="0" w:color="auto"/>
              <w:right w:val="single" w:sz="8" w:space="0" w:color="auto"/>
            </w:tcBorders>
            <w:shd w:val="clear" w:color="auto" w:fill="auto"/>
            <w:noWrap/>
            <w:vAlign w:val="center"/>
            <w:hideMark/>
          </w:tcPr>
          <w:p w14:paraId="6648992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-36293</w:t>
            </w:r>
          </w:p>
        </w:tc>
        <w:tc>
          <w:tcPr>
            <w:tcW w:w="960" w:type="dxa"/>
            <w:tcBorders>
              <w:top w:val="nil"/>
              <w:left w:val="nil"/>
              <w:bottom w:val="single" w:sz="8" w:space="0" w:color="auto"/>
              <w:right w:val="single" w:sz="8" w:space="0" w:color="auto"/>
            </w:tcBorders>
            <w:shd w:val="clear" w:color="auto" w:fill="auto"/>
            <w:noWrap/>
            <w:vAlign w:val="center"/>
            <w:hideMark/>
          </w:tcPr>
          <w:p w14:paraId="0A28AF2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-35137.7</w:t>
            </w:r>
          </w:p>
        </w:tc>
        <w:tc>
          <w:tcPr>
            <w:tcW w:w="960" w:type="dxa"/>
            <w:tcBorders>
              <w:top w:val="nil"/>
              <w:left w:val="nil"/>
              <w:bottom w:val="single" w:sz="8" w:space="0" w:color="auto"/>
              <w:right w:val="single" w:sz="8" w:space="0" w:color="auto"/>
            </w:tcBorders>
            <w:shd w:val="clear" w:color="auto" w:fill="auto"/>
            <w:noWrap/>
            <w:vAlign w:val="center"/>
            <w:hideMark/>
          </w:tcPr>
          <w:p w14:paraId="55D475A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-33951.1</w:t>
            </w:r>
          </w:p>
        </w:tc>
        <w:tc>
          <w:tcPr>
            <w:tcW w:w="960" w:type="dxa"/>
            <w:tcBorders>
              <w:top w:val="nil"/>
              <w:left w:val="nil"/>
              <w:bottom w:val="single" w:sz="8" w:space="0" w:color="auto"/>
              <w:right w:val="single" w:sz="8" w:space="0" w:color="auto"/>
            </w:tcBorders>
            <w:shd w:val="clear" w:color="auto" w:fill="auto"/>
            <w:noWrap/>
            <w:vAlign w:val="center"/>
            <w:hideMark/>
          </w:tcPr>
          <w:p w14:paraId="52B1BB7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-33659.3</w:t>
            </w:r>
          </w:p>
        </w:tc>
      </w:tr>
      <w:tr w:rsidR="006B1FB2" w:rsidRPr="00191ACB" w14:paraId="51D0D146"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E59783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3.B.1 - Forest land </w:t>
            </w:r>
          </w:p>
        </w:tc>
        <w:tc>
          <w:tcPr>
            <w:tcW w:w="767" w:type="dxa"/>
            <w:tcBorders>
              <w:top w:val="nil"/>
              <w:left w:val="nil"/>
              <w:bottom w:val="single" w:sz="8" w:space="0" w:color="auto"/>
              <w:right w:val="single" w:sz="8" w:space="0" w:color="auto"/>
            </w:tcBorders>
            <w:shd w:val="clear" w:color="auto" w:fill="auto"/>
            <w:noWrap/>
            <w:vAlign w:val="center"/>
            <w:hideMark/>
          </w:tcPr>
          <w:p w14:paraId="396671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-86162.2</w:t>
            </w:r>
          </w:p>
        </w:tc>
        <w:tc>
          <w:tcPr>
            <w:tcW w:w="960" w:type="dxa"/>
            <w:tcBorders>
              <w:top w:val="nil"/>
              <w:left w:val="nil"/>
              <w:bottom w:val="single" w:sz="8" w:space="0" w:color="auto"/>
              <w:right w:val="single" w:sz="8" w:space="0" w:color="auto"/>
            </w:tcBorders>
            <w:shd w:val="clear" w:color="auto" w:fill="auto"/>
            <w:noWrap/>
            <w:vAlign w:val="center"/>
            <w:hideMark/>
          </w:tcPr>
          <w:p w14:paraId="2A28EE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-81466</w:t>
            </w:r>
          </w:p>
        </w:tc>
        <w:tc>
          <w:tcPr>
            <w:tcW w:w="960" w:type="dxa"/>
            <w:tcBorders>
              <w:top w:val="nil"/>
              <w:left w:val="nil"/>
              <w:bottom w:val="single" w:sz="8" w:space="0" w:color="auto"/>
              <w:right w:val="single" w:sz="8" w:space="0" w:color="auto"/>
            </w:tcBorders>
            <w:shd w:val="clear" w:color="auto" w:fill="auto"/>
            <w:noWrap/>
            <w:vAlign w:val="center"/>
            <w:hideMark/>
          </w:tcPr>
          <w:p w14:paraId="7F4489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-75917.7</w:t>
            </w:r>
          </w:p>
        </w:tc>
        <w:tc>
          <w:tcPr>
            <w:tcW w:w="960" w:type="dxa"/>
            <w:tcBorders>
              <w:top w:val="nil"/>
              <w:left w:val="nil"/>
              <w:bottom w:val="single" w:sz="8" w:space="0" w:color="auto"/>
              <w:right w:val="single" w:sz="8" w:space="0" w:color="auto"/>
            </w:tcBorders>
            <w:shd w:val="clear" w:color="auto" w:fill="auto"/>
            <w:noWrap/>
            <w:vAlign w:val="center"/>
            <w:hideMark/>
          </w:tcPr>
          <w:p w14:paraId="0362D7A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-70767</w:t>
            </w:r>
          </w:p>
        </w:tc>
        <w:tc>
          <w:tcPr>
            <w:tcW w:w="960" w:type="dxa"/>
            <w:tcBorders>
              <w:top w:val="nil"/>
              <w:left w:val="nil"/>
              <w:bottom w:val="single" w:sz="8" w:space="0" w:color="auto"/>
              <w:right w:val="single" w:sz="8" w:space="0" w:color="auto"/>
            </w:tcBorders>
            <w:shd w:val="clear" w:color="auto" w:fill="auto"/>
            <w:noWrap/>
            <w:vAlign w:val="center"/>
            <w:hideMark/>
          </w:tcPr>
          <w:p w14:paraId="01F86D8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-70221.5</w:t>
            </w:r>
          </w:p>
        </w:tc>
        <w:tc>
          <w:tcPr>
            <w:tcW w:w="960" w:type="dxa"/>
            <w:tcBorders>
              <w:top w:val="nil"/>
              <w:left w:val="nil"/>
              <w:bottom w:val="single" w:sz="8" w:space="0" w:color="auto"/>
              <w:right w:val="single" w:sz="8" w:space="0" w:color="auto"/>
            </w:tcBorders>
            <w:shd w:val="clear" w:color="auto" w:fill="auto"/>
            <w:noWrap/>
            <w:vAlign w:val="center"/>
            <w:hideMark/>
          </w:tcPr>
          <w:p w14:paraId="328F771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-69125.6</w:t>
            </w:r>
          </w:p>
        </w:tc>
        <w:tc>
          <w:tcPr>
            <w:tcW w:w="960" w:type="dxa"/>
            <w:tcBorders>
              <w:top w:val="nil"/>
              <w:left w:val="nil"/>
              <w:bottom w:val="single" w:sz="8" w:space="0" w:color="auto"/>
              <w:right w:val="single" w:sz="8" w:space="0" w:color="auto"/>
            </w:tcBorders>
            <w:shd w:val="clear" w:color="auto" w:fill="auto"/>
            <w:noWrap/>
            <w:vAlign w:val="center"/>
            <w:hideMark/>
          </w:tcPr>
          <w:p w14:paraId="44D78D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-68000.5</w:t>
            </w:r>
          </w:p>
        </w:tc>
        <w:tc>
          <w:tcPr>
            <w:tcW w:w="960" w:type="dxa"/>
            <w:tcBorders>
              <w:top w:val="nil"/>
              <w:left w:val="nil"/>
              <w:bottom w:val="single" w:sz="8" w:space="0" w:color="auto"/>
              <w:right w:val="single" w:sz="8" w:space="0" w:color="auto"/>
            </w:tcBorders>
            <w:shd w:val="clear" w:color="auto" w:fill="auto"/>
            <w:noWrap/>
            <w:vAlign w:val="center"/>
            <w:hideMark/>
          </w:tcPr>
          <w:p w14:paraId="1C5DA0C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-66845.1</w:t>
            </w:r>
          </w:p>
        </w:tc>
        <w:tc>
          <w:tcPr>
            <w:tcW w:w="960" w:type="dxa"/>
            <w:tcBorders>
              <w:top w:val="nil"/>
              <w:left w:val="nil"/>
              <w:bottom w:val="single" w:sz="8" w:space="0" w:color="auto"/>
              <w:right w:val="single" w:sz="8" w:space="0" w:color="auto"/>
            </w:tcBorders>
            <w:shd w:val="clear" w:color="auto" w:fill="auto"/>
            <w:noWrap/>
            <w:vAlign w:val="center"/>
            <w:hideMark/>
          </w:tcPr>
          <w:p w14:paraId="4EECD9B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-65658.6</w:t>
            </w:r>
          </w:p>
        </w:tc>
        <w:tc>
          <w:tcPr>
            <w:tcW w:w="960" w:type="dxa"/>
            <w:tcBorders>
              <w:top w:val="nil"/>
              <w:left w:val="nil"/>
              <w:bottom w:val="single" w:sz="8" w:space="0" w:color="auto"/>
              <w:right w:val="single" w:sz="8" w:space="0" w:color="auto"/>
            </w:tcBorders>
            <w:shd w:val="clear" w:color="auto" w:fill="auto"/>
            <w:noWrap/>
            <w:vAlign w:val="center"/>
            <w:hideMark/>
          </w:tcPr>
          <w:p w14:paraId="6F6A086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-65366.7</w:t>
            </w:r>
          </w:p>
        </w:tc>
      </w:tr>
      <w:tr w:rsidR="006B1FB2" w:rsidRPr="00191ACB" w14:paraId="3816B8FC"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2F9487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3.B.2 - Cropland </w:t>
            </w:r>
          </w:p>
        </w:tc>
        <w:tc>
          <w:tcPr>
            <w:tcW w:w="767" w:type="dxa"/>
            <w:tcBorders>
              <w:top w:val="nil"/>
              <w:left w:val="nil"/>
              <w:bottom w:val="single" w:sz="8" w:space="0" w:color="auto"/>
              <w:right w:val="single" w:sz="8" w:space="0" w:color="auto"/>
            </w:tcBorders>
            <w:shd w:val="clear" w:color="auto" w:fill="auto"/>
            <w:noWrap/>
            <w:vAlign w:val="center"/>
            <w:hideMark/>
          </w:tcPr>
          <w:p w14:paraId="405DD57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14023.2</w:t>
            </w:r>
          </w:p>
        </w:tc>
        <w:tc>
          <w:tcPr>
            <w:tcW w:w="960" w:type="dxa"/>
            <w:tcBorders>
              <w:top w:val="nil"/>
              <w:left w:val="nil"/>
              <w:bottom w:val="single" w:sz="8" w:space="0" w:color="auto"/>
              <w:right w:val="single" w:sz="8" w:space="0" w:color="auto"/>
            </w:tcBorders>
            <w:shd w:val="clear" w:color="auto" w:fill="auto"/>
            <w:noWrap/>
            <w:vAlign w:val="center"/>
            <w:hideMark/>
          </w:tcPr>
          <w:p w14:paraId="6AD441E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17947.9</w:t>
            </w:r>
          </w:p>
        </w:tc>
        <w:tc>
          <w:tcPr>
            <w:tcW w:w="960" w:type="dxa"/>
            <w:tcBorders>
              <w:top w:val="nil"/>
              <w:left w:val="nil"/>
              <w:bottom w:val="single" w:sz="8" w:space="0" w:color="auto"/>
              <w:right w:val="single" w:sz="8" w:space="0" w:color="auto"/>
            </w:tcBorders>
            <w:shd w:val="clear" w:color="auto" w:fill="auto"/>
            <w:noWrap/>
            <w:vAlign w:val="center"/>
            <w:hideMark/>
          </w:tcPr>
          <w:p w14:paraId="6BF2044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20514.9</w:t>
            </w:r>
          </w:p>
        </w:tc>
        <w:tc>
          <w:tcPr>
            <w:tcW w:w="960" w:type="dxa"/>
            <w:tcBorders>
              <w:top w:val="nil"/>
              <w:left w:val="nil"/>
              <w:bottom w:val="single" w:sz="8" w:space="0" w:color="auto"/>
              <w:right w:val="single" w:sz="8" w:space="0" w:color="auto"/>
            </w:tcBorders>
            <w:shd w:val="clear" w:color="auto" w:fill="auto"/>
            <w:noWrap/>
            <w:vAlign w:val="center"/>
            <w:hideMark/>
          </w:tcPr>
          <w:p w14:paraId="3E9BEAB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25653</w:t>
            </w:r>
          </w:p>
        </w:tc>
        <w:tc>
          <w:tcPr>
            <w:tcW w:w="960" w:type="dxa"/>
            <w:tcBorders>
              <w:top w:val="nil"/>
              <w:left w:val="nil"/>
              <w:bottom w:val="single" w:sz="8" w:space="0" w:color="auto"/>
              <w:right w:val="single" w:sz="8" w:space="0" w:color="auto"/>
            </w:tcBorders>
            <w:shd w:val="clear" w:color="auto" w:fill="auto"/>
            <w:noWrap/>
            <w:vAlign w:val="center"/>
            <w:hideMark/>
          </w:tcPr>
          <w:p w14:paraId="7E8777B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21855.7</w:t>
            </w:r>
          </w:p>
        </w:tc>
        <w:tc>
          <w:tcPr>
            <w:tcW w:w="960" w:type="dxa"/>
            <w:tcBorders>
              <w:top w:val="nil"/>
              <w:left w:val="nil"/>
              <w:bottom w:val="single" w:sz="8" w:space="0" w:color="auto"/>
              <w:right w:val="single" w:sz="8" w:space="0" w:color="auto"/>
            </w:tcBorders>
            <w:shd w:val="clear" w:color="auto" w:fill="auto"/>
            <w:noWrap/>
            <w:vAlign w:val="center"/>
            <w:hideMark/>
          </w:tcPr>
          <w:p w14:paraId="2E08AB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21855.7</w:t>
            </w:r>
          </w:p>
        </w:tc>
        <w:tc>
          <w:tcPr>
            <w:tcW w:w="960" w:type="dxa"/>
            <w:tcBorders>
              <w:top w:val="nil"/>
              <w:left w:val="nil"/>
              <w:bottom w:val="single" w:sz="8" w:space="0" w:color="auto"/>
              <w:right w:val="single" w:sz="8" w:space="0" w:color="auto"/>
            </w:tcBorders>
            <w:shd w:val="clear" w:color="auto" w:fill="auto"/>
            <w:noWrap/>
            <w:vAlign w:val="center"/>
            <w:hideMark/>
          </w:tcPr>
          <w:p w14:paraId="1DA84F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21855.7</w:t>
            </w:r>
          </w:p>
        </w:tc>
        <w:tc>
          <w:tcPr>
            <w:tcW w:w="960" w:type="dxa"/>
            <w:tcBorders>
              <w:top w:val="nil"/>
              <w:left w:val="nil"/>
              <w:bottom w:val="single" w:sz="8" w:space="0" w:color="auto"/>
              <w:right w:val="single" w:sz="8" w:space="0" w:color="auto"/>
            </w:tcBorders>
            <w:shd w:val="clear" w:color="auto" w:fill="auto"/>
            <w:noWrap/>
            <w:vAlign w:val="center"/>
            <w:hideMark/>
          </w:tcPr>
          <w:p w14:paraId="5D0A40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21855.7</w:t>
            </w:r>
          </w:p>
        </w:tc>
        <w:tc>
          <w:tcPr>
            <w:tcW w:w="960" w:type="dxa"/>
            <w:tcBorders>
              <w:top w:val="nil"/>
              <w:left w:val="nil"/>
              <w:bottom w:val="single" w:sz="8" w:space="0" w:color="auto"/>
              <w:right w:val="single" w:sz="8" w:space="0" w:color="auto"/>
            </w:tcBorders>
            <w:shd w:val="clear" w:color="auto" w:fill="auto"/>
            <w:noWrap/>
            <w:vAlign w:val="center"/>
            <w:hideMark/>
          </w:tcPr>
          <w:p w14:paraId="6D5708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21855.7</w:t>
            </w:r>
          </w:p>
        </w:tc>
        <w:tc>
          <w:tcPr>
            <w:tcW w:w="960" w:type="dxa"/>
            <w:tcBorders>
              <w:top w:val="nil"/>
              <w:left w:val="nil"/>
              <w:bottom w:val="single" w:sz="8" w:space="0" w:color="auto"/>
              <w:right w:val="single" w:sz="8" w:space="0" w:color="auto"/>
            </w:tcBorders>
            <w:shd w:val="clear" w:color="auto" w:fill="auto"/>
            <w:noWrap/>
            <w:vAlign w:val="center"/>
            <w:hideMark/>
          </w:tcPr>
          <w:p w14:paraId="3EE025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21855.7</w:t>
            </w:r>
          </w:p>
        </w:tc>
      </w:tr>
      <w:tr w:rsidR="006B1FB2" w:rsidRPr="00191ACB" w14:paraId="1B83959F"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AC36606"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3.B.3 - Grassland </w:t>
            </w:r>
          </w:p>
        </w:tc>
        <w:tc>
          <w:tcPr>
            <w:tcW w:w="767" w:type="dxa"/>
            <w:tcBorders>
              <w:top w:val="nil"/>
              <w:left w:val="nil"/>
              <w:bottom w:val="single" w:sz="8" w:space="0" w:color="auto"/>
              <w:right w:val="single" w:sz="8" w:space="0" w:color="auto"/>
            </w:tcBorders>
            <w:shd w:val="clear" w:color="auto" w:fill="auto"/>
            <w:noWrap/>
            <w:vAlign w:val="center"/>
            <w:hideMark/>
          </w:tcPr>
          <w:p w14:paraId="152DE3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C70030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030A4F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53582E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60EAC1D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291B0F4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0E24E24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80A1B2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76BFB08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2E5232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31ADB026"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20FBC8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3.B.4 - Wetlands </w:t>
            </w:r>
          </w:p>
        </w:tc>
        <w:tc>
          <w:tcPr>
            <w:tcW w:w="767" w:type="dxa"/>
            <w:tcBorders>
              <w:top w:val="nil"/>
              <w:left w:val="nil"/>
              <w:bottom w:val="single" w:sz="8" w:space="0" w:color="auto"/>
              <w:right w:val="single" w:sz="8" w:space="0" w:color="auto"/>
            </w:tcBorders>
            <w:shd w:val="clear" w:color="auto" w:fill="auto"/>
            <w:noWrap/>
            <w:vAlign w:val="center"/>
            <w:hideMark/>
          </w:tcPr>
          <w:p w14:paraId="50C0FAC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661C62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FFB13B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E31308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601E551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06B4701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33BDB9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A634E0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0EB4274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0546B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0E128519"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F4B6BAE"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3.B.5 - Settlements </w:t>
            </w:r>
          </w:p>
        </w:tc>
        <w:tc>
          <w:tcPr>
            <w:tcW w:w="767" w:type="dxa"/>
            <w:tcBorders>
              <w:top w:val="nil"/>
              <w:left w:val="nil"/>
              <w:bottom w:val="single" w:sz="8" w:space="0" w:color="auto"/>
              <w:right w:val="single" w:sz="8" w:space="0" w:color="auto"/>
            </w:tcBorders>
            <w:shd w:val="clear" w:color="auto" w:fill="auto"/>
            <w:noWrap/>
            <w:vAlign w:val="center"/>
            <w:hideMark/>
          </w:tcPr>
          <w:p w14:paraId="3B6EF62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3137.9</w:t>
            </w:r>
          </w:p>
        </w:tc>
        <w:tc>
          <w:tcPr>
            <w:tcW w:w="960" w:type="dxa"/>
            <w:tcBorders>
              <w:top w:val="nil"/>
              <w:left w:val="nil"/>
              <w:bottom w:val="single" w:sz="8" w:space="0" w:color="auto"/>
              <w:right w:val="single" w:sz="8" w:space="0" w:color="auto"/>
            </w:tcBorders>
            <w:shd w:val="clear" w:color="auto" w:fill="auto"/>
            <w:noWrap/>
            <w:vAlign w:val="center"/>
            <w:hideMark/>
          </w:tcPr>
          <w:p w14:paraId="2AE657C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11073.3</w:t>
            </w:r>
          </w:p>
        </w:tc>
        <w:tc>
          <w:tcPr>
            <w:tcW w:w="960" w:type="dxa"/>
            <w:tcBorders>
              <w:top w:val="nil"/>
              <w:left w:val="nil"/>
              <w:bottom w:val="single" w:sz="8" w:space="0" w:color="auto"/>
              <w:right w:val="single" w:sz="8" w:space="0" w:color="auto"/>
            </w:tcBorders>
            <w:shd w:val="clear" w:color="auto" w:fill="auto"/>
            <w:noWrap/>
            <w:vAlign w:val="center"/>
            <w:hideMark/>
          </w:tcPr>
          <w:p w14:paraId="61C2B2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8534.6</w:t>
            </w:r>
          </w:p>
        </w:tc>
        <w:tc>
          <w:tcPr>
            <w:tcW w:w="960" w:type="dxa"/>
            <w:tcBorders>
              <w:top w:val="nil"/>
              <w:left w:val="nil"/>
              <w:bottom w:val="single" w:sz="8" w:space="0" w:color="auto"/>
              <w:right w:val="single" w:sz="8" w:space="0" w:color="auto"/>
            </w:tcBorders>
            <w:shd w:val="clear" w:color="auto" w:fill="auto"/>
            <w:noWrap/>
            <w:vAlign w:val="center"/>
            <w:hideMark/>
          </w:tcPr>
          <w:p w14:paraId="0546DBB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9975.7</w:t>
            </w:r>
          </w:p>
        </w:tc>
        <w:tc>
          <w:tcPr>
            <w:tcW w:w="960" w:type="dxa"/>
            <w:tcBorders>
              <w:top w:val="nil"/>
              <w:left w:val="nil"/>
              <w:bottom w:val="single" w:sz="8" w:space="0" w:color="auto"/>
              <w:right w:val="single" w:sz="8" w:space="0" w:color="auto"/>
            </w:tcBorders>
            <w:shd w:val="clear" w:color="auto" w:fill="auto"/>
            <w:noWrap/>
            <w:vAlign w:val="center"/>
            <w:hideMark/>
          </w:tcPr>
          <w:p w14:paraId="0A673DE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9851.8</w:t>
            </w:r>
          </w:p>
        </w:tc>
        <w:tc>
          <w:tcPr>
            <w:tcW w:w="960" w:type="dxa"/>
            <w:tcBorders>
              <w:top w:val="nil"/>
              <w:left w:val="nil"/>
              <w:bottom w:val="single" w:sz="8" w:space="0" w:color="auto"/>
              <w:right w:val="single" w:sz="8" w:space="0" w:color="auto"/>
            </w:tcBorders>
            <w:shd w:val="clear" w:color="auto" w:fill="auto"/>
            <w:noWrap/>
            <w:vAlign w:val="center"/>
            <w:hideMark/>
          </w:tcPr>
          <w:p w14:paraId="35BE21D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9851.8</w:t>
            </w:r>
          </w:p>
        </w:tc>
        <w:tc>
          <w:tcPr>
            <w:tcW w:w="960" w:type="dxa"/>
            <w:tcBorders>
              <w:top w:val="nil"/>
              <w:left w:val="nil"/>
              <w:bottom w:val="single" w:sz="8" w:space="0" w:color="auto"/>
              <w:right w:val="single" w:sz="8" w:space="0" w:color="auto"/>
            </w:tcBorders>
            <w:shd w:val="clear" w:color="auto" w:fill="auto"/>
            <w:noWrap/>
            <w:vAlign w:val="center"/>
            <w:hideMark/>
          </w:tcPr>
          <w:p w14:paraId="5A249F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9851.8</w:t>
            </w:r>
          </w:p>
        </w:tc>
        <w:tc>
          <w:tcPr>
            <w:tcW w:w="960" w:type="dxa"/>
            <w:tcBorders>
              <w:top w:val="nil"/>
              <w:left w:val="nil"/>
              <w:bottom w:val="single" w:sz="8" w:space="0" w:color="auto"/>
              <w:right w:val="single" w:sz="8" w:space="0" w:color="auto"/>
            </w:tcBorders>
            <w:shd w:val="clear" w:color="auto" w:fill="auto"/>
            <w:noWrap/>
            <w:vAlign w:val="center"/>
            <w:hideMark/>
          </w:tcPr>
          <w:p w14:paraId="49FD4C6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9851.8</w:t>
            </w:r>
          </w:p>
        </w:tc>
        <w:tc>
          <w:tcPr>
            <w:tcW w:w="960" w:type="dxa"/>
            <w:tcBorders>
              <w:top w:val="nil"/>
              <w:left w:val="nil"/>
              <w:bottom w:val="single" w:sz="8" w:space="0" w:color="auto"/>
              <w:right w:val="single" w:sz="8" w:space="0" w:color="auto"/>
            </w:tcBorders>
            <w:shd w:val="clear" w:color="auto" w:fill="auto"/>
            <w:noWrap/>
            <w:vAlign w:val="center"/>
            <w:hideMark/>
          </w:tcPr>
          <w:p w14:paraId="156937E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9851.8</w:t>
            </w:r>
          </w:p>
        </w:tc>
        <w:tc>
          <w:tcPr>
            <w:tcW w:w="960" w:type="dxa"/>
            <w:tcBorders>
              <w:top w:val="nil"/>
              <w:left w:val="nil"/>
              <w:bottom w:val="single" w:sz="8" w:space="0" w:color="auto"/>
              <w:right w:val="single" w:sz="8" w:space="0" w:color="auto"/>
            </w:tcBorders>
            <w:shd w:val="clear" w:color="auto" w:fill="auto"/>
            <w:noWrap/>
            <w:vAlign w:val="center"/>
            <w:hideMark/>
          </w:tcPr>
          <w:p w14:paraId="0092780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9851.8</w:t>
            </w:r>
          </w:p>
        </w:tc>
      </w:tr>
      <w:tr w:rsidR="006B1FB2" w:rsidRPr="00191ACB" w14:paraId="36E7C4D8"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7788D58A"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3.B.6 - Other Land </w:t>
            </w:r>
          </w:p>
        </w:tc>
        <w:tc>
          <w:tcPr>
            <w:tcW w:w="767" w:type="dxa"/>
            <w:tcBorders>
              <w:top w:val="nil"/>
              <w:left w:val="nil"/>
              <w:bottom w:val="single" w:sz="8" w:space="0" w:color="auto"/>
              <w:right w:val="single" w:sz="8" w:space="0" w:color="auto"/>
            </w:tcBorders>
            <w:shd w:val="clear" w:color="auto" w:fill="auto"/>
            <w:noWrap/>
            <w:vAlign w:val="center"/>
            <w:hideMark/>
          </w:tcPr>
          <w:p w14:paraId="5775031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960" w:type="dxa"/>
            <w:tcBorders>
              <w:top w:val="nil"/>
              <w:left w:val="nil"/>
              <w:bottom w:val="single" w:sz="8" w:space="0" w:color="auto"/>
              <w:right w:val="single" w:sz="8" w:space="0" w:color="auto"/>
            </w:tcBorders>
            <w:shd w:val="clear" w:color="auto" w:fill="auto"/>
            <w:noWrap/>
            <w:vAlign w:val="center"/>
            <w:hideMark/>
          </w:tcPr>
          <w:p w14:paraId="3F042D1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960" w:type="dxa"/>
            <w:tcBorders>
              <w:top w:val="nil"/>
              <w:left w:val="nil"/>
              <w:bottom w:val="single" w:sz="8" w:space="0" w:color="auto"/>
              <w:right w:val="single" w:sz="8" w:space="0" w:color="auto"/>
            </w:tcBorders>
            <w:shd w:val="clear" w:color="auto" w:fill="auto"/>
            <w:noWrap/>
            <w:vAlign w:val="center"/>
            <w:hideMark/>
          </w:tcPr>
          <w:p w14:paraId="1E42E43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960" w:type="dxa"/>
            <w:tcBorders>
              <w:top w:val="nil"/>
              <w:left w:val="nil"/>
              <w:bottom w:val="single" w:sz="8" w:space="0" w:color="auto"/>
              <w:right w:val="single" w:sz="8" w:space="0" w:color="auto"/>
            </w:tcBorders>
            <w:shd w:val="clear" w:color="auto" w:fill="auto"/>
            <w:noWrap/>
            <w:vAlign w:val="center"/>
            <w:hideMark/>
          </w:tcPr>
          <w:p w14:paraId="0739B4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960" w:type="dxa"/>
            <w:tcBorders>
              <w:top w:val="nil"/>
              <w:left w:val="nil"/>
              <w:bottom w:val="single" w:sz="8" w:space="0" w:color="auto"/>
              <w:right w:val="single" w:sz="8" w:space="0" w:color="auto"/>
            </w:tcBorders>
            <w:shd w:val="clear" w:color="auto" w:fill="auto"/>
            <w:noWrap/>
            <w:vAlign w:val="center"/>
            <w:hideMark/>
          </w:tcPr>
          <w:p w14:paraId="4BBE092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960" w:type="dxa"/>
            <w:tcBorders>
              <w:top w:val="nil"/>
              <w:left w:val="nil"/>
              <w:bottom w:val="single" w:sz="8" w:space="0" w:color="auto"/>
              <w:right w:val="single" w:sz="8" w:space="0" w:color="auto"/>
            </w:tcBorders>
            <w:shd w:val="clear" w:color="auto" w:fill="auto"/>
            <w:noWrap/>
            <w:vAlign w:val="center"/>
            <w:hideMark/>
          </w:tcPr>
          <w:p w14:paraId="5473001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960" w:type="dxa"/>
            <w:tcBorders>
              <w:top w:val="nil"/>
              <w:left w:val="nil"/>
              <w:bottom w:val="single" w:sz="8" w:space="0" w:color="auto"/>
              <w:right w:val="single" w:sz="8" w:space="0" w:color="auto"/>
            </w:tcBorders>
            <w:shd w:val="clear" w:color="auto" w:fill="auto"/>
            <w:noWrap/>
            <w:vAlign w:val="center"/>
            <w:hideMark/>
          </w:tcPr>
          <w:p w14:paraId="5AD7CFD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960" w:type="dxa"/>
            <w:tcBorders>
              <w:top w:val="nil"/>
              <w:left w:val="nil"/>
              <w:bottom w:val="single" w:sz="8" w:space="0" w:color="auto"/>
              <w:right w:val="single" w:sz="8" w:space="0" w:color="auto"/>
            </w:tcBorders>
            <w:shd w:val="clear" w:color="auto" w:fill="auto"/>
            <w:noWrap/>
            <w:vAlign w:val="center"/>
            <w:hideMark/>
          </w:tcPr>
          <w:p w14:paraId="244D689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960" w:type="dxa"/>
            <w:tcBorders>
              <w:top w:val="nil"/>
              <w:left w:val="nil"/>
              <w:bottom w:val="single" w:sz="8" w:space="0" w:color="auto"/>
              <w:right w:val="single" w:sz="8" w:space="0" w:color="auto"/>
            </w:tcBorders>
            <w:shd w:val="clear" w:color="auto" w:fill="auto"/>
            <w:noWrap/>
            <w:vAlign w:val="center"/>
            <w:hideMark/>
          </w:tcPr>
          <w:p w14:paraId="48B30C0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960" w:type="dxa"/>
            <w:tcBorders>
              <w:top w:val="nil"/>
              <w:left w:val="nil"/>
              <w:bottom w:val="single" w:sz="8" w:space="0" w:color="auto"/>
              <w:right w:val="single" w:sz="8" w:space="0" w:color="auto"/>
            </w:tcBorders>
            <w:shd w:val="clear" w:color="auto" w:fill="auto"/>
            <w:noWrap/>
            <w:vAlign w:val="center"/>
            <w:hideMark/>
          </w:tcPr>
          <w:p w14:paraId="17E13CD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2E56E6ED"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747769E8"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 - Aggregate sources and non-CO2 emissions sources on land </w:t>
            </w:r>
          </w:p>
        </w:tc>
        <w:tc>
          <w:tcPr>
            <w:tcW w:w="767" w:type="dxa"/>
            <w:tcBorders>
              <w:top w:val="nil"/>
              <w:left w:val="nil"/>
              <w:bottom w:val="single" w:sz="8" w:space="0" w:color="auto"/>
              <w:right w:val="single" w:sz="8" w:space="0" w:color="auto"/>
            </w:tcBorders>
            <w:shd w:val="clear" w:color="auto" w:fill="auto"/>
            <w:noWrap/>
            <w:vAlign w:val="center"/>
            <w:hideMark/>
          </w:tcPr>
          <w:p w14:paraId="2426E88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7211.2</w:t>
            </w:r>
          </w:p>
        </w:tc>
        <w:tc>
          <w:tcPr>
            <w:tcW w:w="960" w:type="dxa"/>
            <w:tcBorders>
              <w:top w:val="nil"/>
              <w:left w:val="nil"/>
              <w:bottom w:val="single" w:sz="8" w:space="0" w:color="auto"/>
              <w:right w:val="single" w:sz="8" w:space="0" w:color="auto"/>
            </w:tcBorders>
            <w:shd w:val="clear" w:color="auto" w:fill="auto"/>
            <w:noWrap/>
            <w:vAlign w:val="center"/>
            <w:hideMark/>
          </w:tcPr>
          <w:p w14:paraId="03B2AD8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8437.7</w:t>
            </w:r>
          </w:p>
        </w:tc>
        <w:tc>
          <w:tcPr>
            <w:tcW w:w="960" w:type="dxa"/>
            <w:tcBorders>
              <w:top w:val="nil"/>
              <w:left w:val="nil"/>
              <w:bottom w:val="single" w:sz="8" w:space="0" w:color="auto"/>
              <w:right w:val="single" w:sz="8" w:space="0" w:color="auto"/>
            </w:tcBorders>
            <w:shd w:val="clear" w:color="auto" w:fill="auto"/>
            <w:noWrap/>
            <w:vAlign w:val="center"/>
            <w:hideMark/>
          </w:tcPr>
          <w:p w14:paraId="78B8CA6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9921.5</w:t>
            </w:r>
          </w:p>
        </w:tc>
        <w:tc>
          <w:tcPr>
            <w:tcW w:w="960" w:type="dxa"/>
            <w:tcBorders>
              <w:top w:val="nil"/>
              <w:left w:val="nil"/>
              <w:bottom w:val="single" w:sz="8" w:space="0" w:color="auto"/>
              <w:right w:val="single" w:sz="8" w:space="0" w:color="auto"/>
            </w:tcBorders>
            <w:shd w:val="clear" w:color="auto" w:fill="auto"/>
            <w:noWrap/>
            <w:vAlign w:val="center"/>
            <w:hideMark/>
          </w:tcPr>
          <w:p w14:paraId="64396C2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10903.8</w:t>
            </w:r>
          </w:p>
        </w:tc>
        <w:tc>
          <w:tcPr>
            <w:tcW w:w="960" w:type="dxa"/>
            <w:tcBorders>
              <w:top w:val="nil"/>
              <w:left w:val="nil"/>
              <w:bottom w:val="single" w:sz="8" w:space="0" w:color="auto"/>
              <w:right w:val="single" w:sz="8" w:space="0" w:color="auto"/>
            </w:tcBorders>
            <w:shd w:val="clear" w:color="auto" w:fill="auto"/>
            <w:noWrap/>
            <w:vAlign w:val="center"/>
            <w:hideMark/>
          </w:tcPr>
          <w:p w14:paraId="09F7819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10733.4</w:t>
            </w:r>
          </w:p>
        </w:tc>
        <w:tc>
          <w:tcPr>
            <w:tcW w:w="960" w:type="dxa"/>
            <w:tcBorders>
              <w:top w:val="nil"/>
              <w:left w:val="nil"/>
              <w:bottom w:val="single" w:sz="8" w:space="0" w:color="auto"/>
              <w:right w:val="single" w:sz="8" w:space="0" w:color="auto"/>
            </w:tcBorders>
            <w:shd w:val="clear" w:color="auto" w:fill="auto"/>
            <w:noWrap/>
            <w:vAlign w:val="center"/>
            <w:hideMark/>
          </w:tcPr>
          <w:p w14:paraId="773455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10406</w:t>
            </w:r>
          </w:p>
        </w:tc>
        <w:tc>
          <w:tcPr>
            <w:tcW w:w="960" w:type="dxa"/>
            <w:tcBorders>
              <w:top w:val="nil"/>
              <w:left w:val="nil"/>
              <w:bottom w:val="single" w:sz="8" w:space="0" w:color="auto"/>
              <w:right w:val="single" w:sz="8" w:space="0" w:color="auto"/>
            </w:tcBorders>
            <w:shd w:val="clear" w:color="auto" w:fill="auto"/>
            <w:noWrap/>
            <w:vAlign w:val="center"/>
            <w:hideMark/>
          </w:tcPr>
          <w:p w14:paraId="2DC5C30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10293.3</w:t>
            </w:r>
          </w:p>
        </w:tc>
        <w:tc>
          <w:tcPr>
            <w:tcW w:w="960" w:type="dxa"/>
            <w:tcBorders>
              <w:top w:val="nil"/>
              <w:left w:val="nil"/>
              <w:bottom w:val="single" w:sz="8" w:space="0" w:color="auto"/>
              <w:right w:val="single" w:sz="8" w:space="0" w:color="auto"/>
            </w:tcBorders>
            <w:shd w:val="clear" w:color="auto" w:fill="auto"/>
            <w:noWrap/>
            <w:vAlign w:val="center"/>
            <w:hideMark/>
          </w:tcPr>
          <w:p w14:paraId="16D8A12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10383</w:t>
            </w:r>
          </w:p>
        </w:tc>
        <w:tc>
          <w:tcPr>
            <w:tcW w:w="960" w:type="dxa"/>
            <w:tcBorders>
              <w:top w:val="nil"/>
              <w:left w:val="nil"/>
              <w:bottom w:val="single" w:sz="8" w:space="0" w:color="auto"/>
              <w:right w:val="single" w:sz="8" w:space="0" w:color="auto"/>
            </w:tcBorders>
            <w:shd w:val="clear" w:color="auto" w:fill="auto"/>
            <w:noWrap/>
            <w:vAlign w:val="center"/>
            <w:hideMark/>
          </w:tcPr>
          <w:p w14:paraId="0FABA12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10840.5</w:t>
            </w:r>
          </w:p>
        </w:tc>
        <w:tc>
          <w:tcPr>
            <w:tcW w:w="960" w:type="dxa"/>
            <w:tcBorders>
              <w:top w:val="nil"/>
              <w:left w:val="nil"/>
              <w:bottom w:val="single" w:sz="8" w:space="0" w:color="auto"/>
              <w:right w:val="single" w:sz="8" w:space="0" w:color="auto"/>
            </w:tcBorders>
            <w:shd w:val="clear" w:color="auto" w:fill="auto"/>
            <w:noWrap/>
            <w:vAlign w:val="center"/>
            <w:hideMark/>
          </w:tcPr>
          <w:p w14:paraId="46510C6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11079.6</w:t>
            </w:r>
          </w:p>
        </w:tc>
      </w:tr>
      <w:tr w:rsidR="006B1FB2" w:rsidRPr="00191ACB" w14:paraId="1EF0DB3E"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6E5DB74"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3.C.1 - Emissions from biomass burning </w:t>
            </w:r>
          </w:p>
        </w:tc>
        <w:tc>
          <w:tcPr>
            <w:tcW w:w="767" w:type="dxa"/>
            <w:tcBorders>
              <w:top w:val="nil"/>
              <w:left w:val="nil"/>
              <w:bottom w:val="single" w:sz="8" w:space="0" w:color="auto"/>
              <w:right w:val="single" w:sz="8" w:space="0" w:color="auto"/>
            </w:tcBorders>
            <w:shd w:val="clear" w:color="auto" w:fill="auto"/>
            <w:noWrap/>
            <w:vAlign w:val="center"/>
            <w:hideMark/>
          </w:tcPr>
          <w:p w14:paraId="4B20C45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7187.1</w:t>
            </w:r>
          </w:p>
        </w:tc>
        <w:tc>
          <w:tcPr>
            <w:tcW w:w="960" w:type="dxa"/>
            <w:tcBorders>
              <w:top w:val="nil"/>
              <w:left w:val="nil"/>
              <w:bottom w:val="single" w:sz="8" w:space="0" w:color="auto"/>
              <w:right w:val="single" w:sz="8" w:space="0" w:color="auto"/>
            </w:tcBorders>
            <w:shd w:val="clear" w:color="auto" w:fill="auto"/>
            <w:noWrap/>
            <w:vAlign w:val="center"/>
            <w:hideMark/>
          </w:tcPr>
          <w:p w14:paraId="4317FC5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8274.6</w:t>
            </w:r>
          </w:p>
        </w:tc>
        <w:tc>
          <w:tcPr>
            <w:tcW w:w="960" w:type="dxa"/>
            <w:tcBorders>
              <w:top w:val="nil"/>
              <w:left w:val="nil"/>
              <w:bottom w:val="single" w:sz="8" w:space="0" w:color="auto"/>
              <w:right w:val="single" w:sz="8" w:space="0" w:color="auto"/>
            </w:tcBorders>
            <w:shd w:val="clear" w:color="auto" w:fill="auto"/>
            <w:noWrap/>
            <w:vAlign w:val="center"/>
            <w:hideMark/>
          </w:tcPr>
          <w:p w14:paraId="0A396A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8730.4</w:t>
            </w:r>
          </w:p>
        </w:tc>
        <w:tc>
          <w:tcPr>
            <w:tcW w:w="960" w:type="dxa"/>
            <w:tcBorders>
              <w:top w:val="nil"/>
              <w:left w:val="nil"/>
              <w:bottom w:val="single" w:sz="8" w:space="0" w:color="auto"/>
              <w:right w:val="single" w:sz="8" w:space="0" w:color="auto"/>
            </w:tcBorders>
            <w:shd w:val="clear" w:color="auto" w:fill="auto"/>
            <w:noWrap/>
            <w:vAlign w:val="center"/>
            <w:hideMark/>
          </w:tcPr>
          <w:p w14:paraId="57BE687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10402</w:t>
            </w:r>
          </w:p>
        </w:tc>
        <w:tc>
          <w:tcPr>
            <w:tcW w:w="960" w:type="dxa"/>
            <w:tcBorders>
              <w:top w:val="nil"/>
              <w:left w:val="nil"/>
              <w:bottom w:val="single" w:sz="8" w:space="0" w:color="auto"/>
              <w:right w:val="single" w:sz="8" w:space="0" w:color="auto"/>
            </w:tcBorders>
            <w:shd w:val="clear" w:color="auto" w:fill="auto"/>
            <w:noWrap/>
            <w:vAlign w:val="center"/>
            <w:hideMark/>
          </w:tcPr>
          <w:p w14:paraId="3EBA22C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9670.6</w:t>
            </w:r>
          </w:p>
        </w:tc>
        <w:tc>
          <w:tcPr>
            <w:tcW w:w="960" w:type="dxa"/>
            <w:tcBorders>
              <w:top w:val="nil"/>
              <w:left w:val="nil"/>
              <w:bottom w:val="single" w:sz="8" w:space="0" w:color="auto"/>
              <w:right w:val="single" w:sz="8" w:space="0" w:color="auto"/>
            </w:tcBorders>
            <w:shd w:val="clear" w:color="auto" w:fill="auto"/>
            <w:noWrap/>
            <w:vAlign w:val="center"/>
            <w:hideMark/>
          </w:tcPr>
          <w:p w14:paraId="05D4F0B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9590.4</w:t>
            </w:r>
          </w:p>
        </w:tc>
        <w:tc>
          <w:tcPr>
            <w:tcW w:w="960" w:type="dxa"/>
            <w:tcBorders>
              <w:top w:val="nil"/>
              <w:left w:val="nil"/>
              <w:bottom w:val="single" w:sz="8" w:space="0" w:color="auto"/>
              <w:right w:val="single" w:sz="8" w:space="0" w:color="auto"/>
            </w:tcBorders>
            <w:shd w:val="clear" w:color="auto" w:fill="auto"/>
            <w:noWrap/>
            <w:vAlign w:val="center"/>
            <w:hideMark/>
          </w:tcPr>
          <w:p w14:paraId="5522FD0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9508.2</w:t>
            </w:r>
          </w:p>
        </w:tc>
        <w:tc>
          <w:tcPr>
            <w:tcW w:w="960" w:type="dxa"/>
            <w:tcBorders>
              <w:top w:val="nil"/>
              <w:left w:val="nil"/>
              <w:bottom w:val="single" w:sz="8" w:space="0" w:color="auto"/>
              <w:right w:val="single" w:sz="8" w:space="0" w:color="auto"/>
            </w:tcBorders>
            <w:shd w:val="clear" w:color="auto" w:fill="auto"/>
            <w:noWrap/>
            <w:vAlign w:val="center"/>
            <w:hideMark/>
          </w:tcPr>
          <w:p w14:paraId="3A512AD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9431.2</w:t>
            </w:r>
          </w:p>
        </w:tc>
        <w:tc>
          <w:tcPr>
            <w:tcW w:w="960" w:type="dxa"/>
            <w:tcBorders>
              <w:top w:val="nil"/>
              <w:left w:val="nil"/>
              <w:bottom w:val="single" w:sz="8" w:space="0" w:color="auto"/>
              <w:right w:val="single" w:sz="8" w:space="0" w:color="auto"/>
            </w:tcBorders>
            <w:shd w:val="clear" w:color="auto" w:fill="auto"/>
            <w:noWrap/>
            <w:vAlign w:val="center"/>
            <w:hideMark/>
          </w:tcPr>
          <w:p w14:paraId="56E5504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9925.6</w:t>
            </w:r>
          </w:p>
        </w:tc>
        <w:tc>
          <w:tcPr>
            <w:tcW w:w="960" w:type="dxa"/>
            <w:tcBorders>
              <w:top w:val="nil"/>
              <w:left w:val="nil"/>
              <w:bottom w:val="single" w:sz="8" w:space="0" w:color="auto"/>
              <w:right w:val="single" w:sz="8" w:space="0" w:color="auto"/>
            </w:tcBorders>
            <w:shd w:val="clear" w:color="auto" w:fill="auto"/>
            <w:noWrap/>
            <w:vAlign w:val="center"/>
            <w:hideMark/>
          </w:tcPr>
          <w:p w14:paraId="364562E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10257.3</w:t>
            </w:r>
          </w:p>
        </w:tc>
      </w:tr>
      <w:tr w:rsidR="006B1FB2" w:rsidRPr="00191ACB" w14:paraId="1178C7E3"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9179565"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3.C.2 - Liming </w:t>
            </w:r>
          </w:p>
        </w:tc>
        <w:tc>
          <w:tcPr>
            <w:tcW w:w="767" w:type="dxa"/>
            <w:tcBorders>
              <w:top w:val="nil"/>
              <w:left w:val="nil"/>
              <w:bottom w:val="single" w:sz="8" w:space="0" w:color="auto"/>
              <w:right w:val="single" w:sz="8" w:space="0" w:color="auto"/>
            </w:tcBorders>
            <w:shd w:val="clear" w:color="auto" w:fill="auto"/>
            <w:noWrap/>
            <w:vAlign w:val="center"/>
            <w:hideMark/>
          </w:tcPr>
          <w:p w14:paraId="38CAFC3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5E3995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22E134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1CA7A50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672C3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0.4</w:t>
            </w:r>
          </w:p>
        </w:tc>
        <w:tc>
          <w:tcPr>
            <w:tcW w:w="960" w:type="dxa"/>
            <w:tcBorders>
              <w:top w:val="nil"/>
              <w:left w:val="nil"/>
              <w:bottom w:val="single" w:sz="8" w:space="0" w:color="auto"/>
              <w:right w:val="single" w:sz="8" w:space="0" w:color="auto"/>
            </w:tcBorders>
            <w:shd w:val="clear" w:color="auto" w:fill="auto"/>
            <w:noWrap/>
            <w:vAlign w:val="center"/>
            <w:hideMark/>
          </w:tcPr>
          <w:p w14:paraId="5BC3DE8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w:t>
            </w:r>
          </w:p>
        </w:tc>
        <w:tc>
          <w:tcPr>
            <w:tcW w:w="960" w:type="dxa"/>
            <w:tcBorders>
              <w:top w:val="nil"/>
              <w:left w:val="nil"/>
              <w:bottom w:val="single" w:sz="8" w:space="0" w:color="auto"/>
              <w:right w:val="single" w:sz="8" w:space="0" w:color="auto"/>
            </w:tcBorders>
            <w:shd w:val="clear" w:color="auto" w:fill="auto"/>
            <w:noWrap/>
            <w:vAlign w:val="center"/>
            <w:hideMark/>
          </w:tcPr>
          <w:p w14:paraId="043D65C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0.6</w:t>
            </w:r>
          </w:p>
        </w:tc>
        <w:tc>
          <w:tcPr>
            <w:tcW w:w="960" w:type="dxa"/>
            <w:tcBorders>
              <w:top w:val="nil"/>
              <w:left w:val="nil"/>
              <w:bottom w:val="single" w:sz="8" w:space="0" w:color="auto"/>
              <w:right w:val="single" w:sz="8" w:space="0" w:color="auto"/>
            </w:tcBorders>
            <w:shd w:val="clear" w:color="auto" w:fill="auto"/>
            <w:noWrap/>
            <w:vAlign w:val="center"/>
            <w:hideMark/>
          </w:tcPr>
          <w:p w14:paraId="4276FAC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0.6</w:t>
            </w:r>
          </w:p>
        </w:tc>
        <w:tc>
          <w:tcPr>
            <w:tcW w:w="960" w:type="dxa"/>
            <w:tcBorders>
              <w:top w:val="nil"/>
              <w:left w:val="nil"/>
              <w:bottom w:val="single" w:sz="8" w:space="0" w:color="auto"/>
              <w:right w:val="single" w:sz="8" w:space="0" w:color="auto"/>
            </w:tcBorders>
            <w:shd w:val="clear" w:color="auto" w:fill="auto"/>
            <w:noWrap/>
            <w:vAlign w:val="center"/>
            <w:hideMark/>
          </w:tcPr>
          <w:p w14:paraId="697FA2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0.8</w:t>
            </w:r>
          </w:p>
        </w:tc>
        <w:tc>
          <w:tcPr>
            <w:tcW w:w="960" w:type="dxa"/>
            <w:tcBorders>
              <w:top w:val="nil"/>
              <w:left w:val="nil"/>
              <w:bottom w:val="single" w:sz="8" w:space="0" w:color="auto"/>
              <w:right w:val="single" w:sz="8" w:space="0" w:color="auto"/>
            </w:tcBorders>
            <w:shd w:val="clear" w:color="auto" w:fill="auto"/>
            <w:noWrap/>
            <w:vAlign w:val="center"/>
            <w:hideMark/>
          </w:tcPr>
          <w:p w14:paraId="609A10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r>
      <w:tr w:rsidR="006B1FB2" w:rsidRPr="00191ACB" w14:paraId="614E1F35"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19915D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3.C.3 - Urea application </w:t>
            </w:r>
          </w:p>
        </w:tc>
        <w:tc>
          <w:tcPr>
            <w:tcW w:w="767" w:type="dxa"/>
            <w:tcBorders>
              <w:top w:val="nil"/>
              <w:left w:val="nil"/>
              <w:bottom w:val="single" w:sz="8" w:space="0" w:color="auto"/>
              <w:right w:val="single" w:sz="8" w:space="0" w:color="auto"/>
            </w:tcBorders>
            <w:shd w:val="clear" w:color="auto" w:fill="auto"/>
            <w:noWrap/>
            <w:vAlign w:val="center"/>
            <w:hideMark/>
          </w:tcPr>
          <w:p w14:paraId="48E708A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960" w:type="dxa"/>
            <w:tcBorders>
              <w:top w:val="nil"/>
              <w:left w:val="nil"/>
              <w:bottom w:val="single" w:sz="8" w:space="0" w:color="auto"/>
              <w:right w:val="single" w:sz="8" w:space="0" w:color="auto"/>
            </w:tcBorders>
            <w:shd w:val="clear" w:color="auto" w:fill="auto"/>
            <w:noWrap/>
            <w:vAlign w:val="center"/>
            <w:hideMark/>
          </w:tcPr>
          <w:p w14:paraId="6243058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w:t>
            </w:r>
          </w:p>
        </w:tc>
        <w:tc>
          <w:tcPr>
            <w:tcW w:w="960" w:type="dxa"/>
            <w:tcBorders>
              <w:top w:val="nil"/>
              <w:left w:val="nil"/>
              <w:bottom w:val="single" w:sz="8" w:space="0" w:color="auto"/>
              <w:right w:val="single" w:sz="8" w:space="0" w:color="auto"/>
            </w:tcBorders>
            <w:shd w:val="clear" w:color="auto" w:fill="auto"/>
            <w:noWrap/>
            <w:vAlign w:val="center"/>
            <w:hideMark/>
          </w:tcPr>
          <w:p w14:paraId="403885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18.4</w:t>
            </w:r>
          </w:p>
        </w:tc>
        <w:tc>
          <w:tcPr>
            <w:tcW w:w="960" w:type="dxa"/>
            <w:tcBorders>
              <w:top w:val="nil"/>
              <w:left w:val="nil"/>
              <w:bottom w:val="single" w:sz="8" w:space="0" w:color="auto"/>
              <w:right w:val="single" w:sz="8" w:space="0" w:color="auto"/>
            </w:tcBorders>
            <w:shd w:val="clear" w:color="auto" w:fill="auto"/>
            <w:noWrap/>
            <w:vAlign w:val="center"/>
            <w:hideMark/>
          </w:tcPr>
          <w:p w14:paraId="5362AD7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84.1</w:t>
            </w:r>
          </w:p>
        </w:tc>
        <w:tc>
          <w:tcPr>
            <w:tcW w:w="960" w:type="dxa"/>
            <w:tcBorders>
              <w:top w:val="nil"/>
              <w:left w:val="nil"/>
              <w:bottom w:val="single" w:sz="8" w:space="0" w:color="auto"/>
              <w:right w:val="single" w:sz="8" w:space="0" w:color="auto"/>
            </w:tcBorders>
            <w:shd w:val="clear" w:color="auto" w:fill="auto"/>
            <w:noWrap/>
            <w:vAlign w:val="center"/>
            <w:hideMark/>
          </w:tcPr>
          <w:p w14:paraId="0BA4868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103.8</w:t>
            </w:r>
          </w:p>
        </w:tc>
        <w:tc>
          <w:tcPr>
            <w:tcW w:w="960" w:type="dxa"/>
            <w:tcBorders>
              <w:top w:val="nil"/>
              <w:left w:val="nil"/>
              <w:bottom w:val="single" w:sz="8" w:space="0" w:color="auto"/>
              <w:right w:val="single" w:sz="8" w:space="0" w:color="auto"/>
            </w:tcBorders>
            <w:shd w:val="clear" w:color="auto" w:fill="auto"/>
            <w:noWrap/>
            <w:vAlign w:val="center"/>
            <w:hideMark/>
          </w:tcPr>
          <w:p w14:paraId="41CA48B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97.5</w:t>
            </w:r>
          </w:p>
        </w:tc>
        <w:tc>
          <w:tcPr>
            <w:tcW w:w="960" w:type="dxa"/>
            <w:tcBorders>
              <w:top w:val="nil"/>
              <w:left w:val="nil"/>
              <w:bottom w:val="single" w:sz="8" w:space="0" w:color="auto"/>
              <w:right w:val="single" w:sz="8" w:space="0" w:color="auto"/>
            </w:tcBorders>
            <w:shd w:val="clear" w:color="auto" w:fill="auto"/>
            <w:noWrap/>
            <w:vAlign w:val="center"/>
            <w:hideMark/>
          </w:tcPr>
          <w:p w14:paraId="085402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97.1</w:t>
            </w:r>
          </w:p>
        </w:tc>
        <w:tc>
          <w:tcPr>
            <w:tcW w:w="960" w:type="dxa"/>
            <w:tcBorders>
              <w:top w:val="nil"/>
              <w:left w:val="nil"/>
              <w:bottom w:val="single" w:sz="8" w:space="0" w:color="auto"/>
              <w:right w:val="single" w:sz="8" w:space="0" w:color="auto"/>
            </w:tcBorders>
            <w:shd w:val="clear" w:color="auto" w:fill="auto"/>
            <w:noWrap/>
            <w:vAlign w:val="center"/>
            <w:hideMark/>
          </w:tcPr>
          <w:p w14:paraId="19FC2B0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118.7</w:t>
            </w:r>
          </w:p>
        </w:tc>
        <w:tc>
          <w:tcPr>
            <w:tcW w:w="960" w:type="dxa"/>
            <w:tcBorders>
              <w:top w:val="nil"/>
              <w:left w:val="nil"/>
              <w:bottom w:val="single" w:sz="8" w:space="0" w:color="auto"/>
              <w:right w:val="single" w:sz="8" w:space="0" w:color="auto"/>
            </w:tcBorders>
            <w:shd w:val="clear" w:color="auto" w:fill="auto"/>
            <w:noWrap/>
            <w:vAlign w:val="center"/>
            <w:hideMark/>
          </w:tcPr>
          <w:p w14:paraId="7A0C24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132.5</w:t>
            </w:r>
          </w:p>
        </w:tc>
        <w:tc>
          <w:tcPr>
            <w:tcW w:w="960" w:type="dxa"/>
            <w:tcBorders>
              <w:top w:val="nil"/>
              <w:left w:val="nil"/>
              <w:bottom w:val="single" w:sz="8" w:space="0" w:color="auto"/>
              <w:right w:val="single" w:sz="8" w:space="0" w:color="auto"/>
            </w:tcBorders>
            <w:shd w:val="clear" w:color="auto" w:fill="auto"/>
            <w:noWrap/>
            <w:vAlign w:val="center"/>
            <w:hideMark/>
          </w:tcPr>
          <w:p w14:paraId="3ED3E03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103.8</w:t>
            </w:r>
          </w:p>
        </w:tc>
      </w:tr>
      <w:tr w:rsidR="006B1FB2" w:rsidRPr="00191ACB" w14:paraId="393E76C8"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D10240D"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3.C.4 - Direct N2O Emissions from managed soils </w:t>
            </w:r>
          </w:p>
        </w:tc>
        <w:tc>
          <w:tcPr>
            <w:tcW w:w="767" w:type="dxa"/>
            <w:tcBorders>
              <w:top w:val="nil"/>
              <w:left w:val="nil"/>
              <w:bottom w:val="single" w:sz="8" w:space="0" w:color="auto"/>
              <w:right w:val="single" w:sz="8" w:space="0" w:color="auto"/>
            </w:tcBorders>
            <w:shd w:val="clear" w:color="auto" w:fill="auto"/>
            <w:noWrap/>
            <w:vAlign w:val="center"/>
            <w:hideMark/>
          </w:tcPr>
          <w:p w14:paraId="3F43BA8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w:t>
            </w:r>
          </w:p>
        </w:tc>
        <w:tc>
          <w:tcPr>
            <w:tcW w:w="960" w:type="dxa"/>
            <w:tcBorders>
              <w:top w:val="nil"/>
              <w:left w:val="nil"/>
              <w:bottom w:val="single" w:sz="8" w:space="0" w:color="auto"/>
              <w:right w:val="single" w:sz="8" w:space="0" w:color="auto"/>
            </w:tcBorders>
            <w:shd w:val="clear" w:color="auto" w:fill="auto"/>
            <w:noWrap/>
            <w:vAlign w:val="center"/>
            <w:hideMark/>
          </w:tcPr>
          <w:p w14:paraId="245687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103.8</w:t>
            </w:r>
          </w:p>
        </w:tc>
        <w:tc>
          <w:tcPr>
            <w:tcW w:w="960" w:type="dxa"/>
            <w:tcBorders>
              <w:top w:val="nil"/>
              <w:left w:val="nil"/>
              <w:bottom w:val="single" w:sz="8" w:space="0" w:color="auto"/>
              <w:right w:val="single" w:sz="8" w:space="0" w:color="auto"/>
            </w:tcBorders>
            <w:shd w:val="clear" w:color="auto" w:fill="auto"/>
            <w:noWrap/>
            <w:vAlign w:val="center"/>
            <w:hideMark/>
          </w:tcPr>
          <w:p w14:paraId="26A00D7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950.8</w:t>
            </w:r>
          </w:p>
        </w:tc>
        <w:tc>
          <w:tcPr>
            <w:tcW w:w="960" w:type="dxa"/>
            <w:tcBorders>
              <w:top w:val="nil"/>
              <w:left w:val="nil"/>
              <w:bottom w:val="single" w:sz="8" w:space="0" w:color="auto"/>
              <w:right w:val="single" w:sz="8" w:space="0" w:color="auto"/>
            </w:tcBorders>
            <w:shd w:val="clear" w:color="auto" w:fill="auto"/>
            <w:noWrap/>
            <w:vAlign w:val="center"/>
            <w:hideMark/>
          </w:tcPr>
          <w:p w14:paraId="6531F7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395.3</w:t>
            </w:r>
          </w:p>
        </w:tc>
        <w:tc>
          <w:tcPr>
            <w:tcW w:w="960" w:type="dxa"/>
            <w:tcBorders>
              <w:top w:val="nil"/>
              <w:left w:val="nil"/>
              <w:bottom w:val="single" w:sz="8" w:space="0" w:color="auto"/>
              <w:right w:val="single" w:sz="8" w:space="0" w:color="auto"/>
            </w:tcBorders>
            <w:shd w:val="clear" w:color="auto" w:fill="auto"/>
            <w:noWrap/>
            <w:vAlign w:val="center"/>
            <w:hideMark/>
          </w:tcPr>
          <w:p w14:paraId="48ED34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678.7</w:t>
            </w:r>
          </w:p>
        </w:tc>
        <w:tc>
          <w:tcPr>
            <w:tcW w:w="960" w:type="dxa"/>
            <w:tcBorders>
              <w:top w:val="nil"/>
              <w:left w:val="nil"/>
              <w:bottom w:val="single" w:sz="8" w:space="0" w:color="auto"/>
              <w:right w:val="single" w:sz="8" w:space="0" w:color="auto"/>
            </w:tcBorders>
            <w:shd w:val="clear" w:color="auto" w:fill="auto"/>
            <w:noWrap/>
            <w:vAlign w:val="center"/>
            <w:hideMark/>
          </w:tcPr>
          <w:p w14:paraId="4F0FD5D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651.7</w:t>
            </w:r>
          </w:p>
        </w:tc>
        <w:tc>
          <w:tcPr>
            <w:tcW w:w="960" w:type="dxa"/>
            <w:tcBorders>
              <w:top w:val="nil"/>
              <w:left w:val="nil"/>
              <w:bottom w:val="single" w:sz="8" w:space="0" w:color="auto"/>
              <w:right w:val="single" w:sz="8" w:space="0" w:color="auto"/>
            </w:tcBorders>
            <w:shd w:val="clear" w:color="auto" w:fill="auto"/>
            <w:noWrap/>
            <w:vAlign w:val="center"/>
            <w:hideMark/>
          </w:tcPr>
          <w:p w14:paraId="2D8BA7D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618.2</w:t>
            </w:r>
          </w:p>
        </w:tc>
        <w:tc>
          <w:tcPr>
            <w:tcW w:w="960" w:type="dxa"/>
            <w:tcBorders>
              <w:top w:val="nil"/>
              <w:left w:val="nil"/>
              <w:bottom w:val="single" w:sz="8" w:space="0" w:color="auto"/>
              <w:right w:val="single" w:sz="8" w:space="0" w:color="auto"/>
            </w:tcBorders>
            <w:shd w:val="clear" w:color="auto" w:fill="auto"/>
            <w:noWrap/>
            <w:vAlign w:val="center"/>
            <w:hideMark/>
          </w:tcPr>
          <w:p w14:paraId="61B2E44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753.3</w:t>
            </w:r>
          </w:p>
        </w:tc>
        <w:tc>
          <w:tcPr>
            <w:tcW w:w="960" w:type="dxa"/>
            <w:tcBorders>
              <w:top w:val="nil"/>
              <w:left w:val="nil"/>
              <w:bottom w:val="single" w:sz="8" w:space="0" w:color="auto"/>
              <w:right w:val="single" w:sz="8" w:space="0" w:color="auto"/>
            </w:tcBorders>
            <w:shd w:val="clear" w:color="auto" w:fill="auto"/>
            <w:noWrap/>
            <w:vAlign w:val="center"/>
            <w:hideMark/>
          </w:tcPr>
          <w:p w14:paraId="26EC7DB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717.7</w:t>
            </w:r>
          </w:p>
        </w:tc>
        <w:tc>
          <w:tcPr>
            <w:tcW w:w="960" w:type="dxa"/>
            <w:tcBorders>
              <w:top w:val="nil"/>
              <w:left w:val="nil"/>
              <w:bottom w:val="single" w:sz="8" w:space="0" w:color="auto"/>
              <w:right w:val="single" w:sz="8" w:space="0" w:color="auto"/>
            </w:tcBorders>
            <w:shd w:val="clear" w:color="auto" w:fill="auto"/>
            <w:noWrap/>
            <w:vAlign w:val="center"/>
            <w:hideMark/>
          </w:tcPr>
          <w:p w14:paraId="599EB97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655</w:t>
            </w:r>
          </w:p>
        </w:tc>
      </w:tr>
      <w:tr w:rsidR="006B1FB2" w:rsidRPr="00191ACB" w14:paraId="72752C8A"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C5F9AFE"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3.C.5 - Indirect N2O Emissions from managed soils </w:t>
            </w:r>
          </w:p>
        </w:tc>
        <w:tc>
          <w:tcPr>
            <w:tcW w:w="767" w:type="dxa"/>
            <w:tcBorders>
              <w:top w:val="nil"/>
              <w:left w:val="nil"/>
              <w:bottom w:val="single" w:sz="8" w:space="0" w:color="auto"/>
              <w:right w:val="single" w:sz="8" w:space="0" w:color="auto"/>
            </w:tcBorders>
            <w:shd w:val="clear" w:color="auto" w:fill="auto"/>
            <w:noWrap/>
            <w:vAlign w:val="center"/>
            <w:hideMark/>
          </w:tcPr>
          <w:p w14:paraId="6AC9CEE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3.6</w:t>
            </w:r>
          </w:p>
        </w:tc>
        <w:tc>
          <w:tcPr>
            <w:tcW w:w="960" w:type="dxa"/>
            <w:tcBorders>
              <w:top w:val="nil"/>
              <w:left w:val="nil"/>
              <w:bottom w:val="single" w:sz="8" w:space="0" w:color="auto"/>
              <w:right w:val="single" w:sz="8" w:space="0" w:color="auto"/>
            </w:tcBorders>
            <w:shd w:val="clear" w:color="auto" w:fill="auto"/>
            <w:noWrap/>
            <w:vAlign w:val="center"/>
            <w:hideMark/>
          </w:tcPr>
          <w:p w14:paraId="5B142CF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32.1</w:t>
            </w:r>
          </w:p>
        </w:tc>
        <w:tc>
          <w:tcPr>
            <w:tcW w:w="960" w:type="dxa"/>
            <w:tcBorders>
              <w:top w:val="nil"/>
              <w:left w:val="nil"/>
              <w:bottom w:val="single" w:sz="8" w:space="0" w:color="auto"/>
              <w:right w:val="single" w:sz="8" w:space="0" w:color="auto"/>
            </w:tcBorders>
            <w:shd w:val="clear" w:color="auto" w:fill="auto"/>
            <w:noWrap/>
            <w:vAlign w:val="center"/>
            <w:hideMark/>
          </w:tcPr>
          <w:p w14:paraId="300DFC0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210.5</w:t>
            </w:r>
          </w:p>
        </w:tc>
        <w:tc>
          <w:tcPr>
            <w:tcW w:w="960" w:type="dxa"/>
            <w:tcBorders>
              <w:top w:val="nil"/>
              <w:left w:val="nil"/>
              <w:bottom w:val="single" w:sz="8" w:space="0" w:color="auto"/>
              <w:right w:val="single" w:sz="8" w:space="0" w:color="auto"/>
            </w:tcBorders>
            <w:shd w:val="clear" w:color="auto" w:fill="auto"/>
            <w:noWrap/>
            <w:vAlign w:val="center"/>
            <w:hideMark/>
          </w:tcPr>
          <w:p w14:paraId="238ACC3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EC9703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254.1</w:t>
            </w:r>
          </w:p>
        </w:tc>
        <w:tc>
          <w:tcPr>
            <w:tcW w:w="960" w:type="dxa"/>
            <w:tcBorders>
              <w:top w:val="nil"/>
              <w:left w:val="nil"/>
              <w:bottom w:val="single" w:sz="8" w:space="0" w:color="auto"/>
              <w:right w:val="single" w:sz="8" w:space="0" w:color="auto"/>
            </w:tcBorders>
            <w:shd w:val="clear" w:color="auto" w:fill="auto"/>
            <w:noWrap/>
            <w:vAlign w:val="center"/>
            <w:hideMark/>
          </w:tcPr>
          <w:p w14:paraId="30E2A8B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39.4</w:t>
            </w:r>
          </w:p>
        </w:tc>
        <w:tc>
          <w:tcPr>
            <w:tcW w:w="960" w:type="dxa"/>
            <w:tcBorders>
              <w:top w:val="nil"/>
              <w:left w:val="nil"/>
              <w:bottom w:val="single" w:sz="8" w:space="0" w:color="auto"/>
              <w:right w:val="single" w:sz="8" w:space="0" w:color="auto"/>
            </w:tcBorders>
            <w:shd w:val="clear" w:color="auto" w:fill="auto"/>
            <w:noWrap/>
            <w:vAlign w:val="center"/>
            <w:hideMark/>
          </w:tcPr>
          <w:p w14:paraId="026FAAA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39.6</w:t>
            </w:r>
          </w:p>
        </w:tc>
        <w:tc>
          <w:tcPr>
            <w:tcW w:w="960" w:type="dxa"/>
            <w:tcBorders>
              <w:top w:val="nil"/>
              <w:left w:val="nil"/>
              <w:bottom w:val="single" w:sz="8" w:space="0" w:color="auto"/>
              <w:right w:val="single" w:sz="8" w:space="0" w:color="auto"/>
            </w:tcBorders>
            <w:shd w:val="clear" w:color="auto" w:fill="auto"/>
            <w:noWrap/>
            <w:vAlign w:val="center"/>
            <w:hideMark/>
          </w:tcPr>
          <w:p w14:paraId="10F1D22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48.1</w:t>
            </w:r>
          </w:p>
        </w:tc>
        <w:tc>
          <w:tcPr>
            <w:tcW w:w="960" w:type="dxa"/>
            <w:tcBorders>
              <w:top w:val="nil"/>
              <w:left w:val="nil"/>
              <w:bottom w:val="single" w:sz="8" w:space="0" w:color="auto"/>
              <w:right w:val="single" w:sz="8" w:space="0" w:color="auto"/>
            </w:tcBorders>
            <w:shd w:val="clear" w:color="auto" w:fill="auto"/>
            <w:noWrap/>
            <w:vAlign w:val="center"/>
            <w:hideMark/>
          </w:tcPr>
          <w:p w14:paraId="28172E8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52.8</w:t>
            </w:r>
          </w:p>
        </w:tc>
        <w:tc>
          <w:tcPr>
            <w:tcW w:w="960" w:type="dxa"/>
            <w:tcBorders>
              <w:top w:val="nil"/>
              <w:left w:val="nil"/>
              <w:bottom w:val="single" w:sz="8" w:space="0" w:color="auto"/>
              <w:right w:val="single" w:sz="8" w:space="0" w:color="auto"/>
            </w:tcBorders>
            <w:shd w:val="clear" w:color="auto" w:fill="auto"/>
            <w:noWrap/>
            <w:vAlign w:val="center"/>
            <w:hideMark/>
          </w:tcPr>
          <w:p w14:paraId="1C61E40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41.1</w:t>
            </w:r>
          </w:p>
        </w:tc>
      </w:tr>
      <w:tr w:rsidR="006B1FB2" w:rsidRPr="00191ACB" w14:paraId="0B1D7CBA"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43AA81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3.C.6 - Indirect N2O Emissions from manure management </w:t>
            </w:r>
          </w:p>
        </w:tc>
        <w:tc>
          <w:tcPr>
            <w:tcW w:w="767" w:type="dxa"/>
            <w:tcBorders>
              <w:top w:val="nil"/>
              <w:left w:val="nil"/>
              <w:bottom w:val="single" w:sz="8" w:space="0" w:color="auto"/>
              <w:right w:val="single" w:sz="8" w:space="0" w:color="auto"/>
            </w:tcBorders>
            <w:shd w:val="clear" w:color="auto" w:fill="auto"/>
            <w:noWrap/>
            <w:vAlign w:val="center"/>
            <w:hideMark/>
          </w:tcPr>
          <w:p w14:paraId="294F3AD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F923F8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089CC3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00F50C0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3DBCEC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29948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D8F38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A72FFB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68C8C97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79E617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0DDCBC4B"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0546B408"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3.C.7 - Rice cultivation </w:t>
            </w:r>
          </w:p>
        </w:tc>
        <w:tc>
          <w:tcPr>
            <w:tcW w:w="767" w:type="dxa"/>
            <w:tcBorders>
              <w:top w:val="nil"/>
              <w:left w:val="nil"/>
              <w:bottom w:val="single" w:sz="8" w:space="0" w:color="auto"/>
              <w:right w:val="single" w:sz="8" w:space="0" w:color="auto"/>
            </w:tcBorders>
            <w:shd w:val="clear" w:color="auto" w:fill="auto"/>
            <w:noWrap/>
            <w:vAlign w:val="center"/>
            <w:hideMark/>
          </w:tcPr>
          <w:p w14:paraId="04753C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4.5</w:t>
            </w:r>
          </w:p>
        </w:tc>
        <w:tc>
          <w:tcPr>
            <w:tcW w:w="960" w:type="dxa"/>
            <w:tcBorders>
              <w:top w:val="nil"/>
              <w:left w:val="nil"/>
              <w:bottom w:val="single" w:sz="8" w:space="0" w:color="auto"/>
              <w:right w:val="single" w:sz="8" w:space="0" w:color="auto"/>
            </w:tcBorders>
            <w:shd w:val="clear" w:color="auto" w:fill="auto"/>
            <w:noWrap/>
            <w:vAlign w:val="center"/>
            <w:hideMark/>
          </w:tcPr>
          <w:p w14:paraId="20AB1A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5.1</w:t>
            </w:r>
          </w:p>
        </w:tc>
        <w:tc>
          <w:tcPr>
            <w:tcW w:w="960" w:type="dxa"/>
            <w:tcBorders>
              <w:top w:val="nil"/>
              <w:left w:val="nil"/>
              <w:bottom w:val="single" w:sz="8" w:space="0" w:color="auto"/>
              <w:right w:val="single" w:sz="8" w:space="0" w:color="auto"/>
            </w:tcBorders>
            <w:shd w:val="clear" w:color="auto" w:fill="auto"/>
            <w:noWrap/>
            <w:vAlign w:val="center"/>
            <w:hideMark/>
          </w:tcPr>
          <w:p w14:paraId="5F2B6F9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11.4</w:t>
            </w:r>
          </w:p>
        </w:tc>
        <w:tc>
          <w:tcPr>
            <w:tcW w:w="960" w:type="dxa"/>
            <w:tcBorders>
              <w:top w:val="nil"/>
              <w:left w:val="nil"/>
              <w:bottom w:val="single" w:sz="8" w:space="0" w:color="auto"/>
              <w:right w:val="single" w:sz="8" w:space="0" w:color="auto"/>
            </w:tcBorders>
            <w:shd w:val="clear" w:color="auto" w:fill="auto"/>
            <w:noWrap/>
            <w:vAlign w:val="center"/>
            <w:hideMark/>
          </w:tcPr>
          <w:p w14:paraId="20658A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22.4</w:t>
            </w:r>
          </w:p>
        </w:tc>
        <w:tc>
          <w:tcPr>
            <w:tcW w:w="960" w:type="dxa"/>
            <w:tcBorders>
              <w:top w:val="nil"/>
              <w:left w:val="nil"/>
              <w:bottom w:val="single" w:sz="8" w:space="0" w:color="auto"/>
              <w:right w:val="single" w:sz="8" w:space="0" w:color="auto"/>
            </w:tcBorders>
            <w:shd w:val="clear" w:color="auto" w:fill="auto"/>
            <w:noWrap/>
            <w:vAlign w:val="center"/>
            <w:hideMark/>
          </w:tcPr>
          <w:p w14:paraId="728B30E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25.7</w:t>
            </w:r>
          </w:p>
        </w:tc>
        <w:tc>
          <w:tcPr>
            <w:tcW w:w="960" w:type="dxa"/>
            <w:tcBorders>
              <w:top w:val="nil"/>
              <w:left w:val="nil"/>
              <w:bottom w:val="single" w:sz="8" w:space="0" w:color="auto"/>
              <w:right w:val="single" w:sz="8" w:space="0" w:color="auto"/>
            </w:tcBorders>
            <w:shd w:val="clear" w:color="auto" w:fill="auto"/>
            <w:noWrap/>
            <w:vAlign w:val="center"/>
            <w:hideMark/>
          </w:tcPr>
          <w:p w14:paraId="60E07BA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24.6</w:t>
            </w:r>
          </w:p>
        </w:tc>
        <w:tc>
          <w:tcPr>
            <w:tcW w:w="960" w:type="dxa"/>
            <w:tcBorders>
              <w:top w:val="nil"/>
              <w:left w:val="nil"/>
              <w:bottom w:val="single" w:sz="8" w:space="0" w:color="auto"/>
              <w:right w:val="single" w:sz="8" w:space="0" w:color="auto"/>
            </w:tcBorders>
            <w:shd w:val="clear" w:color="auto" w:fill="auto"/>
            <w:noWrap/>
            <w:vAlign w:val="center"/>
            <w:hideMark/>
          </w:tcPr>
          <w:p w14:paraId="1EF50FF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29.6</w:t>
            </w:r>
          </w:p>
        </w:tc>
        <w:tc>
          <w:tcPr>
            <w:tcW w:w="960" w:type="dxa"/>
            <w:tcBorders>
              <w:top w:val="nil"/>
              <w:left w:val="nil"/>
              <w:bottom w:val="single" w:sz="8" w:space="0" w:color="auto"/>
              <w:right w:val="single" w:sz="8" w:space="0" w:color="auto"/>
            </w:tcBorders>
            <w:shd w:val="clear" w:color="auto" w:fill="auto"/>
            <w:noWrap/>
            <w:vAlign w:val="center"/>
            <w:hideMark/>
          </w:tcPr>
          <w:p w14:paraId="3A71223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31.1</w:t>
            </w:r>
          </w:p>
        </w:tc>
        <w:tc>
          <w:tcPr>
            <w:tcW w:w="960" w:type="dxa"/>
            <w:tcBorders>
              <w:top w:val="nil"/>
              <w:left w:val="nil"/>
              <w:bottom w:val="single" w:sz="8" w:space="0" w:color="auto"/>
              <w:right w:val="single" w:sz="8" w:space="0" w:color="auto"/>
            </w:tcBorders>
            <w:shd w:val="clear" w:color="auto" w:fill="auto"/>
            <w:noWrap/>
            <w:vAlign w:val="center"/>
            <w:hideMark/>
          </w:tcPr>
          <w:p w14:paraId="213B2C8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11.2</w:t>
            </w:r>
          </w:p>
        </w:tc>
        <w:tc>
          <w:tcPr>
            <w:tcW w:w="960" w:type="dxa"/>
            <w:tcBorders>
              <w:top w:val="nil"/>
              <w:left w:val="nil"/>
              <w:bottom w:val="single" w:sz="8" w:space="0" w:color="auto"/>
              <w:right w:val="single" w:sz="8" w:space="0" w:color="auto"/>
            </w:tcBorders>
            <w:shd w:val="clear" w:color="auto" w:fill="auto"/>
            <w:noWrap/>
            <w:vAlign w:val="center"/>
            <w:hideMark/>
          </w:tcPr>
          <w:p w14:paraId="762894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20.7</w:t>
            </w:r>
          </w:p>
        </w:tc>
      </w:tr>
      <w:tr w:rsidR="006B1FB2" w:rsidRPr="00191ACB" w14:paraId="7E2192EB"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8303E1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3.C.8 - Other (please specify) </w:t>
            </w:r>
          </w:p>
        </w:tc>
        <w:tc>
          <w:tcPr>
            <w:tcW w:w="767" w:type="dxa"/>
            <w:tcBorders>
              <w:top w:val="nil"/>
              <w:left w:val="nil"/>
              <w:bottom w:val="single" w:sz="8" w:space="0" w:color="auto"/>
              <w:right w:val="single" w:sz="8" w:space="0" w:color="auto"/>
            </w:tcBorders>
            <w:shd w:val="clear" w:color="auto" w:fill="auto"/>
            <w:noWrap/>
            <w:vAlign w:val="center"/>
            <w:hideMark/>
          </w:tcPr>
          <w:p w14:paraId="1DCA148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6C8341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026796D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B1375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4907C5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05FEB3E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74780E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2D28E04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431E7A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98FD66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11937877"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90E4F95"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3.D - Other </w:t>
            </w:r>
          </w:p>
        </w:tc>
        <w:tc>
          <w:tcPr>
            <w:tcW w:w="767" w:type="dxa"/>
            <w:tcBorders>
              <w:top w:val="nil"/>
              <w:left w:val="nil"/>
              <w:bottom w:val="single" w:sz="8" w:space="0" w:color="auto"/>
              <w:right w:val="single" w:sz="8" w:space="0" w:color="auto"/>
            </w:tcBorders>
            <w:shd w:val="clear" w:color="auto" w:fill="auto"/>
            <w:noWrap/>
            <w:vAlign w:val="center"/>
            <w:hideMark/>
          </w:tcPr>
          <w:p w14:paraId="650FFE0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-5.9</w:t>
            </w:r>
          </w:p>
        </w:tc>
        <w:tc>
          <w:tcPr>
            <w:tcW w:w="960" w:type="dxa"/>
            <w:tcBorders>
              <w:top w:val="nil"/>
              <w:left w:val="nil"/>
              <w:bottom w:val="single" w:sz="8" w:space="0" w:color="auto"/>
              <w:right w:val="single" w:sz="8" w:space="0" w:color="auto"/>
            </w:tcBorders>
            <w:shd w:val="clear" w:color="auto" w:fill="auto"/>
            <w:noWrap/>
            <w:vAlign w:val="center"/>
            <w:hideMark/>
          </w:tcPr>
          <w:p w14:paraId="3191A99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-6.5</w:t>
            </w:r>
          </w:p>
        </w:tc>
        <w:tc>
          <w:tcPr>
            <w:tcW w:w="960" w:type="dxa"/>
            <w:tcBorders>
              <w:top w:val="nil"/>
              <w:left w:val="nil"/>
              <w:bottom w:val="single" w:sz="8" w:space="0" w:color="auto"/>
              <w:right w:val="single" w:sz="8" w:space="0" w:color="auto"/>
            </w:tcBorders>
            <w:shd w:val="clear" w:color="auto" w:fill="auto"/>
            <w:noWrap/>
            <w:vAlign w:val="center"/>
            <w:hideMark/>
          </w:tcPr>
          <w:p w14:paraId="3C23C52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w:t>
            </w:r>
          </w:p>
        </w:tc>
        <w:tc>
          <w:tcPr>
            <w:tcW w:w="960" w:type="dxa"/>
            <w:tcBorders>
              <w:top w:val="nil"/>
              <w:left w:val="nil"/>
              <w:bottom w:val="single" w:sz="8" w:space="0" w:color="auto"/>
              <w:right w:val="single" w:sz="8" w:space="0" w:color="auto"/>
            </w:tcBorders>
            <w:shd w:val="clear" w:color="auto" w:fill="auto"/>
            <w:noWrap/>
            <w:vAlign w:val="center"/>
            <w:hideMark/>
          </w:tcPr>
          <w:p w14:paraId="434FEF1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6C952C5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1D2C24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7D74BC8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0271FFA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6A699DE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70DAB6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1FFFFF62"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1811CCF"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3.D.1 - Harvested Wood Products </w:t>
            </w:r>
          </w:p>
        </w:tc>
        <w:tc>
          <w:tcPr>
            <w:tcW w:w="767" w:type="dxa"/>
            <w:tcBorders>
              <w:top w:val="nil"/>
              <w:left w:val="nil"/>
              <w:bottom w:val="single" w:sz="8" w:space="0" w:color="auto"/>
              <w:right w:val="single" w:sz="8" w:space="0" w:color="auto"/>
            </w:tcBorders>
            <w:shd w:val="clear" w:color="auto" w:fill="auto"/>
            <w:noWrap/>
            <w:vAlign w:val="center"/>
            <w:hideMark/>
          </w:tcPr>
          <w:p w14:paraId="313B18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-5.9</w:t>
            </w:r>
          </w:p>
        </w:tc>
        <w:tc>
          <w:tcPr>
            <w:tcW w:w="960" w:type="dxa"/>
            <w:tcBorders>
              <w:top w:val="nil"/>
              <w:left w:val="nil"/>
              <w:bottom w:val="single" w:sz="8" w:space="0" w:color="auto"/>
              <w:right w:val="single" w:sz="8" w:space="0" w:color="auto"/>
            </w:tcBorders>
            <w:shd w:val="clear" w:color="auto" w:fill="auto"/>
            <w:noWrap/>
            <w:vAlign w:val="center"/>
            <w:hideMark/>
          </w:tcPr>
          <w:p w14:paraId="431A59A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-6.5</w:t>
            </w:r>
          </w:p>
        </w:tc>
        <w:tc>
          <w:tcPr>
            <w:tcW w:w="960" w:type="dxa"/>
            <w:tcBorders>
              <w:top w:val="nil"/>
              <w:left w:val="nil"/>
              <w:bottom w:val="single" w:sz="8" w:space="0" w:color="auto"/>
              <w:right w:val="single" w:sz="8" w:space="0" w:color="auto"/>
            </w:tcBorders>
            <w:shd w:val="clear" w:color="auto" w:fill="auto"/>
            <w:noWrap/>
            <w:vAlign w:val="center"/>
            <w:hideMark/>
          </w:tcPr>
          <w:p w14:paraId="64EEFC9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w:t>
            </w:r>
          </w:p>
        </w:tc>
        <w:tc>
          <w:tcPr>
            <w:tcW w:w="960" w:type="dxa"/>
            <w:tcBorders>
              <w:top w:val="nil"/>
              <w:left w:val="nil"/>
              <w:bottom w:val="single" w:sz="8" w:space="0" w:color="auto"/>
              <w:right w:val="single" w:sz="8" w:space="0" w:color="auto"/>
            </w:tcBorders>
            <w:shd w:val="clear" w:color="auto" w:fill="auto"/>
            <w:noWrap/>
            <w:vAlign w:val="center"/>
            <w:hideMark/>
          </w:tcPr>
          <w:p w14:paraId="3F5D164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712C916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5D441E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4AF0975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0AEA40A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7BEA63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47FBBFF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328CC0A9"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3AF5233A"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3.D.2 - Other (please specify) </w:t>
            </w:r>
          </w:p>
        </w:tc>
        <w:tc>
          <w:tcPr>
            <w:tcW w:w="767" w:type="dxa"/>
            <w:tcBorders>
              <w:top w:val="nil"/>
              <w:left w:val="nil"/>
              <w:bottom w:val="single" w:sz="8" w:space="0" w:color="auto"/>
              <w:right w:val="single" w:sz="8" w:space="0" w:color="auto"/>
            </w:tcBorders>
            <w:shd w:val="clear" w:color="auto" w:fill="auto"/>
            <w:noWrap/>
            <w:vAlign w:val="center"/>
            <w:hideMark/>
          </w:tcPr>
          <w:p w14:paraId="69552CA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039DFE0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F27D8D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6B7939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BA4F02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219CDC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9BB9C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4D61A65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637E16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8CE04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74DCEB1C"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CC7DEE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4 - Waste </w:t>
            </w:r>
          </w:p>
        </w:tc>
        <w:tc>
          <w:tcPr>
            <w:tcW w:w="767" w:type="dxa"/>
            <w:tcBorders>
              <w:top w:val="nil"/>
              <w:left w:val="nil"/>
              <w:bottom w:val="single" w:sz="8" w:space="0" w:color="auto"/>
              <w:right w:val="single" w:sz="8" w:space="0" w:color="auto"/>
            </w:tcBorders>
            <w:shd w:val="clear" w:color="auto" w:fill="auto"/>
            <w:noWrap/>
            <w:vAlign w:val="center"/>
            <w:hideMark/>
          </w:tcPr>
          <w:p w14:paraId="7ABFE12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204.5</w:t>
            </w:r>
          </w:p>
        </w:tc>
        <w:tc>
          <w:tcPr>
            <w:tcW w:w="960" w:type="dxa"/>
            <w:tcBorders>
              <w:top w:val="nil"/>
              <w:left w:val="nil"/>
              <w:bottom w:val="single" w:sz="8" w:space="0" w:color="auto"/>
              <w:right w:val="single" w:sz="8" w:space="0" w:color="auto"/>
            </w:tcBorders>
            <w:shd w:val="clear" w:color="auto" w:fill="auto"/>
            <w:noWrap/>
            <w:vAlign w:val="center"/>
            <w:hideMark/>
          </w:tcPr>
          <w:p w14:paraId="2E2E1BD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222.5</w:t>
            </w:r>
          </w:p>
        </w:tc>
        <w:tc>
          <w:tcPr>
            <w:tcW w:w="960" w:type="dxa"/>
            <w:tcBorders>
              <w:top w:val="nil"/>
              <w:left w:val="nil"/>
              <w:bottom w:val="single" w:sz="8" w:space="0" w:color="auto"/>
              <w:right w:val="single" w:sz="8" w:space="0" w:color="auto"/>
            </w:tcBorders>
            <w:shd w:val="clear" w:color="auto" w:fill="auto"/>
            <w:noWrap/>
            <w:vAlign w:val="center"/>
            <w:hideMark/>
          </w:tcPr>
          <w:p w14:paraId="39EFE73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257.3</w:t>
            </w:r>
          </w:p>
        </w:tc>
        <w:tc>
          <w:tcPr>
            <w:tcW w:w="960" w:type="dxa"/>
            <w:tcBorders>
              <w:top w:val="nil"/>
              <w:left w:val="nil"/>
              <w:bottom w:val="single" w:sz="8" w:space="0" w:color="auto"/>
              <w:right w:val="single" w:sz="8" w:space="0" w:color="auto"/>
            </w:tcBorders>
            <w:shd w:val="clear" w:color="auto" w:fill="auto"/>
            <w:noWrap/>
            <w:vAlign w:val="center"/>
            <w:hideMark/>
          </w:tcPr>
          <w:p w14:paraId="438530F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305.9</w:t>
            </w:r>
          </w:p>
        </w:tc>
        <w:tc>
          <w:tcPr>
            <w:tcW w:w="960" w:type="dxa"/>
            <w:tcBorders>
              <w:top w:val="nil"/>
              <w:left w:val="nil"/>
              <w:bottom w:val="single" w:sz="8" w:space="0" w:color="auto"/>
              <w:right w:val="single" w:sz="8" w:space="0" w:color="auto"/>
            </w:tcBorders>
            <w:shd w:val="clear" w:color="auto" w:fill="auto"/>
            <w:noWrap/>
            <w:vAlign w:val="center"/>
            <w:hideMark/>
          </w:tcPr>
          <w:p w14:paraId="67B38E3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309.9</w:t>
            </w:r>
          </w:p>
        </w:tc>
        <w:tc>
          <w:tcPr>
            <w:tcW w:w="960" w:type="dxa"/>
            <w:tcBorders>
              <w:top w:val="nil"/>
              <w:left w:val="nil"/>
              <w:bottom w:val="single" w:sz="8" w:space="0" w:color="auto"/>
              <w:right w:val="single" w:sz="8" w:space="0" w:color="auto"/>
            </w:tcBorders>
            <w:shd w:val="clear" w:color="auto" w:fill="auto"/>
            <w:noWrap/>
            <w:vAlign w:val="center"/>
            <w:hideMark/>
          </w:tcPr>
          <w:p w14:paraId="6E63360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314.6</w:t>
            </w:r>
          </w:p>
        </w:tc>
        <w:tc>
          <w:tcPr>
            <w:tcW w:w="960" w:type="dxa"/>
            <w:tcBorders>
              <w:top w:val="nil"/>
              <w:left w:val="nil"/>
              <w:bottom w:val="single" w:sz="8" w:space="0" w:color="auto"/>
              <w:right w:val="single" w:sz="8" w:space="0" w:color="auto"/>
            </w:tcBorders>
            <w:shd w:val="clear" w:color="auto" w:fill="auto"/>
            <w:noWrap/>
            <w:vAlign w:val="center"/>
            <w:hideMark/>
          </w:tcPr>
          <w:p w14:paraId="6F1BD1C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319.6</w:t>
            </w:r>
          </w:p>
        </w:tc>
        <w:tc>
          <w:tcPr>
            <w:tcW w:w="960" w:type="dxa"/>
            <w:tcBorders>
              <w:top w:val="nil"/>
              <w:left w:val="nil"/>
              <w:bottom w:val="single" w:sz="8" w:space="0" w:color="auto"/>
              <w:right w:val="single" w:sz="8" w:space="0" w:color="auto"/>
            </w:tcBorders>
            <w:shd w:val="clear" w:color="auto" w:fill="auto"/>
            <w:noWrap/>
            <w:vAlign w:val="center"/>
            <w:hideMark/>
          </w:tcPr>
          <w:p w14:paraId="194AA9A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324.8</w:t>
            </w:r>
          </w:p>
        </w:tc>
        <w:tc>
          <w:tcPr>
            <w:tcW w:w="960" w:type="dxa"/>
            <w:tcBorders>
              <w:top w:val="nil"/>
              <w:left w:val="nil"/>
              <w:bottom w:val="single" w:sz="8" w:space="0" w:color="auto"/>
              <w:right w:val="single" w:sz="8" w:space="0" w:color="auto"/>
            </w:tcBorders>
            <w:shd w:val="clear" w:color="auto" w:fill="auto"/>
            <w:noWrap/>
            <w:vAlign w:val="center"/>
            <w:hideMark/>
          </w:tcPr>
          <w:p w14:paraId="605B9C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330.2</w:t>
            </w:r>
          </w:p>
        </w:tc>
        <w:tc>
          <w:tcPr>
            <w:tcW w:w="960" w:type="dxa"/>
            <w:tcBorders>
              <w:top w:val="nil"/>
              <w:left w:val="nil"/>
              <w:bottom w:val="single" w:sz="8" w:space="0" w:color="auto"/>
              <w:right w:val="single" w:sz="8" w:space="0" w:color="auto"/>
            </w:tcBorders>
            <w:shd w:val="clear" w:color="auto" w:fill="auto"/>
            <w:noWrap/>
            <w:vAlign w:val="center"/>
            <w:hideMark/>
          </w:tcPr>
          <w:p w14:paraId="358CC7E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335.8</w:t>
            </w:r>
          </w:p>
        </w:tc>
      </w:tr>
      <w:tr w:rsidR="006B1FB2" w:rsidRPr="00191ACB" w14:paraId="3614A78E"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A349259"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4.A - Solid Waste Disposal </w:t>
            </w:r>
          </w:p>
        </w:tc>
        <w:tc>
          <w:tcPr>
            <w:tcW w:w="767" w:type="dxa"/>
            <w:tcBorders>
              <w:top w:val="nil"/>
              <w:left w:val="nil"/>
              <w:bottom w:val="single" w:sz="8" w:space="0" w:color="auto"/>
              <w:right w:val="single" w:sz="8" w:space="0" w:color="auto"/>
            </w:tcBorders>
            <w:shd w:val="clear" w:color="auto" w:fill="auto"/>
            <w:noWrap/>
            <w:vAlign w:val="center"/>
            <w:hideMark/>
          </w:tcPr>
          <w:p w14:paraId="2DDF3FD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46.4</w:t>
            </w:r>
          </w:p>
        </w:tc>
        <w:tc>
          <w:tcPr>
            <w:tcW w:w="960" w:type="dxa"/>
            <w:tcBorders>
              <w:top w:val="nil"/>
              <w:left w:val="nil"/>
              <w:bottom w:val="single" w:sz="8" w:space="0" w:color="auto"/>
              <w:right w:val="single" w:sz="8" w:space="0" w:color="auto"/>
            </w:tcBorders>
            <w:shd w:val="clear" w:color="auto" w:fill="auto"/>
            <w:noWrap/>
            <w:vAlign w:val="center"/>
            <w:hideMark/>
          </w:tcPr>
          <w:p w14:paraId="68A1F1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55.8</w:t>
            </w:r>
          </w:p>
        </w:tc>
        <w:tc>
          <w:tcPr>
            <w:tcW w:w="960" w:type="dxa"/>
            <w:tcBorders>
              <w:top w:val="nil"/>
              <w:left w:val="nil"/>
              <w:bottom w:val="single" w:sz="8" w:space="0" w:color="auto"/>
              <w:right w:val="single" w:sz="8" w:space="0" w:color="auto"/>
            </w:tcBorders>
            <w:shd w:val="clear" w:color="auto" w:fill="auto"/>
            <w:noWrap/>
            <w:vAlign w:val="center"/>
            <w:hideMark/>
          </w:tcPr>
          <w:p w14:paraId="27C7251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64.3</w:t>
            </w:r>
          </w:p>
        </w:tc>
        <w:tc>
          <w:tcPr>
            <w:tcW w:w="960" w:type="dxa"/>
            <w:tcBorders>
              <w:top w:val="nil"/>
              <w:left w:val="nil"/>
              <w:bottom w:val="single" w:sz="8" w:space="0" w:color="auto"/>
              <w:right w:val="single" w:sz="8" w:space="0" w:color="auto"/>
            </w:tcBorders>
            <w:shd w:val="clear" w:color="auto" w:fill="auto"/>
            <w:noWrap/>
            <w:vAlign w:val="center"/>
            <w:hideMark/>
          </w:tcPr>
          <w:p w14:paraId="1DE78DD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75.6</w:t>
            </w:r>
          </w:p>
        </w:tc>
        <w:tc>
          <w:tcPr>
            <w:tcW w:w="960" w:type="dxa"/>
            <w:tcBorders>
              <w:top w:val="nil"/>
              <w:left w:val="nil"/>
              <w:bottom w:val="single" w:sz="8" w:space="0" w:color="auto"/>
              <w:right w:val="single" w:sz="8" w:space="0" w:color="auto"/>
            </w:tcBorders>
            <w:shd w:val="clear" w:color="auto" w:fill="auto"/>
            <w:noWrap/>
            <w:vAlign w:val="center"/>
            <w:hideMark/>
          </w:tcPr>
          <w:p w14:paraId="573A70A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78.3</w:t>
            </w:r>
          </w:p>
        </w:tc>
        <w:tc>
          <w:tcPr>
            <w:tcW w:w="960" w:type="dxa"/>
            <w:tcBorders>
              <w:top w:val="nil"/>
              <w:left w:val="nil"/>
              <w:bottom w:val="single" w:sz="8" w:space="0" w:color="auto"/>
              <w:right w:val="single" w:sz="8" w:space="0" w:color="auto"/>
            </w:tcBorders>
            <w:shd w:val="clear" w:color="auto" w:fill="auto"/>
            <w:noWrap/>
            <w:vAlign w:val="center"/>
            <w:hideMark/>
          </w:tcPr>
          <w:p w14:paraId="7800FC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80.9</w:t>
            </w:r>
          </w:p>
        </w:tc>
        <w:tc>
          <w:tcPr>
            <w:tcW w:w="960" w:type="dxa"/>
            <w:tcBorders>
              <w:top w:val="nil"/>
              <w:left w:val="nil"/>
              <w:bottom w:val="single" w:sz="8" w:space="0" w:color="auto"/>
              <w:right w:val="single" w:sz="8" w:space="0" w:color="auto"/>
            </w:tcBorders>
            <w:shd w:val="clear" w:color="auto" w:fill="auto"/>
            <w:noWrap/>
            <w:vAlign w:val="center"/>
            <w:hideMark/>
          </w:tcPr>
          <w:p w14:paraId="58E8824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83.7</w:t>
            </w:r>
          </w:p>
        </w:tc>
        <w:tc>
          <w:tcPr>
            <w:tcW w:w="960" w:type="dxa"/>
            <w:tcBorders>
              <w:top w:val="nil"/>
              <w:left w:val="nil"/>
              <w:bottom w:val="single" w:sz="8" w:space="0" w:color="auto"/>
              <w:right w:val="single" w:sz="8" w:space="0" w:color="auto"/>
            </w:tcBorders>
            <w:shd w:val="clear" w:color="auto" w:fill="auto"/>
            <w:noWrap/>
            <w:vAlign w:val="center"/>
            <w:hideMark/>
          </w:tcPr>
          <w:p w14:paraId="6ADADD3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86.7</w:t>
            </w:r>
          </w:p>
        </w:tc>
        <w:tc>
          <w:tcPr>
            <w:tcW w:w="960" w:type="dxa"/>
            <w:tcBorders>
              <w:top w:val="nil"/>
              <w:left w:val="nil"/>
              <w:bottom w:val="single" w:sz="8" w:space="0" w:color="auto"/>
              <w:right w:val="single" w:sz="8" w:space="0" w:color="auto"/>
            </w:tcBorders>
            <w:shd w:val="clear" w:color="auto" w:fill="auto"/>
            <w:noWrap/>
            <w:vAlign w:val="center"/>
            <w:hideMark/>
          </w:tcPr>
          <w:p w14:paraId="696692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89.7</w:t>
            </w:r>
          </w:p>
        </w:tc>
        <w:tc>
          <w:tcPr>
            <w:tcW w:w="960" w:type="dxa"/>
            <w:tcBorders>
              <w:top w:val="nil"/>
              <w:left w:val="nil"/>
              <w:bottom w:val="single" w:sz="8" w:space="0" w:color="auto"/>
              <w:right w:val="single" w:sz="8" w:space="0" w:color="auto"/>
            </w:tcBorders>
            <w:shd w:val="clear" w:color="auto" w:fill="auto"/>
            <w:noWrap/>
            <w:vAlign w:val="center"/>
            <w:hideMark/>
          </w:tcPr>
          <w:p w14:paraId="1F12FA2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92.9</w:t>
            </w:r>
          </w:p>
        </w:tc>
      </w:tr>
      <w:tr w:rsidR="006B1FB2" w:rsidRPr="00191ACB" w14:paraId="15686068"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16CBB3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4.B - Biological Treatment of Solid Waste </w:t>
            </w:r>
          </w:p>
        </w:tc>
        <w:tc>
          <w:tcPr>
            <w:tcW w:w="767" w:type="dxa"/>
            <w:tcBorders>
              <w:top w:val="nil"/>
              <w:left w:val="nil"/>
              <w:bottom w:val="single" w:sz="8" w:space="0" w:color="auto"/>
              <w:right w:val="single" w:sz="8" w:space="0" w:color="auto"/>
            </w:tcBorders>
            <w:shd w:val="clear" w:color="auto" w:fill="auto"/>
            <w:noWrap/>
            <w:vAlign w:val="center"/>
            <w:hideMark/>
          </w:tcPr>
          <w:p w14:paraId="5356210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2A3D649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049531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68058F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86B256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0187EB5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65D390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161D77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194340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1D9C6F5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3299F0C5"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0473CA9"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4.C - Incineration and Open Burning of Waste </w:t>
            </w:r>
          </w:p>
        </w:tc>
        <w:tc>
          <w:tcPr>
            <w:tcW w:w="767" w:type="dxa"/>
            <w:tcBorders>
              <w:top w:val="nil"/>
              <w:left w:val="nil"/>
              <w:bottom w:val="single" w:sz="8" w:space="0" w:color="auto"/>
              <w:right w:val="single" w:sz="8" w:space="0" w:color="auto"/>
            </w:tcBorders>
            <w:shd w:val="clear" w:color="auto" w:fill="auto"/>
            <w:noWrap/>
            <w:vAlign w:val="center"/>
            <w:hideMark/>
          </w:tcPr>
          <w:p w14:paraId="27EF19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w:t>
            </w:r>
          </w:p>
        </w:tc>
        <w:tc>
          <w:tcPr>
            <w:tcW w:w="960" w:type="dxa"/>
            <w:tcBorders>
              <w:top w:val="nil"/>
              <w:left w:val="nil"/>
              <w:bottom w:val="single" w:sz="8" w:space="0" w:color="auto"/>
              <w:right w:val="single" w:sz="8" w:space="0" w:color="auto"/>
            </w:tcBorders>
            <w:shd w:val="clear" w:color="auto" w:fill="auto"/>
            <w:noWrap/>
            <w:vAlign w:val="center"/>
            <w:hideMark/>
          </w:tcPr>
          <w:p w14:paraId="1AA4CD6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960" w:type="dxa"/>
            <w:tcBorders>
              <w:top w:val="nil"/>
              <w:left w:val="nil"/>
              <w:bottom w:val="single" w:sz="8" w:space="0" w:color="auto"/>
              <w:right w:val="single" w:sz="8" w:space="0" w:color="auto"/>
            </w:tcBorders>
            <w:shd w:val="clear" w:color="auto" w:fill="auto"/>
            <w:noWrap/>
            <w:vAlign w:val="center"/>
            <w:hideMark/>
          </w:tcPr>
          <w:p w14:paraId="3F67BE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w:t>
            </w:r>
          </w:p>
        </w:tc>
        <w:tc>
          <w:tcPr>
            <w:tcW w:w="960" w:type="dxa"/>
            <w:tcBorders>
              <w:top w:val="nil"/>
              <w:left w:val="nil"/>
              <w:bottom w:val="single" w:sz="8" w:space="0" w:color="auto"/>
              <w:right w:val="single" w:sz="8" w:space="0" w:color="auto"/>
            </w:tcBorders>
            <w:shd w:val="clear" w:color="auto" w:fill="auto"/>
            <w:noWrap/>
            <w:vAlign w:val="center"/>
            <w:hideMark/>
          </w:tcPr>
          <w:p w14:paraId="0A0070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w:t>
            </w:r>
          </w:p>
        </w:tc>
        <w:tc>
          <w:tcPr>
            <w:tcW w:w="960" w:type="dxa"/>
            <w:tcBorders>
              <w:top w:val="nil"/>
              <w:left w:val="nil"/>
              <w:bottom w:val="single" w:sz="8" w:space="0" w:color="auto"/>
              <w:right w:val="single" w:sz="8" w:space="0" w:color="auto"/>
            </w:tcBorders>
            <w:shd w:val="clear" w:color="auto" w:fill="auto"/>
            <w:noWrap/>
            <w:vAlign w:val="center"/>
            <w:hideMark/>
          </w:tcPr>
          <w:p w14:paraId="4DDB4F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w:t>
            </w:r>
          </w:p>
        </w:tc>
        <w:tc>
          <w:tcPr>
            <w:tcW w:w="960" w:type="dxa"/>
            <w:tcBorders>
              <w:top w:val="nil"/>
              <w:left w:val="nil"/>
              <w:bottom w:val="single" w:sz="8" w:space="0" w:color="auto"/>
              <w:right w:val="single" w:sz="8" w:space="0" w:color="auto"/>
            </w:tcBorders>
            <w:shd w:val="clear" w:color="auto" w:fill="auto"/>
            <w:noWrap/>
            <w:vAlign w:val="center"/>
            <w:hideMark/>
          </w:tcPr>
          <w:p w14:paraId="719417B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w:t>
            </w:r>
          </w:p>
        </w:tc>
        <w:tc>
          <w:tcPr>
            <w:tcW w:w="960" w:type="dxa"/>
            <w:tcBorders>
              <w:top w:val="nil"/>
              <w:left w:val="nil"/>
              <w:bottom w:val="single" w:sz="8" w:space="0" w:color="auto"/>
              <w:right w:val="single" w:sz="8" w:space="0" w:color="auto"/>
            </w:tcBorders>
            <w:shd w:val="clear" w:color="auto" w:fill="auto"/>
            <w:noWrap/>
            <w:vAlign w:val="center"/>
            <w:hideMark/>
          </w:tcPr>
          <w:p w14:paraId="595DE0E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w:t>
            </w:r>
          </w:p>
        </w:tc>
        <w:tc>
          <w:tcPr>
            <w:tcW w:w="960" w:type="dxa"/>
            <w:tcBorders>
              <w:top w:val="nil"/>
              <w:left w:val="nil"/>
              <w:bottom w:val="single" w:sz="8" w:space="0" w:color="auto"/>
              <w:right w:val="single" w:sz="8" w:space="0" w:color="auto"/>
            </w:tcBorders>
            <w:shd w:val="clear" w:color="auto" w:fill="auto"/>
            <w:noWrap/>
            <w:vAlign w:val="center"/>
            <w:hideMark/>
          </w:tcPr>
          <w:p w14:paraId="0189E4A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2.5</w:t>
            </w:r>
          </w:p>
        </w:tc>
        <w:tc>
          <w:tcPr>
            <w:tcW w:w="960" w:type="dxa"/>
            <w:tcBorders>
              <w:top w:val="nil"/>
              <w:left w:val="nil"/>
              <w:bottom w:val="single" w:sz="8" w:space="0" w:color="auto"/>
              <w:right w:val="single" w:sz="8" w:space="0" w:color="auto"/>
            </w:tcBorders>
            <w:shd w:val="clear" w:color="auto" w:fill="auto"/>
            <w:noWrap/>
            <w:vAlign w:val="center"/>
            <w:hideMark/>
          </w:tcPr>
          <w:p w14:paraId="221568E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2.6</w:t>
            </w:r>
          </w:p>
        </w:tc>
        <w:tc>
          <w:tcPr>
            <w:tcW w:w="960" w:type="dxa"/>
            <w:tcBorders>
              <w:top w:val="nil"/>
              <w:left w:val="nil"/>
              <w:bottom w:val="single" w:sz="8" w:space="0" w:color="auto"/>
              <w:right w:val="single" w:sz="8" w:space="0" w:color="auto"/>
            </w:tcBorders>
            <w:shd w:val="clear" w:color="auto" w:fill="auto"/>
            <w:noWrap/>
            <w:vAlign w:val="center"/>
            <w:hideMark/>
          </w:tcPr>
          <w:p w14:paraId="2A66536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2.8</w:t>
            </w:r>
          </w:p>
        </w:tc>
      </w:tr>
      <w:tr w:rsidR="006B1FB2" w:rsidRPr="00191ACB" w14:paraId="35D20828"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6B671B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4.D - Wastewater Treatment and Discharge </w:t>
            </w:r>
          </w:p>
        </w:tc>
        <w:tc>
          <w:tcPr>
            <w:tcW w:w="767" w:type="dxa"/>
            <w:tcBorders>
              <w:top w:val="nil"/>
              <w:left w:val="nil"/>
              <w:bottom w:val="single" w:sz="8" w:space="0" w:color="auto"/>
              <w:right w:val="single" w:sz="8" w:space="0" w:color="auto"/>
            </w:tcBorders>
            <w:shd w:val="clear" w:color="auto" w:fill="auto"/>
            <w:noWrap/>
            <w:vAlign w:val="center"/>
            <w:hideMark/>
          </w:tcPr>
          <w:p w14:paraId="30349D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156.6</w:t>
            </w:r>
          </w:p>
        </w:tc>
        <w:tc>
          <w:tcPr>
            <w:tcW w:w="960" w:type="dxa"/>
            <w:tcBorders>
              <w:top w:val="nil"/>
              <w:left w:val="nil"/>
              <w:bottom w:val="single" w:sz="8" w:space="0" w:color="auto"/>
              <w:right w:val="single" w:sz="8" w:space="0" w:color="auto"/>
            </w:tcBorders>
            <w:shd w:val="clear" w:color="auto" w:fill="auto"/>
            <w:noWrap/>
            <w:vAlign w:val="center"/>
            <w:hideMark/>
          </w:tcPr>
          <w:p w14:paraId="6D93EBD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165</w:t>
            </w:r>
          </w:p>
        </w:tc>
        <w:tc>
          <w:tcPr>
            <w:tcW w:w="960" w:type="dxa"/>
            <w:tcBorders>
              <w:top w:val="nil"/>
              <w:left w:val="nil"/>
              <w:bottom w:val="single" w:sz="8" w:space="0" w:color="auto"/>
              <w:right w:val="single" w:sz="8" w:space="0" w:color="auto"/>
            </w:tcBorders>
            <w:shd w:val="clear" w:color="auto" w:fill="auto"/>
            <w:noWrap/>
            <w:vAlign w:val="center"/>
            <w:hideMark/>
          </w:tcPr>
          <w:p w14:paraId="5ECBA04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191.2</w:t>
            </w:r>
          </w:p>
        </w:tc>
        <w:tc>
          <w:tcPr>
            <w:tcW w:w="960" w:type="dxa"/>
            <w:tcBorders>
              <w:top w:val="nil"/>
              <w:left w:val="nil"/>
              <w:bottom w:val="single" w:sz="8" w:space="0" w:color="auto"/>
              <w:right w:val="single" w:sz="8" w:space="0" w:color="auto"/>
            </w:tcBorders>
            <w:shd w:val="clear" w:color="auto" w:fill="auto"/>
            <w:noWrap/>
            <w:vAlign w:val="center"/>
            <w:hideMark/>
          </w:tcPr>
          <w:p w14:paraId="44D173E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228.3</w:t>
            </w:r>
          </w:p>
        </w:tc>
        <w:tc>
          <w:tcPr>
            <w:tcW w:w="960" w:type="dxa"/>
            <w:tcBorders>
              <w:top w:val="nil"/>
              <w:left w:val="nil"/>
              <w:bottom w:val="single" w:sz="8" w:space="0" w:color="auto"/>
              <w:right w:val="single" w:sz="8" w:space="0" w:color="auto"/>
            </w:tcBorders>
            <w:shd w:val="clear" w:color="auto" w:fill="auto"/>
            <w:noWrap/>
            <w:vAlign w:val="center"/>
            <w:hideMark/>
          </w:tcPr>
          <w:p w14:paraId="32592FA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229.4</w:t>
            </w:r>
          </w:p>
        </w:tc>
        <w:tc>
          <w:tcPr>
            <w:tcW w:w="960" w:type="dxa"/>
            <w:tcBorders>
              <w:top w:val="nil"/>
              <w:left w:val="nil"/>
              <w:bottom w:val="single" w:sz="8" w:space="0" w:color="auto"/>
              <w:right w:val="single" w:sz="8" w:space="0" w:color="auto"/>
            </w:tcBorders>
            <w:shd w:val="clear" w:color="auto" w:fill="auto"/>
            <w:noWrap/>
            <w:vAlign w:val="center"/>
            <w:hideMark/>
          </w:tcPr>
          <w:p w14:paraId="2285EA5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231.4</w:t>
            </w:r>
          </w:p>
        </w:tc>
        <w:tc>
          <w:tcPr>
            <w:tcW w:w="960" w:type="dxa"/>
            <w:tcBorders>
              <w:top w:val="nil"/>
              <w:left w:val="nil"/>
              <w:bottom w:val="single" w:sz="8" w:space="0" w:color="auto"/>
              <w:right w:val="single" w:sz="8" w:space="0" w:color="auto"/>
            </w:tcBorders>
            <w:shd w:val="clear" w:color="auto" w:fill="auto"/>
            <w:noWrap/>
            <w:vAlign w:val="center"/>
            <w:hideMark/>
          </w:tcPr>
          <w:p w14:paraId="067CE3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233.4</w:t>
            </w:r>
          </w:p>
        </w:tc>
        <w:tc>
          <w:tcPr>
            <w:tcW w:w="960" w:type="dxa"/>
            <w:tcBorders>
              <w:top w:val="nil"/>
              <w:left w:val="nil"/>
              <w:bottom w:val="single" w:sz="8" w:space="0" w:color="auto"/>
              <w:right w:val="single" w:sz="8" w:space="0" w:color="auto"/>
            </w:tcBorders>
            <w:shd w:val="clear" w:color="auto" w:fill="auto"/>
            <w:noWrap/>
            <w:vAlign w:val="center"/>
            <w:hideMark/>
          </w:tcPr>
          <w:p w14:paraId="0037414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235.6</w:t>
            </w:r>
          </w:p>
        </w:tc>
        <w:tc>
          <w:tcPr>
            <w:tcW w:w="960" w:type="dxa"/>
            <w:tcBorders>
              <w:top w:val="nil"/>
              <w:left w:val="nil"/>
              <w:bottom w:val="single" w:sz="8" w:space="0" w:color="auto"/>
              <w:right w:val="single" w:sz="8" w:space="0" w:color="auto"/>
            </w:tcBorders>
            <w:shd w:val="clear" w:color="auto" w:fill="auto"/>
            <w:noWrap/>
            <w:vAlign w:val="center"/>
            <w:hideMark/>
          </w:tcPr>
          <w:p w14:paraId="62D0546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237.8</w:t>
            </w:r>
          </w:p>
        </w:tc>
        <w:tc>
          <w:tcPr>
            <w:tcW w:w="960" w:type="dxa"/>
            <w:tcBorders>
              <w:top w:val="nil"/>
              <w:left w:val="nil"/>
              <w:bottom w:val="single" w:sz="8" w:space="0" w:color="auto"/>
              <w:right w:val="single" w:sz="8" w:space="0" w:color="auto"/>
            </w:tcBorders>
            <w:shd w:val="clear" w:color="auto" w:fill="auto"/>
            <w:noWrap/>
            <w:vAlign w:val="center"/>
            <w:hideMark/>
          </w:tcPr>
          <w:p w14:paraId="6D42C6D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240.2</w:t>
            </w:r>
          </w:p>
        </w:tc>
      </w:tr>
      <w:tr w:rsidR="006B1FB2" w:rsidRPr="00191ACB" w14:paraId="03F352F1"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58FC444"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4.E - Other (please specify) </w:t>
            </w:r>
          </w:p>
        </w:tc>
        <w:tc>
          <w:tcPr>
            <w:tcW w:w="767" w:type="dxa"/>
            <w:tcBorders>
              <w:top w:val="nil"/>
              <w:left w:val="nil"/>
              <w:bottom w:val="single" w:sz="8" w:space="0" w:color="auto"/>
              <w:right w:val="single" w:sz="8" w:space="0" w:color="auto"/>
            </w:tcBorders>
            <w:shd w:val="clear" w:color="auto" w:fill="auto"/>
            <w:noWrap/>
            <w:vAlign w:val="center"/>
            <w:hideMark/>
          </w:tcPr>
          <w:p w14:paraId="0769477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CE73CC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E137FF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D22547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90E682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8BEE9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F0DD0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FF4E5E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125EB0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6B61F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327E21C8"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8C18F7D"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5 - Other </w:t>
            </w:r>
          </w:p>
        </w:tc>
        <w:tc>
          <w:tcPr>
            <w:tcW w:w="767" w:type="dxa"/>
            <w:tcBorders>
              <w:top w:val="nil"/>
              <w:left w:val="nil"/>
              <w:bottom w:val="single" w:sz="8" w:space="0" w:color="auto"/>
              <w:right w:val="single" w:sz="8" w:space="0" w:color="auto"/>
            </w:tcBorders>
            <w:shd w:val="clear" w:color="auto" w:fill="auto"/>
            <w:noWrap/>
            <w:vAlign w:val="center"/>
            <w:hideMark/>
          </w:tcPr>
          <w:p w14:paraId="24AA812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C28BD3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1EF7B8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B6221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EAF5EE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8D85B2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F2D801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F98EB6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88B5C2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55A410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7386B324" w14:textId="77777777" w:rsidTr="00BE0D7C">
        <w:trPr>
          <w:trHeight w:val="804"/>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BE2C6E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5.A - Indirect N2O emissions from the atmospheric deposition of nitrogen in NOx and NH3 </w:t>
            </w:r>
          </w:p>
        </w:tc>
        <w:tc>
          <w:tcPr>
            <w:tcW w:w="767" w:type="dxa"/>
            <w:tcBorders>
              <w:top w:val="nil"/>
              <w:left w:val="nil"/>
              <w:bottom w:val="single" w:sz="8" w:space="0" w:color="auto"/>
              <w:right w:val="single" w:sz="8" w:space="0" w:color="auto"/>
            </w:tcBorders>
            <w:shd w:val="clear" w:color="auto" w:fill="auto"/>
            <w:noWrap/>
            <w:vAlign w:val="center"/>
            <w:hideMark/>
          </w:tcPr>
          <w:p w14:paraId="35F47B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F39A92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21B79C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31B0F0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01C233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27F93C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35505D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FCF07E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46F75E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30BB76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761BB712"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193610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5.B - Other (please specify) </w:t>
            </w:r>
          </w:p>
        </w:tc>
        <w:tc>
          <w:tcPr>
            <w:tcW w:w="767" w:type="dxa"/>
            <w:tcBorders>
              <w:top w:val="nil"/>
              <w:left w:val="nil"/>
              <w:bottom w:val="single" w:sz="8" w:space="0" w:color="auto"/>
              <w:right w:val="single" w:sz="8" w:space="0" w:color="auto"/>
            </w:tcBorders>
            <w:shd w:val="clear" w:color="auto" w:fill="auto"/>
            <w:noWrap/>
            <w:vAlign w:val="center"/>
            <w:hideMark/>
          </w:tcPr>
          <w:p w14:paraId="5DFEC2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16E261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9B8970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986AA6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E4325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114C06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425644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98457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51AC3F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EDC57A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6493C1D3"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417D75A"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Memo Items (5)</w:t>
            </w:r>
          </w:p>
        </w:tc>
        <w:tc>
          <w:tcPr>
            <w:tcW w:w="767" w:type="dxa"/>
            <w:tcBorders>
              <w:top w:val="nil"/>
              <w:left w:val="nil"/>
              <w:bottom w:val="single" w:sz="8" w:space="0" w:color="auto"/>
              <w:right w:val="single" w:sz="8" w:space="0" w:color="auto"/>
            </w:tcBorders>
            <w:shd w:val="clear" w:color="auto" w:fill="auto"/>
            <w:noWrap/>
            <w:vAlign w:val="center"/>
            <w:hideMark/>
          </w:tcPr>
          <w:p w14:paraId="61AD62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960" w:type="dxa"/>
            <w:tcBorders>
              <w:top w:val="nil"/>
              <w:left w:val="nil"/>
              <w:bottom w:val="single" w:sz="8" w:space="0" w:color="auto"/>
              <w:right w:val="single" w:sz="8" w:space="0" w:color="auto"/>
            </w:tcBorders>
            <w:shd w:val="clear" w:color="auto" w:fill="auto"/>
            <w:noWrap/>
            <w:vAlign w:val="center"/>
            <w:hideMark/>
          </w:tcPr>
          <w:p w14:paraId="53B5FFC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960" w:type="dxa"/>
            <w:tcBorders>
              <w:top w:val="nil"/>
              <w:left w:val="nil"/>
              <w:bottom w:val="single" w:sz="8" w:space="0" w:color="auto"/>
              <w:right w:val="single" w:sz="8" w:space="0" w:color="auto"/>
            </w:tcBorders>
            <w:shd w:val="clear" w:color="auto" w:fill="auto"/>
            <w:noWrap/>
            <w:vAlign w:val="center"/>
            <w:hideMark/>
          </w:tcPr>
          <w:p w14:paraId="0822C3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960" w:type="dxa"/>
            <w:tcBorders>
              <w:top w:val="nil"/>
              <w:left w:val="nil"/>
              <w:bottom w:val="single" w:sz="8" w:space="0" w:color="auto"/>
              <w:right w:val="single" w:sz="8" w:space="0" w:color="auto"/>
            </w:tcBorders>
            <w:shd w:val="clear" w:color="auto" w:fill="auto"/>
            <w:noWrap/>
            <w:vAlign w:val="center"/>
            <w:hideMark/>
          </w:tcPr>
          <w:p w14:paraId="38C113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960" w:type="dxa"/>
            <w:tcBorders>
              <w:top w:val="nil"/>
              <w:left w:val="nil"/>
              <w:bottom w:val="single" w:sz="8" w:space="0" w:color="auto"/>
              <w:right w:val="single" w:sz="8" w:space="0" w:color="auto"/>
            </w:tcBorders>
            <w:shd w:val="clear" w:color="auto" w:fill="auto"/>
            <w:noWrap/>
            <w:vAlign w:val="center"/>
            <w:hideMark/>
          </w:tcPr>
          <w:p w14:paraId="62173A3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960" w:type="dxa"/>
            <w:tcBorders>
              <w:top w:val="nil"/>
              <w:left w:val="nil"/>
              <w:bottom w:val="single" w:sz="8" w:space="0" w:color="auto"/>
              <w:right w:val="single" w:sz="8" w:space="0" w:color="auto"/>
            </w:tcBorders>
            <w:shd w:val="clear" w:color="auto" w:fill="auto"/>
            <w:noWrap/>
            <w:vAlign w:val="center"/>
            <w:hideMark/>
          </w:tcPr>
          <w:p w14:paraId="3021732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960" w:type="dxa"/>
            <w:tcBorders>
              <w:top w:val="nil"/>
              <w:left w:val="nil"/>
              <w:bottom w:val="single" w:sz="8" w:space="0" w:color="auto"/>
              <w:right w:val="single" w:sz="8" w:space="0" w:color="auto"/>
            </w:tcBorders>
            <w:shd w:val="clear" w:color="auto" w:fill="auto"/>
            <w:noWrap/>
            <w:vAlign w:val="center"/>
            <w:hideMark/>
          </w:tcPr>
          <w:p w14:paraId="0E4C505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960" w:type="dxa"/>
            <w:tcBorders>
              <w:top w:val="nil"/>
              <w:left w:val="nil"/>
              <w:bottom w:val="single" w:sz="8" w:space="0" w:color="auto"/>
              <w:right w:val="single" w:sz="8" w:space="0" w:color="auto"/>
            </w:tcBorders>
            <w:shd w:val="clear" w:color="auto" w:fill="auto"/>
            <w:noWrap/>
            <w:vAlign w:val="center"/>
            <w:hideMark/>
          </w:tcPr>
          <w:p w14:paraId="20B35FB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960" w:type="dxa"/>
            <w:tcBorders>
              <w:top w:val="nil"/>
              <w:left w:val="nil"/>
              <w:bottom w:val="single" w:sz="8" w:space="0" w:color="auto"/>
              <w:right w:val="single" w:sz="8" w:space="0" w:color="auto"/>
            </w:tcBorders>
            <w:shd w:val="clear" w:color="auto" w:fill="auto"/>
            <w:noWrap/>
            <w:vAlign w:val="center"/>
            <w:hideMark/>
          </w:tcPr>
          <w:p w14:paraId="1C6BD33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960" w:type="dxa"/>
            <w:tcBorders>
              <w:top w:val="nil"/>
              <w:left w:val="nil"/>
              <w:bottom w:val="single" w:sz="8" w:space="0" w:color="auto"/>
              <w:right w:val="single" w:sz="8" w:space="0" w:color="auto"/>
            </w:tcBorders>
            <w:shd w:val="clear" w:color="auto" w:fill="auto"/>
            <w:noWrap/>
            <w:vAlign w:val="center"/>
            <w:hideMark/>
          </w:tcPr>
          <w:p w14:paraId="6F928F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79DACD7A"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37F950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International Bunkers </w:t>
            </w:r>
          </w:p>
        </w:tc>
        <w:tc>
          <w:tcPr>
            <w:tcW w:w="767" w:type="dxa"/>
            <w:tcBorders>
              <w:top w:val="nil"/>
              <w:left w:val="nil"/>
              <w:bottom w:val="single" w:sz="8" w:space="0" w:color="auto"/>
              <w:right w:val="single" w:sz="8" w:space="0" w:color="auto"/>
            </w:tcBorders>
            <w:shd w:val="clear" w:color="auto" w:fill="auto"/>
            <w:noWrap/>
            <w:vAlign w:val="center"/>
            <w:hideMark/>
          </w:tcPr>
          <w:p w14:paraId="2085953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3FBA777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0.1</w:t>
            </w:r>
          </w:p>
        </w:tc>
        <w:tc>
          <w:tcPr>
            <w:tcW w:w="960" w:type="dxa"/>
            <w:tcBorders>
              <w:top w:val="nil"/>
              <w:left w:val="nil"/>
              <w:bottom w:val="single" w:sz="8" w:space="0" w:color="auto"/>
              <w:right w:val="single" w:sz="8" w:space="0" w:color="auto"/>
            </w:tcBorders>
            <w:shd w:val="clear" w:color="auto" w:fill="auto"/>
            <w:noWrap/>
            <w:vAlign w:val="center"/>
            <w:hideMark/>
          </w:tcPr>
          <w:p w14:paraId="6F85B5D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77.8</w:t>
            </w:r>
          </w:p>
        </w:tc>
        <w:tc>
          <w:tcPr>
            <w:tcW w:w="960" w:type="dxa"/>
            <w:tcBorders>
              <w:top w:val="nil"/>
              <w:left w:val="nil"/>
              <w:bottom w:val="single" w:sz="8" w:space="0" w:color="auto"/>
              <w:right w:val="single" w:sz="8" w:space="0" w:color="auto"/>
            </w:tcBorders>
            <w:shd w:val="clear" w:color="auto" w:fill="auto"/>
            <w:noWrap/>
            <w:vAlign w:val="center"/>
            <w:hideMark/>
          </w:tcPr>
          <w:p w14:paraId="779E005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86.1</w:t>
            </w:r>
          </w:p>
        </w:tc>
        <w:tc>
          <w:tcPr>
            <w:tcW w:w="960" w:type="dxa"/>
            <w:tcBorders>
              <w:top w:val="nil"/>
              <w:left w:val="nil"/>
              <w:bottom w:val="single" w:sz="8" w:space="0" w:color="auto"/>
              <w:right w:val="single" w:sz="8" w:space="0" w:color="auto"/>
            </w:tcBorders>
            <w:shd w:val="clear" w:color="auto" w:fill="auto"/>
            <w:noWrap/>
            <w:vAlign w:val="center"/>
            <w:hideMark/>
          </w:tcPr>
          <w:p w14:paraId="0380514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97.6</w:t>
            </w:r>
          </w:p>
        </w:tc>
        <w:tc>
          <w:tcPr>
            <w:tcW w:w="960" w:type="dxa"/>
            <w:tcBorders>
              <w:top w:val="nil"/>
              <w:left w:val="nil"/>
              <w:bottom w:val="single" w:sz="8" w:space="0" w:color="auto"/>
              <w:right w:val="single" w:sz="8" w:space="0" w:color="auto"/>
            </w:tcBorders>
            <w:shd w:val="clear" w:color="auto" w:fill="auto"/>
            <w:noWrap/>
            <w:vAlign w:val="center"/>
            <w:hideMark/>
          </w:tcPr>
          <w:p w14:paraId="6CBB609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148.8</w:t>
            </w:r>
          </w:p>
        </w:tc>
        <w:tc>
          <w:tcPr>
            <w:tcW w:w="960" w:type="dxa"/>
            <w:tcBorders>
              <w:top w:val="nil"/>
              <w:left w:val="nil"/>
              <w:bottom w:val="single" w:sz="8" w:space="0" w:color="auto"/>
              <w:right w:val="single" w:sz="8" w:space="0" w:color="auto"/>
            </w:tcBorders>
            <w:shd w:val="clear" w:color="auto" w:fill="auto"/>
            <w:noWrap/>
            <w:vAlign w:val="center"/>
            <w:hideMark/>
          </w:tcPr>
          <w:p w14:paraId="6B748EF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1438.1</w:t>
            </w:r>
          </w:p>
        </w:tc>
        <w:tc>
          <w:tcPr>
            <w:tcW w:w="960" w:type="dxa"/>
            <w:tcBorders>
              <w:top w:val="nil"/>
              <w:left w:val="nil"/>
              <w:bottom w:val="single" w:sz="8" w:space="0" w:color="auto"/>
              <w:right w:val="single" w:sz="8" w:space="0" w:color="auto"/>
            </w:tcBorders>
            <w:shd w:val="clear" w:color="auto" w:fill="auto"/>
            <w:noWrap/>
            <w:vAlign w:val="center"/>
            <w:hideMark/>
          </w:tcPr>
          <w:p w14:paraId="719D6FF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111.3</w:t>
            </w:r>
          </w:p>
        </w:tc>
        <w:tc>
          <w:tcPr>
            <w:tcW w:w="960" w:type="dxa"/>
            <w:tcBorders>
              <w:top w:val="nil"/>
              <w:left w:val="nil"/>
              <w:bottom w:val="single" w:sz="8" w:space="0" w:color="auto"/>
              <w:right w:val="single" w:sz="8" w:space="0" w:color="auto"/>
            </w:tcBorders>
            <w:shd w:val="clear" w:color="auto" w:fill="auto"/>
            <w:noWrap/>
            <w:vAlign w:val="center"/>
            <w:hideMark/>
          </w:tcPr>
          <w:p w14:paraId="3FDD7F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118.9</w:t>
            </w:r>
          </w:p>
        </w:tc>
        <w:tc>
          <w:tcPr>
            <w:tcW w:w="960" w:type="dxa"/>
            <w:tcBorders>
              <w:top w:val="nil"/>
              <w:left w:val="nil"/>
              <w:bottom w:val="single" w:sz="8" w:space="0" w:color="auto"/>
              <w:right w:val="single" w:sz="8" w:space="0" w:color="auto"/>
            </w:tcBorders>
            <w:shd w:val="clear" w:color="auto" w:fill="auto"/>
            <w:noWrap/>
            <w:vAlign w:val="center"/>
            <w:hideMark/>
          </w:tcPr>
          <w:p w14:paraId="2F8419B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81.9</w:t>
            </w:r>
          </w:p>
        </w:tc>
      </w:tr>
      <w:tr w:rsidR="006B1FB2" w:rsidRPr="00191ACB" w14:paraId="5890AF34"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5A09BF46"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1.A.3.a.i - International Aviation (International Bunkers) </w:t>
            </w:r>
          </w:p>
        </w:tc>
        <w:tc>
          <w:tcPr>
            <w:tcW w:w="767" w:type="dxa"/>
            <w:tcBorders>
              <w:top w:val="nil"/>
              <w:left w:val="nil"/>
              <w:bottom w:val="single" w:sz="8" w:space="0" w:color="auto"/>
              <w:right w:val="single" w:sz="8" w:space="0" w:color="auto"/>
            </w:tcBorders>
            <w:shd w:val="clear" w:color="auto" w:fill="auto"/>
            <w:noWrap/>
            <w:vAlign w:val="center"/>
            <w:hideMark/>
          </w:tcPr>
          <w:p w14:paraId="42FBC74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8" w:space="0" w:color="auto"/>
              <w:right w:val="single" w:sz="8" w:space="0" w:color="auto"/>
            </w:tcBorders>
            <w:shd w:val="clear" w:color="auto" w:fill="auto"/>
            <w:noWrap/>
            <w:vAlign w:val="center"/>
            <w:hideMark/>
          </w:tcPr>
          <w:p w14:paraId="5019E43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0.1</w:t>
            </w:r>
          </w:p>
        </w:tc>
        <w:tc>
          <w:tcPr>
            <w:tcW w:w="960" w:type="dxa"/>
            <w:tcBorders>
              <w:top w:val="nil"/>
              <w:left w:val="nil"/>
              <w:bottom w:val="single" w:sz="8" w:space="0" w:color="auto"/>
              <w:right w:val="single" w:sz="8" w:space="0" w:color="auto"/>
            </w:tcBorders>
            <w:shd w:val="clear" w:color="auto" w:fill="auto"/>
            <w:noWrap/>
            <w:vAlign w:val="center"/>
            <w:hideMark/>
          </w:tcPr>
          <w:p w14:paraId="0C55B70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77.8</w:t>
            </w:r>
          </w:p>
        </w:tc>
        <w:tc>
          <w:tcPr>
            <w:tcW w:w="960" w:type="dxa"/>
            <w:tcBorders>
              <w:top w:val="nil"/>
              <w:left w:val="nil"/>
              <w:bottom w:val="single" w:sz="8" w:space="0" w:color="auto"/>
              <w:right w:val="single" w:sz="8" w:space="0" w:color="auto"/>
            </w:tcBorders>
            <w:shd w:val="clear" w:color="auto" w:fill="auto"/>
            <w:noWrap/>
            <w:vAlign w:val="center"/>
            <w:hideMark/>
          </w:tcPr>
          <w:p w14:paraId="4F5B4A3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86.1</w:t>
            </w:r>
          </w:p>
        </w:tc>
        <w:tc>
          <w:tcPr>
            <w:tcW w:w="960" w:type="dxa"/>
            <w:tcBorders>
              <w:top w:val="nil"/>
              <w:left w:val="nil"/>
              <w:bottom w:val="single" w:sz="8" w:space="0" w:color="auto"/>
              <w:right w:val="single" w:sz="8" w:space="0" w:color="auto"/>
            </w:tcBorders>
            <w:shd w:val="clear" w:color="auto" w:fill="auto"/>
            <w:noWrap/>
            <w:vAlign w:val="center"/>
            <w:hideMark/>
          </w:tcPr>
          <w:p w14:paraId="7C3B863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97.6</w:t>
            </w:r>
          </w:p>
        </w:tc>
        <w:tc>
          <w:tcPr>
            <w:tcW w:w="960" w:type="dxa"/>
            <w:tcBorders>
              <w:top w:val="nil"/>
              <w:left w:val="nil"/>
              <w:bottom w:val="single" w:sz="8" w:space="0" w:color="auto"/>
              <w:right w:val="single" w:sz="8" w:space="0" w:color="auto"/>
            </w:tcBorders>
            <w:shd w:val="clear" w:color="auto" w:fill="auto"/>
            <w:noWrap/>
            <w:vAlign w:val="center"/>
            <w:hideMark/>
          </w:tcPr>
          <w:p w14:paraId="12998C9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148.8</w:t>
            </w:r>
          </w:p>
        </w:tc>
        <w:tc>
          <w:tcPr>
            <w:tcW w:w="960" w:type="dxa"/>
            <w:tcBorders>
              <w:top w:val="nil"/>
              <w:left w:val="nil"/>
              <w:bottom w:val="single" w:sz="8" w:space="0" w:color="auto"/>
              <w:right w:val="single" w:sz="8" w:space="0" w:color="auto"/>
            </w:tcBorders>
            <w:shd w:val="clear" w:color="auto" w:fill="auto"/>
            <w:noWrap/>
            <w:vAlign w:val="center"/>
            <w:hideMark/>
          </w:tcPr>
          <w:p w14:paraId="27B3E3D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1438.1</w:t>
            </w:r>
          </w:p>
        </w:tc>
        <w:tc>
          <w:tcPr>
            <w:tcW w:w="960" w:type="dxa"/>
            <w:tcBorders>
              <w:top w:val="nil"/>
              <w:left w:val="nil"/>
              <w:bottom w:val="single" w:sz="8" w:space="0" w:color="auto"/>
              <w:right w:val="single" w:sz="8" w:space="0" w:color="auto"/>
            </w:tcBorders>
            <w:shd w:val="clear" w:color="auto" w:fill="auto"/>
            <w:noWrap/>
            <w:vAlign w:val="center"/>
            <w:hideMark/>
          </w:tcPr>
          <w:p w14:paraId="3B3948B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111.3</w:t>
            </w:r>
          </w:p>
        </w:tc>
        <w:tc>
          <w:tcPr>
            <w:tcW w:w="960" w:type="dxa"/>
            <w:tcBorders>
              <w:top w:val="nil"/>
              <w:left w:val="nil"/>
              <w:bottom w:val="single" w:sz="8" w:space="0" w:color="auto"/>
              <w:right w:val="single" w:sz="8" w:space="0" w:color="auto"/>
            </w:tcBorders>
            <w:shd w:val="clear" w:color="auto" w:fill="auto"/>
            <w:noWrap/>
            <w:vAlign w:val="center"/>
            <w:hideMark/>
          </w:tcPr>
          <w:p w14:paraId="1FA652A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118.9</w:t>
            </w:r>
          </w:p>
        </w:tc>
        <w:tc>
          <w:tcPr>
            <w:tcW w:w="960" w:type="dxa"/>
            <w:tcBorders>
              <w:top w:val="nil"/>
              <w:left w:val="nil"/>
              <w:bottom w:val="single" w:sz="8" w:space="0" w:color="auto"/>
              <w:right w:val="single" w:sz="8" w:space="0" w:color="auto"/>
            </w:tcBorders>
            <w:shd w:val="clear" w:color="auto" w:fill="auto"/>
            <w:noWrap/>
            <w:vAlign w:val="center"/>
            <w:hideMark/>
          </w:tcPr>
          <w:p w14:paraId="4ABD3B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81.9</w:t>
            </w:r>
          </w:p>
        </w:tc>
      </w:tr>
      <w:tr w:rsidR="006B1FB2" w:rsidRPr="00191ACB" w14:paraId="306BFB5D" w14:textId="77777777" w:rsidTr="00BE0D7C">
        <w:trPr>
          <w:trHeight w:val="54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19E538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1.A.3.d.i - International water-borne navigation (International bunkers) </w:t>
            </w:r>
          </w:p>
        </w:tc>
        <w:tc>
          <w:tcPr>
            <w:tcW w:w="767" w:type="dxa"/>
            <w:tcBorders>
              <w:top w:val="nil"/>
              <w:left w:val="nil"/>
              <w:bottom w:val="single" w:sz="8" w:space="0" w:color="auto"/>
              <w:right w:val="single" w:sz="8" w:space="0" w:color="auto"/>
            </w:tcBorders>
            <w:shd w:val="clear" w:color="auto" w:fill="auto"/>
            <w:noWrap/>
            <w:vAlign w:val="center"/>
            <w:hideMark/>
          </w:tcPr>
          <w:p w14:paraId="71F7429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5C3D3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3487A57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2E4294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160FD76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8C7E2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7550F3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535A01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54BC73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7270EB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29C23567" w14:textId="77777777" w:rsidTr="00BE0D7C">
        <w:trPr>
          <w:trHeight w:val="300"/>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3996EEE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1.A.5.c - Multilateral Operations </w:t>
            </w:r>
          </w:p>
        </w:tc>
        <w:tc>
          <w:tcPr>
            <w:tcW w:w="767" w:type="dxa"/>
            <w:tcBorders>
              <w:top w:val="nil"/>
              <w:left w:val="nil"/>
              <w:bottom w:val="single" w:sz="8" w:space="0" w:color="auto"/>
              <w:right w:val="single" w:sz="8" w:space="0" w:color="auto"/>
            </w:tcBorders>
            <w:shd w:val="clear" w:color="auto" w:fill="auto"/>
            <w:noWrap/>
            <w:vAlign w:val="center"/>
            <w:hideMark/>
          </w:tcPr>
          <w:p w14:paraId="6E57349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28A1CB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77C5C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68F32B3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53CE112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3760BF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02B6F9E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409DB23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7CCBA5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960" w:type="dxa"/>
            <w:tcBorders>
              <w:top w:val="nil"/>
              <w:left w:val="nil"/>
              <w:bottom w:val="single" w:sz="8" w:space="0" w:color="auto"/>
              <w:right w:val="single" w:sz="8" w:space="0" w:color="auto"/>
            </w:tcBorders>
            <w:shd w:val="clear" w:color="auto" w:fill="auto"/>
            <w:noWrap/>
            <w:vAlign w:val="center"/>
            <w:hideMark/>
          </w:tcPr>
          <w:p w14:paraId="2B8BB59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bl>
    <w:p w14:paraId="1A877834" w14:textId="5FDE7CA2" w:rsidR="006B1FB2" w:rsidRPr="00191ACB" w:rsidRDefault="00C36014" w:rsidP="006B1FB2">
      <w:pPr>
        <w:pStyle w:val="NoSpacing"/>
        <w:rPr>
          <w:rFonts w:ascii="Times New Roman" w:hAnsi="Times New Roman" w:cs="Times New Roman"/>
          <w:i/>
          <w:iCs/>
          <w:color w:val="000000" w:themeColor="text1"/>
          <w:sz w:val="24"/>
          <w:szCs w:val="24"/>
        </w:rPr>
      </w:pPr>
      <w:r w:rsidRPr="00191ACB">
        <w:rPr>
          <w:rFonts w:ascii="Times New Roman" w:hAnsi="Times New Roman" w:cs="Times New Roman"/>
          <w:b/>
          <w:bCs/>
          <w:i/>
          <w:iCs/>
          <w:color w:val="000000" w:themeColor="text1"/>
          <w:sz w:val="24"/>
          <w:szCs w:val="24"/>
        </w:rPr>
        <w:t>Notation</w:t>
      </w:r>
      <w:r w:rsidR="001B0B28" w:rsidRPr="00191ACB">
        <w:rPr>
          <w:rStyle w:val="FootnoteReference"/>
          <w:rFonts w:ascii="Times New Roman" w:hAnsi="Times New Roman" w:cs="Times New Roman"/>
          <w:b/>
          <w:bCs/>
          <w:i/>
          <w:iCs/>
          <w:color w:val="000000" w:themeColor="text1"/>
          <w:sz w:val="24"/>
          <w:szCs w:val="24"/>
        </w:rPr>
        <w:footnoteReference w:id="2"/>
      </w:r>
      <w:r w:rsidRPr="00191ACB">
        <w:rPr>
          <w:rFonts w:ascii="Times New Roman" w:hAnsi="Times New Roman" w:cs="Times New Roman"/>
          <w:i/>
          <w:iCs/>
          <w:color w:val="000000" w:themeColor="text1"/>
          <w:sz w:val="24"/>
          <w:szCs w:val="24"/>
        </w:rPr>
        <w:t>: NA=</w:t>
      </w:r>
      <w:r w:rsidR="001446C3" w:rsidRPr="00191ACB">
        <w:rPr>
          <w:rFonts w:ascii="Times New Roman" w:hAnsi="Times New Roman" w:cs="Times New Roman"/>
          <w:i/>
          <w:iCs/>
          <w:color w:val="000000" w:themeColor="text1"/>
          <w:sz w:val="24"/>
          <w:szCs w:val="24"/>
        </w:rPr>
        <w:t xml:space="preserve"> Not </w:t>
      </w:r>
      <w:r w:rsidR="003B1D26" w:rsidRPr="00191ACB">
        <w:rPr>
          <w:rFonts w:ascii="Times New Roman" w:hAnsi="Times New Roman" w:cs="Times New Roman"/>
          <w:i/>
          <w:iCs/>
          <w:color w:val="000000" w:themeColor="text1"/>
          <w:sz w:val="24"/>
          <w:szCs w:val="24"/>
        </w:rPr>
        <w:t>applicable,</w:t>
      </w:r>
      <w:r w:rsidRPr="00191ACB">
        <w:rPr>
          <w:rFonts w:ascii="Times New Roman" w:hAnsi="Times New Roman" w:cs="Times New Roman"/>
          <w:i/>
          <w:iCs/>
          <w:color w:val="000000" w:themeColor="text1"/>
          <w:sz w:val="24"/>
          <w:szCs w:val="24"/>
        </w:rPr>
        <w:t xml:space="preserve"> NE=</w:t>
      </w:r>
      <w:r w:rsidR="001446C3" w:rsidRPr="00191ACB">
        <w:rPr>
          <w:rFonts w:ascii="Times New Roman" w:hAnsi="Times New Roman" w:cs="Times New Roman"/>
          <w:i/>
          <w:iCs/>
          <w:color w:val="000000" w:themeColor="text1"/>
          <w:sz w:val="24"/>
          <w:szCs w:val="24"/>
        </w:rPr>
        <w:t xml:space="preserve"> Not </w:t>
      </w:r>
      <w:r w:rsidR="003B1D26" w:rsidRPr="00191ACB">
        <w:rPr>
          <w:rFonts w:ascii="Times New Roman" w:hAnsi="Times New Roman" w:cs="Times New Roman"/>
          <w:i/>
          <w:iCs/>
          <w:color w:val="000000" w:themeColor="text1"/>
          <w:sz w:val="24"/>
          <w:szCs w:val="24"/>
        </w:rPr>
        <w:t>estimated,</w:t>
      </w:r>
      <w:r w:rsidRPr="00191ACB">
        <w:rPr>
          <w:rFonts w:ascii="Times New Roman" w:hAnsi="Times New Roman" w:cs="Times New Roman"/>
          <w:i/>
          <w:iCs/>
          <w:color w:val="000000" w:themeColor="text1"/>
          <w:sz w:val="24"/>
          <w:szCs w:val="24"/>
        </w:rPr>
        <w:t xml:space="preserve"> NO= </w:t>
      </w:r>
      <w:r w:rsidR="001446C3" w:rsidRPr="00191ACB">
        <w:rPr>
          <w:rFonts w:ascii="Times New Roman" w:hAnsi="Times New Roman" w:cs="Times New Roman"/>
          <w:i/>
          <w:iCs/>
          <w:color w:val="000000" w:themeColor="text1"/>
          <w:sz w:val="24"/>
          <w:szCs w:val="24"/>
        </w:rPr>
        <w:t xml:space="preserve">Not </w:t>
      </w:r>
      <w:r w:rsidR="003B1D26" w:rsidRPr="00191ACB">
        <w:rPr>
          <w:rFonts w:ascii="Times New Roman" w:hAnsi="Times New Roman" w:cs="Times New Roman"/>
          <w:i/>
          <w:iCs/>
          <w:color w:val="000000" w:themeColor="text1"/>
          <w:sz w:val="24"/>
          <w:szCs w:val="24"/>
        </w:rPr>
        <w:t>occurring</w:t>
      </w:r>
      <w:r w:rsidRPr="00191ACB">
        <w:rPr>
          <w:rFonts w:ascii="Times New Roman" w:hAnsi="Times New Roman" w:cs="Times New Roman"/>
          <w:i/>
          <w:iCs/>
          <w:color w:val="000000" w:themeColor="text1"/>
          <w:sz w:val="24"/>
          <w:szCs w:val="24"/>
        </w:rPr>
        <w:t xml:space="preserve">, </w:t>
      </w:r>
    </w:p>
    <w:p w14:paraId="634A39BE" w14:textId="77777777" w:rsidR="00AA1A3F" w:rsidRPr="00191ACB" w:rsidRDefault="00AA1A3F" w:rsidP="006B1FB2">
      <w:pPr>
        <w:pStyle w:val="NoSpacing"/>
        <w:rPr>
          <w:rFonts w:ascii="Times New Roman" w:hAnsi="Times New Roman" w:cs="Times New Roman"/>
          <w:color w:val="000000" w:themeColor="text1"/>
          <w:sz w:val="24"/>
          <w:szCs w:val="24"/>
        </w:rPr>
        <w:sectPr w:rsidR="00AA1A3F" w:rsidRPr="00191ACB" w:rsidSect="006C1D45">
          <w:pgSz w:w="15840" w:h="12240" w:orient="landscape"/>
          <w:pgMar w:top="1009" w:right="1009" w:bottom="1440" w:left="1009" w:header="720" w:footer="720" w:gutter="0"/>
          <w:cols w:space="720"/>
        </w:sectPr>
      </w:pPr>
    </w:p>
    <w:p w14:paraId="3B68A8AC" w14:textId="2C3C9148" w:rsidR="006B1FB2" w:rsidRPr="00191ACB" w:rsidRDefault="00522293" w:rsidP="00522293">
      <w:pPr>
        <w:pStyle w:val="Caption"/>
        <w:rPr>
          <w:color w:val="000000" w:themeColor="text1"/>
          <w:sz w:val="24"/>
          <w:szCs w:val="24"/>
        </w:rPr>
      </w:pPr>
      <w:bookmarkStart w:id="106" w:name="_Toc56583766"/>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5</w:t>
      </w:r>
      <w:r w:rsidR="00875942">
        <w:rPr>
          <w:sz w:val="24"/>
          <w:szCs w:val="24"/>
        </w:rPr>
        <w:fldChar w:fldCharType="end"/>
      </w:r>
      <w:r w:rsidRPr="00191ACB">
        <w:rPr>
          <w:sz w:val="24"/>
          <w:szCs w:val="24"/>
        </w:rPr>
        <w:t>:Summary Reporting Table for 2016</w:t>
      </w:r>
      <w:bookmarkEnd w:id="106"/>
    </w:p>
    <w:tbl>
      <w:tblPr>
        <w:tblW w:w="5000" w:type="pct"/>
        <w:tblLayout w:type="fixed"/>
        <w:tblLook w:val="04A0" w:firstRow="1" w:lastRow="0" w:firstColumn="1" w:lastColumn="0" w:noHBand="0" w:noVBand="1"/>
      </w:tblPr>
      <w:tblGrid>
        <w:gridCol w:w="3674"/>
        <w:gridCol w:w="994"/>
        <w:gridCol w:w="707"/>
        <w:gridCol w:w="850"/>
        <w:gridCol w:w="709"/>
        <w:gridCol w:w="709"/>
        <w:gridCol w:w="566"/>
        <w:gridCol w:w="994"/>
        <w:gridCol w:w="1135"/>
        <w:gridCol w:w="850"/>
        <w:gridCol w:w="991"/>
        <w:gridCol w:w="850"/>
        <w:gridCol w:w="773"/>
      </w:tblGrid>
      <w:tr w:rsidR="006B1FB2" w:rsidRPr="00191ACB" w14:paraId="2E8D0748" w14:textId="77777777" w:rsidTr="006B1FB2">
        <w:trPr>
          <w:trHeight w:val="288"/>
          <w:tblHeader/>
        </w:trPr>
        <w:tc>
          <w:tcPr>
            <w:tcW w:w="1331" w:type="pct"/>
            <w:vMerge w:val="restart"/>
            <w:tcBorders>
              <w:top w:val="single" w:sz="8" w:space="0" w:color="auto"/>
              <w:left w:val="single" w:sz="8" w:space="0" w:color="auto"/>
              <w:bottom w:val="single" w:sz="8" w:space="0" w:color="000000"/>
              <w:right w:val="single" w:sz="8" w:space="0" w:color="auto"/>
            </w:tcBorders>
            <w:shd w:val="clear" w:color="000000" w:fill="5987D6"/>
            <w:vAlign w:val="center"/>
            <w:hideMark/>
          </w:tcPr>
          <w:p w14:paraId="391BAC25"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924" w:type="pct"/>
            <w:gridSpan w:val="3"/>
            <w:tcBorders>
              <w:top w:val="single" w:sz="8" w:space="0" w:color="auto"/>
              <w:left w:val="nil"/>
              <w:bottom w:val="nil"/>
              <w:right w:val="single" w:sz="8" w:space="0" w:color="000000"/>
            </w:tcBorders>
            <w:shd w:val="clear" w:color="000000" w:fill="5987D6"/>
            <w:vAlign w:val="center"/>
            <w:hideMark/>
          </w:tcPr>
          <w:p w14:paraId="75A7E33A"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Emissions</w:t>
            </w:r>
          </w:p>
        </w:tc>
        <w:tc>
          <w:tcPr>
            <w:tcW w:w="1079" w:type="pct"/>
            <w:gridSpan w:val="4"/>
            <w:tcBorders>
              <w:top w:val="single" w:sz="8" w:space="0" w:color="auto"/>
              <w:left w:val="nil"/>
              <w:bottom w:val="nil"/>
              <w:right w:val="single" w:sz="8" w:space="0" w:color="000000"/>
            </w:tcBorders>
            <w:shd w:val="clear" w:color="000000" w:fill="5987D6"/>
            <w:vAlign w:val="center"/>
            <w:hideMark/>
          </w:tcPr>
          <w:p w14:paraId="44C51577"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Emissions</w:t>
            </w:r>
          </w:p>
        </w:tc>
        <w:tc>
          <w:tcPr>
            <w:tcW w:w="1666" w:type="pct"/>
            <w:gridSpan w:val="5"/>
            <w:tcBorders>
              <w:top w:val="single" w:sz="8" w:space="0" w:color="auto"/>
              <w:left w:val="nil"/>
              <w:bottom w:val="nil"/>
              <w:right w:val="single" w:sz="8" w:space="0" w:color="000000"/>
            </w:tcBorders>
            <w:shd w:val="clear" w:color="000000" w:fill="5987D6"/>
            <w:vAlign w:val="center"/>
            <w:hideMark/>
          </w:tcPr>
          <w:p w14:paraId="57D55790"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Emissions</w:t>
            </w:r>
          </w:p>
        </w:tc>
      </w:tr>
      <w:tr w:rsidR="006B1FB2" w:rsidRPr="00191ACB" w14:paraId="162B899A" w14:textId="77777777" w:rsidTr="006B1FB2">
        <w:trPr>
          <w:trHeight w:val="300"/>
          <w:tblHeader/>
        </w:trPr>
        <w:tc>
          <w:tcPr>
            <w:tcW w:w="1331" w:type="pct"/>
            <w:vMerge/>
            <w:tcBorders>
              <w:top w:val="single" w:sz="8" w:space="0" w:color="auto"/>
              <w:left w:val="single" w:sz="8" w:space="0" w:color="auto"/>
              <w:bottom w:val="single" w:sz="8" w:space="0" w:color="000000"/>
              <w:right w:val="single" w:sz="8" w:space="0" w:color="auto"/>
            </w:tcBorders>
            <w:vAlign w:val="center"/>
            <w:hideMark/>
          </w:tcPr>
          <w:p w14:paraId="735D121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p>
        </w:tc>
        <w:tc>
          <w:tcPr>
            <w:tcW w:w="924" w:type="pct"/>
            <w:gridSpan w:val="3"/>
            <w:tcBorders>
              <w:top w:val="nil"/>
              <w:left w:val="nil"/>
              <w:bottom w:val="single" w:sz="8" w:space="0" w:color="auto"/>
              <w:right w:val="single" w:sz="8" w:space="0" w:color="000000"/>
            </w:tcBorders>
            <w:shd w:val="clear" w:color="000000" w:fill="5987D6"/>
            <w:vAlign w:val="center"/>
            <w:hideMark/>
          </w:tcPr>
          <w:p w14:paraId="548B303A"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(Gg)</w:t>
            </w:r>
          </w:p>
        </w:tc>
        <w:tc>
          <w:tcPr>
            <w:tcW w:w="1079" w:type="pct"/>
            <w:gridSpan w:val="4"/>
            <w:tcBorders>
              <w:top w:val="nil"/>
              <w:left w:val="nil"/>
              <w:bottom w:val="single" w:sz="8" w:space="0" w:color="auto"/>
              <w:right w:val="single" w:sz="8" w:space="0" w:color="000000"/>
            </w:tcBorders>
            <w:shd w:val="clear" w:color="000000" w:fill="5987D6"/>
            <w:vAlign w:val="center"/>
            <w:hideMark/>
          </w:tcPr>
          <w:p w14:paraId="7AC60C4A"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CO</w:t>
            </w:r>
            <w:r w:rsidRPr="00191ACB">
              <w:rPr>
                <w:rFonts w:ascii="Times New Roman" w:eastAsia="Times New Roman" w:hAnsi="Times New Roman" w:cs="Times New Roman"/>
                <w:color w:val="000000" w:themeColor="text1"/>
                <w:sz w:val="24"/>
                <w:szCs w:val="24"/>
                <w:vertAlign w:val="subscript"/>
              </w:rPr>
              <w:t>2</w:t>
            </w:r>
            <w:r w:rsidRPr="00191ACB">
              <w:rPr>
                <w:rFonts w:ascii="Times New Roman" w:eastAsia="Times New Roman" w:hAnsi="Times New Roman" w:cs="Times New Roman"/>
                <w:color w:val="000000" w:themeColor="text1"/>
                <w:sz w:val="24"/>
                <w:szCs w:val="24"/>
              </w:rPr>
              <w:t xml:space="preserve"> Equivalents (Gg)</w:t>
            </w:r>
          </w:p>
        </w:tc>
        <w:tc>
          <w:tcPr>
            <w:tcW w:w="1666" w:type="pct"/>
            <w:gridSpan w:val="5"/>
            <w:tcBorders>
              <w:top w:val="nil"/>
              <w:left w:val="nil"/>
              <w:bottom w:val="single" w:sz="8" w:space="0" w:color="auto"/>
              <w:right w:val="single" w:sz="8" w:space="0" w:color="000000"/>
            </w:tcBorders>
            <w:shd w:val="clear" w:color="000000" w:fill="5987D6"/>
            <w:vAlign w:val="center"/>
            <w:hideMark/>
          </w:tcPr>
          <w:p w14:paraId="1AD27051"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(Gg)</w:t>
            </w:r>
          </w:p>
        </w:tc>
      </w:tr>
      <w:tr w:rsidR="006B1FB2" w:rsidRPr="00191ACB" w14:paraId="52849586" w14:textId="77777777" w:rsidTr="006B1FB2">
        <w:trPr>
          <w:trHeight w:val="1440"/>
          <w:tblHeader/>
        </w:trPr>
        <w:tc>
          <w:tcPr>
            <w:tcW w:w="1331" w:type="pct"/>
            <w:tcBorders>
              <w:top w:val="nil"/>
              <w:left w:val="single" w:sz="8" w:space="0" w:color="auto"/>
              <w:bottom w:val="single" w:sz="8" w:space="0" w:color="auto"/>
              <w:right w:val="single" w:sz="8" w:space="0" w:color="auto"/>
            </w:tcBorders>
            <w:shd w:val="clear" w:color="000000" w:fill="5987D6"/>
            <w:vAlign w:val="center"/>
            <w:hideMark/>
          </w:tcPr>
          <w:p w14:paraId="1F4A98F0"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Categories</w:t>
            </w:r>
          </w:p>
        </w:tc>
        <w:tc>
          <w:tcPr>
            <w:tcW w:w="360" w:type="pct"/>
            <w:tcBorders>
              <w:top w:val="nil"/>
              <w:left w:val="nil"/>
              <w:bottom w:val="single" w:sz="8" w:space="0" w:color="auto"/>
              <w:right w:val="single" w:sz="8" w:space="0" w:color="auto"/>
            </w:tcBorders>
            <w:shd w:val="clear" w:color="000000" w:fill="5987D6"/>
            <w:vAlign w:val="center"/>
            <w:hideMark/>
          </w:tcPr>
          <w:p w14:paraId="0BD9E750"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Net CO</w:t>
            </w:r>
            <w:r w:rsidRPr="00191ACB">
              <w:rPr>
                <w:rFonts w:ascii="Times New Roman" w:eastAsia="Times New Roman" w:hAnsi="Times New Roman" w:cs="Times New Roman"/>
                <w:color w:val="000000" w:themeColor="text1"/>
                <w:sz w:val="24"/>
                <w:szCs w:val="24"/>
                <w:vertAlign w:val="subscript"/>
              </w:rPr>
              <w:t>2</w:t>
            </w:r>
            <w:r w:rsidRPr="00191ACB">
              <w:rPr>
                <w:rFonts w:ascii="Times New Roman" w:eastAsia="Times New Roman" w:hAnsi="Times New Roman" w:cs="Times New Roman"/>
                <w:color w:val="000000" w:themeColor="text1"/>
                <w:sz w:val="24"/>
                <w:szCs w:val="24"/>
              </w:rPr>
              <w:t xml:space="preserve"> </w:t>
            </w:r>
          </w:p>
        </w:tc>
        <w:tc>
          <w:tcPr>
            <w:tcW w:w="256" w:type="pct"/>
            <w:tcBorders>
              <w:top w:val="nil"/>
              <w:left w:val="nil"/>
              <w:bottom w:val="single" w:sz="8" w:space="0" w:color="auto"/>
              <w:right w:val="single" w:sz="8" w:space="0" w:color="auto"/>
            </w:tcBorders>
            <w:shd w:val="clear" w:color="000000" w:fill="5987D6"/>
            <w:vAlign w:val="center"/>
            <w:hideMark/>
          </w:tcPr>
          <w:p w14:paraId="418B9D69"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CH</w:t>
            </w:r>
            <w:r w:rsidRPr="00191ACB">
              <w:rPr>
                <w:rFonts w:ascii="Times New Roman" w:eastAsia="Times New Roman" w:hAnsi="Times New Roman" w:cs="Times New Roman"/>
                <w:color w:val="000000" w:themeColor="text1"/>
                <w:sz w:val="24"/>
                <w:szCs w:val="24"/>
                <w:vertAlign w:val="subscript"/>
              </w:rPr>
              <w:t>4</w:t>
            </w:r>
          </w:p>
        </w:tc>
        <w:tc>
          <w:tcPr>
            <w:tcW w:w="308" w:type="pct"/>
            <w:tcBorders>
              <w:top w:val="nil"/>
              <w:left w:val="nil"/>
              <w:bottom w:val="single" w:sz="8" w:space="0" w:color="auto"/>
              <w:right w:val="single" w:sz="8" w:space="0" w:color="auto"/>
            </w:tcBorders>
            <w:shd w:val="clear" w:color="000000" w:fill="5987D6"/>
            <w:vAlign w:val="center"/>
            <w:hideMark/>
          </w:tcPr>
          <w:p w14:paraId="2422AB93"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w:t>
            </w:r>
            <w:r w:rsidRPr="00191ACB">
              <w:rPr>
                <w:rFonts w:ascii="Times New Roman" w:eastAsia="Times New Roman" w:hAnsi="Times New Roman" w:cs="Times New Roman"/>
                <w:color w:val="000000" w:themeColor="text1"/>
                <w:sz w:val="24"/>
                <w:szCs w:val="24"/>
                <w:vertAlign w:val="subscript"/>
              </w:rPr>
              <w:t>2</w:t>
            </w:r>
            <w:r w:rsidRPr="00191ACB">
              <w:rPr>
                <w:rFonts w:ascii="Times New Roman" w:eastAsia="Times New Roman" w:hAnsi="Times New Roman" w:cs="Times New Roman"/>
                <w:color w:val="000000" w:themeColor="text1"/>
                <w:sz w:val="24"/>
                <w:szCs w:val="24"/>
              </w:rPr>
              <w:t>O</w:t>
            </w:r>
          </w:p>
        </w:tc>
        <w:tc>
          <w:tcPr>
            <w:tcW w:w="257" w:type="pct"/>
            <w:tcBorders>
              <w:top w:val="nil"/>
              <w:left w:val="nil"/>
              <w:bottom w:val="single" w:sz="8" w:space="0" w:color="auto"/>
              <w:right w:val="single" w:sz="8" w:space="0" w:color="auto"/>
            </w:tcBorders>
            <w:shd w:val="clear" w:color="000000" w:fill="5987D6"/>
            <w:vAlign w:val="center"/>
            <w:hideMark/>
          </w:tcPr>
          <w:p w14:paraId="611CE57E"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HFCs</w:t>
            </w:r>
          </w:p>
        </w:tc>
        <w:tc>
          <w:tcPr>
            <w:tcW w:w="257" w:type="pct"/>
            <w:tcBorders>
              <w:top w:val="nil"/>
              <w:left w:val="nil"/>
              <w:bottom w:val="single" w:sz="8" w:space="0" w:color="auto"/>
              <w:right w:val="single" w:sz="8" w:space="0" w:color="auto"/>
            </w:tcBorders>
            <w:shd w:val="clear" w:color="000000" w:fill="5987D6"/>
            <w:vAlign w:val="center"/>
            <w:hideMark/>
          </w:tcPr>
          <w:p w14:paraId="2C9CEA5E"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PFCs</w:t>
            </w:r>
          </w:p>
        </w:tc>
        <w:tc>
          <w:tcPr>
            <w:tcW w:w="205" w:type="pct"/>
            <w:tcBorders>
              <w:top w:val="nil"/>
              <w:left w:val="nil"/>
              <w:bottom w:val="single" w:sz="8" w:space="0" w:color="auto"/>
              <w:right w:val="single" w:sz="8" w:space="0" w:color="auto"/>
            </w:tcBorders>
            <w:shd w:val="clear" w:color="000000" w:fill="5987D6"/>
            <w:vAlign w:val="center"/>
            <w:hideMark/>
          </w:tcPr>
          <w:p w14:paraId="1AD7D897"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SF</w:t>
            </w:r>
            <w:r w:rsidRPr="00191ACB">
              <w:rPr>
                <w:rFonts w:ascii="Times New Roman" w:eastAsia="Times New Roman" w:hAnsi="Times New Roman" w:cs="Times New Roman"/>
                <w:color w:val="000000" w:themeColor="text1"/>
                <w:sz w:val="24"/>
                <w:szCs w:val="24"/>
                <w:vertAlign w:val="subscript"/>
              </w:rPr>
              <w:t>6</w:t>
            </w:r>
          </w:p>
        </w:tc>
        <w:tc>
          <w:tcPr>
            <w:tcW w:w="360" w:type="pct"/>
            <w:tcBorders>
              <w:top w:val="nil"/>
              <w:left w:val="nil"/>
              <w:bottom w:val="single" w:sz="8" w:space="0" w:color="auto"/>
              <w:right w:val="single" w:sz="8" w:space="0" w:color="auto"/>
            </w:tcBorders>
            <w:shd w:val="clear" w:color="000000" w:fill="5987D6"/>
            <w:vAlign w:val="center"/>
            <w:hideMark/>
          </w:tcPr>
          <w:p w14:paraId="659CD46C"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Other halogenated gases with CO</w:t>
            </w:r>
            <w:r w:rsidRPr="00191ACB">
              <w:rPr>
                <w:rFonts w:ascii="Times New Roman" w:eastAsia="Times New Roman" w:hAnsi="Times New Roman" w:cs="Times New Roman"/>
                <w:color w:val="000000" w:themeColor="text1"/>
                <w:sz w:val="24"/>
                <w:szCs w:val="24"/>
                <w:vertAlign w:val="subscript"/>
              </w:rPr>
              <w:t>2</w:t>
            </w:r>
            <w:r w:rsidRPr="00191ACB">
              <w:rPr>
                <w:rFonts w:ascii="Times New Roman" w:eastAsia="Times New Roman" w:hAnsi="Times New Roman" w:cs="Times New Roman"/>
                <w:color w:val="000000" w:themeColor="text1"/>
                <w:sz w:val="24"/>
                <w:szCs w:val="24"/>
              </w:rPr>
              <w:t xml:space="preserve"> equivalent conversion factors</w:t>
            </w:r>
          </w:p>
        </w:tc>
        <w:tc>
          <w:tcPr>
            <w:tcW w:w="411" w:type="pct"/>
            <w:tcBorders>
              <w:top w:val="nil"/>
              <w:left w:val="nil"/>
              <w:bottom w:val="single" w:sz="8" w:space="0" w:color="auto"/>
              <w:right w:val="single" w:sz="8" w:space="0" w:color="auto"/>
            </w:tcBorders>
            <w:shd w:val="clear" w:color="000000" w:fill="5987D6"/>
            <w:vAlign w:val="center"/>
            <w:hideMark/>
          </w:tcPr>
          <w:p w14:paraId="4C8E1C95"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Other halogenated gases without CO</w:t>
            </w:r>
            <w:r w:rsidRPr="00191ACB">
              <w:rPr>
                <w:rFonts w:ascii="Times New Roman" w:eastAsia="Times New Roman" w:hAnsi="Times New Roman" w:cs="Times New Roman"/>
                <w:color w:val="000000" w:themeColor="text1"/>
                <w:sz w:val="24"/>
                <w:szCs w:val="24"/>
                <w:vertAlign w:val="subscript"/>
              </w:rPr>
              <w:t>2</w:t>
            </w:r>
            <w:r w:rsidRPr="00191ACB">
              <w:rPr>
                <w:rFonts w:ascii="Times New Roman" w:eastAsia="Times New Roman" w:hAnsi="Times New Roman" w:cs="Times New Roman"/>
                <w:color w:val="000000" w:themeColor="text1"/>
                <w:sz w:val="24"/>
                <w:szCs w:val="24"/>
              </w:rPr>
              <w:t xml:space="preserve"> equivalent conversion factors </w:t>
            </w:r>
          </w:p>
        </w:tc>
        <w:tc>
          <w:tcPr>
            <w:tcW w:w="308" w:type="pct"/>
            <w:tcBorders>
              <w:top w:val="nil"/>
              <w:left w:val="nil"/>
              <w:bottom w:val="single" w:sz="8" w:space="0" w:color="auto"/>
              <w:right w:val="single" w:sz="8" w:space="0" w:color="auto"/>
            </w:tcBorders>
            <w:shd w:val="clear" w:color="000000" w:fill="5987D6"/>
            <w:vAlign w:val="center"/>
            <w:hideMark/>
          </w:tcPr>
          <w:p w14:paraId="02EB68CF"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NOx</w:t>
            </w:r>
          </w:p>
        </w:tc>
        <w:tc>
          <w:tcPr>
            <w:tcW w:w="359" w:type="pct"/>
            <w:tcBorders>
              <w:top w:val="nil"/>
              <w:left w:val="nil"/>
              <w:bottom w:val="single" w:sz="8" w:space="0" w:color="auto"/>
              <w:right w:val="single" w:sz="8" w:space="0" w:color="auto"/>
            </w:tcBorders>
            <w:shd w:val="clear" w:color="000000" w:fill="5987D6"/>
            <w:vAlign w:val="center"/>
            <w:hideMark/>
          </w:tcPr>
          <w:p w14:paraId="1C207729"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CO</w:t>
            </w:r>
          </w:p>
        </w:tc>
        <w:tc>
          <w:tcPr>
            <w:tcW w:w="308" w:type="pct"/>
            <w:tcBorders>
              <w:top w:val="nil"/>
              <w:left w:val="nil"/>
              <w:bottom w:val="single" w:sz="8" w:space="0" w:color="auto"/>
              <w:right w:val="single" w:sz="8" w:space="0" w:color="auto"/>
            </w:tcBorders>
            <w:shd w:val="clear" w:color="000000" w:fill="5987D6"/>
            <w:vAlign w:val="center"/>
            <w:hideMark/>
          </w:tcPr>
          <w:p w14:paraId="24882EF3"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NMVOCs</w:t>
            </w:r>
          </w:p>
        </w:tc>
        <w:tc>
          <w:tcPr>
            <w:tcW w:w="280" w:type="pct"/>
            <w:tcBorders>
              <w:top w:val="nil"/>
              <w:left w:val="nil"/>
              <w:bottom w:val="single" w:sz="8" w:space="0" w:color="auto"/>
              <w:right w:val="single" w:sz="8" w:space="0" w:color="auto"/>
            </w:tcBorders>
            <w:shd w:val="clear" w:color="000000" w:fill="5987D6"/>
            <w:vAlign w:val="center"/>
            <w:hideMark/>
          </w:tcPr>
          <w:p w14:paraId="177DDC99" w14:textId="77777777" w:rsidR="006B1FB2" w:rsidRPr="00191ACB" w:rsidRDefault="006B1FB2" w:rsidP="006B1FB2">
            <w:pPr>
              <w:spacing w:line="240" w:lineRule="auto"/>
              <w:jc w:val="center"/>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SO</w:t>
            </w:r>
            <w:r w:rsidRPr="00191ACB">
              <w:rPr>
                <w:rFonts w:ascii="Times New Roman" w:eastAsia="Times New Roman" w:hAnsi="Times New Roman" w:cs="Times New Roman"/>
                <w:color w:val="000000" w:themeColor="text1"/>
                <w:sz w:val="24"/>
                <w:szCs w:val="24"/>
                <w:vertAlign w:val="subscript"/>
              </w:rPr>
              <w:t>2</w:t>
            </w:r>
          </w:p>
        </w:tc>
      </w:tr>
      <w:tr w:rsidR="006B1FB2" w:rsidRPr="00191ACB" w14:paraId="404125C4"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3691B82"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Total National Emissions and Removals </w:t>
            </w:r>
          </w:p>
        </w:tc>
        <w:tc>
          <w:tcPr>
            <w:tcW w:w="360" w:type="pct"/>
            <w:tcBorders>
              <w:top w:val="nil"/>
              <w:left w:val="nil"/>
              <w:bottom w:val="single" w:sz="8" w:space="0" w:color="auto"/>
              <w:right w:val="single" w:sz="8" w:space="0" w:color="auto"/>
            </w:tcBorders>
            <w:shd w:val="clear" w:color="000000" w:fill="90EE90"/>
            <w:noWrap/>
            <w:vAlign w:val="center"/>
            <w:hideMark/>
          </w:tcPr>
          <w:p w14:paraId="32511E4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-25438.34</w:t>
            </w:r>
          </w:p>
        </w:tc>
        <w:tc>
          <w:tcPr>
            <w:tcW w:w="256" w:type="pct"/>
            <w:tcBorders>
              <w:top w:val="nil"/>
              <w:left w:val="nil"/>
              <w:bottom w:val="single" w:sz="8" w:space="0" w:color="auto"/>
              <w:right w:val="single" w:sz="8" w:space="0" w:color="auto"/>
            </w:tcBorders>
            <w:shd w:val="clear" w:color="000000" w:fill="90EE90"/>
            <w:noWrap/>
            <w:vAlign w:val="center"/>
            <w:hideMark/>
          </w:tcPr>
          <w:p w14:paraId="6D041BC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543.48</w:t>
            </w:r>
          </w:p>
        </w:tc>
        <w:tc>
          <w:tcPr>
            <w:tcW w:w="308" w:type="pct"/>
            <w:tcBorders>
              <w:top w:val="nil"/>
              <w:left w:val="nil"/>
              <w:bottom w:val="single" w:sz="8" w:space="0" w:color="auto"/>
              <w:right w:val="single" w:sz="8" w:space="0" w:color="auto"/>
            </w:tcBorders>
            <w:shd w:val="clear" w:color="000000" w:fill="90EE90"/>
            <w:noWrap/>
            <w:vAlign w:val="center"/>
            <w:hideMark/>
          </w:tcPr>
          <w:p w14:paraId="51AB91A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14.21</w:t>
            </w:r>
          </w:p>
        </w:tc>
        <w:tc>
          <w:tcPr>
            <w:tcW w:w="257" w:type="pct"/>
            <w:tcBorders>
              <w:top w:val="nil"/>
              <w:left w:val="nil"/>
              <w:bottom w:val="single" w:sz="8" w:space="0" w:color="auto"/>
              <w:right w:val="single" w:sz="8" w:space="0" w:color="auto"/>
            </w:tcBorders>
            <w:shd w:val="clear" w:color="000000" w:fill="90EE90"/>
            <w:noWrap/>
            <w:vAlign w:val="center"/>
            <w:hideMark/>
          </w:tcPr>
          <w:p w14:paraId="3DFF185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111.25</w:t>
            </w:r>
          </w:p>
        </w:tc>
        <w:tc>
          <w:tcPr>
            <w:tcW w:w="257" w:type="pct"/>
            <w:tcBorders>
              <w:top w:val="nil"/>
              <w:left w:val="nil"/>
              <w:bottom w:val="single" w:sz="8" w:space="0" w:color="auto"/>
              <w:right w:val="single" w:sz="8" w:space="0" w:color="auto"/>
            </w:tcBorders>
            <w:shd w:val="clear" w:color="000000" w:fill="90EE90"/>
            <w:noWrap/>
            <w:vAlign w:val="center"/>
            <w:hideMark/>
          </w:tcPr>
          <w:p w14:paraId="7E54D02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05" w:type="pct"/>
            <w:tcBorders>
              <w:top w:val="nil"/>
              <w:left w:val="nil"/>
              <w:bottom w:val="single" w:sz="8" w:space="0" w:color="auto"/>
              <w:right w:val="single" w:sz="8" w:space="0" w:color="auto"/>
            </w:tcBorders>
            <w:shd w:val="clear" w:color="000000" w:fill="90EE90"/>
            <w:noWrap/>
            <w:vAlign w:val="center"/>
            <w:hideMark/>
          </w:tcPr>
          <w:p w14:paraId="16C2B4F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0.19</w:t>
            </w:r>
          </w:p>
        </w:tc>
        <w:tc>
          <w:tcPr>
            <w:tcW w:w="360" w:type="pct"/>
            <w:tcBorders>
              <w:top w:val="nil"/>
              <w:left w:val="nil"/>
              <w:bottom w:val="single" w:sz="8" w:space="0" w:color="auto"/>
              <w:right w:val="single" w:sz="8" w:space="0" w:color="auto"/>
            </w:tcBorders>
            <w:shd w:val="clear" w:color="000000" w:fill="90EE90"/>
            <w:noWrap/>
            <w:vAlign w:val="center"/>
            <w:hideMark/>
          </w:tcPr>
          <w:p w14:paraId="46A492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11" w:type="pct"/>
            <w:tcBorders>
              <w:top w:val="nil"/>
              <w:left w:val="nil"/>
              <w:bottom w:val="single" w:sz="8" w:space="0" w:color="auto"/>
              <w:right w:val="single" w:sz="8" w:space="0" w:color="auto"/>
            </w:tcBorders>
            <w:shd w:val="clear" w:color="000000" w:fill="90EE90"/>
            <w:noWrap/>
            <w:vAlign w:val="center"/>
            <w:hideMark/>
          </w:tcPr>
          <w:p w14:paraId="32853E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3CBF169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1645.27</w:t>
            </w:r>
          </w:p>
        </w:tc>
        <w:tc>
          <w:tcPr>
            <w:tcW w:w="359" w:type="pct"/>
            <w:tcBorders>
              <w:top w:val="nil"/>
              <w:left w:val="nil"/>
              <w:bottom w:val="single" w:sz="8" w:space="0" w:color="auto"/>
              <w:right w:val="single" w:sz="8" w:space="0" w:color="auto"/>
            </w:tcBorders>
            <w:shd w:val="clear" w:color="000000" w:fill="90EE90"/>
            <w:noWrap/>
            <w:vAlign w:val="center"/>
            <w:hideMark/>
          </w:tcPr>
          <w:p w14:paraId="09D1D89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48758.37</w:t>
            </w:r>
          </w:p>
        </w:tc>
        <w:tc>
          <w:tcPr>
            <w:tcW w:w="308" w:type="pct"/>
            <w:tcBorders>
              <w:top w:val="nil"/>
              <w:left w:val="nil"/>
              <w:bottom w:val="single" w:sz="8" w:space="0" w:color="auto"/>
              <w:right w:val="single" w:sz="8" w:space="0" w:color="auto"/>
            </w:tcBorders>
            <w:shd w:val="clear" w:color="000000" w:fill="90EE90"/>
            <w:noWrap/>
            <w:vAlign w:val="center"/>
            <w:hideMark/>
          </w:tcPr>
          <w:p w14:paraId="526E4AB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4799.09</w:t>
            </w:r>
          </w:p>
        </w:tc>
        <w:tc>
          <w:tcPr>
            <w:tcW w:w="280" w:type="pct"/>
            <w:tcBorders>
              <w:top w:val="nil"/>
              <w:left w:val="nil"/>
              <w:bottom w:val="single" w:sz="8" w:space="0" w:color="auto"/>
              <w:right w:val="single" w:sz="8" w:space="0" w:color="auto"/>
            </w:tcBorders>
            <w:shd w:val="clear" w:color="000000" w:fill="90EE90"/>
            <w:noWrap/>
            <w:vAlign w:val="center"/>
            <w:hideMark/>
          </w:tcPr>
          <w:p w14:paraId="6C34CA4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357.69</w:t>
            </w:r>
          </w:p>
        </w:tc>
      </w:tr>
      <w:tr w:rsidR="006B1FB2" w:rsidRPr="00191ACB" w14:paraId="6A7C9C9E"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1E52A28D"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1 - Energy </w:t>
            </w:r>
          </w:p>
        </w:tc>
        <w:tc>
          <w:tcPr>
            <w:tcW w:w="360" w:type="pct"/>
            <w:tcBorders>
              <w:top w:val="nil"/>
              <w:left w:val="nil"/>
              <w:bottom w:val="single" w:sz="8" w:space="0" w:color="auto"/>
              <w:right w:val="single" w:sz="8" w:space="0" w:color="auto"/>
            </w:tcBorders>
            <w:shd w:val="clear" w:color="000000" w:fill="90EE90"/>
            <w:noWrap/>
            <w:vAlign w:val="center"/>
            <w:hideMark/>
          </w:tcPr>
          <w:p w14:paraId="6332C69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6137.42</w:t>
            </w:r>
          </w:p>
        </w:tc>
        <w:tc>
          <w:tcPr>
            <w:tcW w:w="256" w:type="pct"/>
            <w:tcBorders>
              <w:top w:val="nil"/>
              <w:left w:val="nil"/>
              <w:bottom w:val="single" w:sz="8" w:space="0" w:color="auto"/>
              <w:right w:val="single" w:sz="8" w:space="0" w:color="auto"/>
            </w:tcBorders>
            <w:shd w:val="clear" w:color="000000" w:fill="90EE90"/>
            <w:noWrap/>
            <w:vAlign w:val="center"/>
            <w:hideMark/>
          </w:tcPr>
          <w:p w14:paraId="2DF9D17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4.765</w:t>
            </w:r>
          </w:p>
        </w:tc>
        <w:tc>
          <w:tcPr>
            <w:tcW w:w="308" w:type="pct"/>
            <w:tcBorders>
              <w:top w:val="nil"/>
              <w:left w:val="nil"/>
              <w:bottom w:val="single" w:sz="8" w:space="0" w:color="auto"/>
              <w:right w:val="single" w:sz="8" w:space="0" w:color="auto"/>
            </w:tcBorders>
            <w:shd w:val="clear" w:color="000000" w:fill="90EE90"/>
            <w:noWrap/>
            <w:vAlign w:val="center"/>
            <w:hideMark/>
          </w:tcPr>
          <w:p w14:paraId="63E4D1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0.665</w:t>
            </w:r>
          </w:p>
        </w:tc>
        <w:tc>
          <w:tcPr>
            <w:tcW w:w="257" w:type="pct"/>
            <w:tcBorders>
              <w:top w:val="nil"/>
              <w:left w:val="nil"/>
              <w:bottom w:val="single" w:sz="8" w:space="0" w:color="auto"/>
              <w:right w:val="single" w:sz="8" w:space="0" w:color="auto"/>
            </w:tcBorders>
            <w:shd w:val="clear" w:color="000000" w:fill="90EE90"/>
            <w:noWrap/>
            <w:vAlign w:val="center"/>
            <w:hideMark/>
          </w:tcPr>
          <w:p w14:paraId="5C476DC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3B4B528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53AA83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4F91F8F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2E0A399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33CC33"/>
            <w:noWrap/>
            <w:vAlign w:val="center"/>
            <w:hideMark/>
          </w:tcPr>
          <w:p w14:paraId="594F04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6.39</w:t>
            </w:r>
          </w:p>
        </w:tc>
        <w:tc>
          <w:tcPr>
            <w:tcW w:w="359" w:type="pct"/>
            <w:tcBorders>
              <w:top w:val="nil"/>
              <w:left w:val="nil"/>
              <w:bottom w:val="single" w:sz="8" w:space="0" w:color="auto"/>
              <w:right w:val="single" w:sz="8" w:space="0" w:color="auto"/>
            </w:tcBorders>
            <w:shd w:val="clear" w:color="000000" w:fill="33CC33"/>
            <w:noWrap/>
            <w:vAlign w:val="center"/>
            <w:hideMark/>
          </w:tcPr>
          <w:p w14:paraId="476CB5B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15.97</w:t>
            </w:r>
          </w:p>
        </w:tc>
        <w:tc>
          <w:tcPr>
            <w:tcW w:w="308" w:type="pct"/>
            <w:tcBorders>
              <w:top w:val="nil"/>
              <w:left w:val="nil"/>
              <w:bottom w:val="single" w:sz="8" w:space="0" w:color="auto"/>
              <w:right w:val="single" w:sz="8" w:space="0" w:color="auto"/>
            </w:tcBorders>
            <w:shd w:val="clear" w:color="000000" w:fill="33CC33"/>
            <w:noWrap/>
            <w:vAlign w:val="center"/>
            <w:hideMark/>
          </w:tcPr>
          <w:p w14:paraId="3084C43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21.61</w:t>
            </w:r>
          </w:p>
        </w:tc>
        <w:tc>
          <w:tcPr>
            <w:tcW w:w="280" w:type="pct"/>
            <w:tcBorders>
              <w:top w:val="nil"/>
              <w:left w:val="nil"/>
              <w:bottom w:val="single" w:sz="8" w:space="0" w:color="auto"/>
              <w:right w:val="single" w:sz="8" w:space="0" w:color="auto"/>
            </w:tcBorders>
            <w:shd w:val="clear" w:color="000000" w:fill="33CC33"/>
            <w:noWrap/>
            <w:vAlign w:val="center"/>
            <w:hideMark/>
          </w:tcPr>
          <w:p w14:paraId="706840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30.71</w:t>
            </w:r>
          </w:p>
        </w:tc>
      </w:tr>
      <w:tr w:rsidR="006B1FB2" w:rsidRPr="00191ACB" w14:paraId="018EFF40"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9913F87"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1.A - Fuel Combustion Activities </w:t>
            </w:r>
          </w:p>
        </w:tc>
        <w:tc>
          <w:tcPr>
            <w:tcW w:w="360" w:type="pct"/>
            <w:tcBorders>
              <w:top w:val="nil"/>
              <w:left w:val="nil"/>
              <w:bottom w:val="single" w:sz="8" w:space="0" w:color="auto"/>
              <w:right w:val="single" w:sz="8" w:space="0" w:color="auto"/>
            </w:tcBorders>
            <w:shd w:val="clear" w:color="000000" w:fill="90EE90"/>
            <w:noWrap/>
            <w:vAlign w:val="center"/>
            <w:hideMark/>
          </w:tcPr>
          <w:p w14:paraId="643EE79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6137.42</w:t>
            </w:r>
          </w:p>
        </w:tc>
        <w:tc>
          <w:tcPr>
            <w:tcW w:w="256" w:type="pct"/>
            <w:tcBorders>
              <w:top w:val="nil"/>
              <w:left w:val="nil"/>
              <w:bottom w:val="single" w:sz="8" w:space="0" w:color="auto"/>
              <w:right w:val="single" w:sz="8" w:space="0" w:color="auto"/>
            </w:tcBorders>
            <w:shd w:val="clear" w:color="000000" w:fill="90EE90"/>
            <w:noWrap/>
            <w:vAlign w:val="center"/>
            <w:hideMark/>
          </w:tcPr>
          <w:p w14:paraId="5C48A6D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4.685</w:t>
            </w:r>
          </w:p>
        </w:tc>
        <w:tc>
          <w:tcPr>
            <w:tcW w:w="308" w:type="pct"/>
            <w:tcBorders>
              <w:top w:val="nil"/>
              <w:left w:val="nil"/>
              <w:bottom w:val="single" w:sz="8" w:space="0" w:color="auto"/>
              <w:right w:val="single" w:sz="8" w:space="0" w:color="auto"/>
            </w:tcBorders>
            <w:shd w:val="clear" w:color="000000" w:fill="90EE90"/>
            <w:noWrap/>
            <w:vAlign w:val="center"/>
            <w:hideMark/>
          </w:tcPr>
          <w:p w14:paraId="6A35450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0.665</w:t>
            </w:r>
          </w:p>
        </w:tc>
        <w:tc>
          <w:tcPr>
            <w:tcW w:w="257" w:type="pct"/>
            <w:tcBorders>
              <w:top w:val="nil"/>
              <w:left w:val="nil"/>
              <w:bottom w:val="single" w:sz="8" w:space="0" w:color="auto"/>
              <w:right w:val="single" w:sz="8" w:space="0" w:color="auto"/>
            </w:tcBorders>
            <w:shd w:val="clear" w:color="000000" w:fill="90EE90"/>
            <w:noWrap/>
            <w:vAlign w:val="center"/>
            <w:hideMark/>
          </w:tcPr>
          <w:p w14:paraId="18A6A70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4C620D2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689EB28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2B33FB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044FACA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33CC33"/>
            <w:noWrap/>
            <w:vAlign w:val="center"/>
            <w:hideMark/>
          </w:tcPr>
          <w:p w14:paraId="7F9E8F6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5.44</w:t>
            </w:r>
          </w:p>
        </w:tc>
        <w:tc>
          <w:tcPr>
            <w:tcW w:w="359" w:type="pct"/>
            <w:tcBorders>
              <w:top w:val="nil"/>
              <w:left w:val="nil"/>
              <w:bottom w:val="single" w:sz="8" w:space="0" w:color="auto"/>
              <w:right w:val="single" w:sz="8" w:space="0" w:color="auto"/>
            </w:tcBorders>
            <w:shd w:val="clear" w:color="000000" w:fill="33CC33"/>
            <w:noWrap/>
            <w:vAlign w:val="center"/>
            <w:hideMark/>
          </w:tcPr>
          <w:p w14:paraId="00F13AD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15.97</w:t>
            </w:r>
          </w:p>
        </w:tc>
        <w:tc>
          <w:tcPr>
            <w:tcW w:w="308" w:type="pct"/>
            <w:tcBorders>
              <w:top w:val="nil"/>
              <w:left w:val="nil"/>
              <w:bottom w:val="single" w:sz="8" w:space="0" w:color="auto"/>
              <w:right w:val="single" w:sz="8" w:space="0" w:color="auto"/>
            </w:tcBorders>
            <w:shd w:val="clear" w:color="000000" w:fill="33CC33"/>
            <w:noWrap/>
            <w:vAlign w:val="center"/>
            <w:hideMark/>
          </w:tcPr>
          <w:p w14:paraId="416C0A4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21.61</w:t>
            </w:r>
          </w:p>
        </w:tc>
        <w:tc>
          <w:tcPr>
            <w:tcW w:w="280" w:type="pct"/>
            <w:tcBorders>
              <w:top w:val="nil"/>
              <w:left w:val="nil"/>
              <w:bottom w:val="single" w:sz="8" w:space="0" w:color="auto"/>
              <w:right w:val="single" w:sz="8" w:space="0" w:color="auto"/>
            </w:tcBorders>
            <w:shd w:val="clear" w:color="000000" w:fill="33CC33"/>
            <w:noWrap/>
            <w:vAlign w:val="center"/>
            <w:hideMark/>
          </w:tcPr>
          <w:p w14:paraId="68D2FF0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30.71</w:t>
            </w:r>
          </w:p>
        </w:tc>
      </w:tr>
      <w:tr w:rsidR="006B1FB2" w:rsidRPr="00191ACB" w14:paraId="708D16EC"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5E2DAD8"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1.A.1 - Energy Industries </w:t>
            </w:r>
          </w:p>
        </w:tc>
        <w:tc>
          <w:tcPr>
            <w:tcW w:w="360" w:type="pct"/>
            <w:tcBorders>
              <w:top w:val="nil"/>
              <w:left w:val="nil"/>
              <w:bottom w:val="single" w:sz="8" w:space="0" w:color="auto"/>
              <w:right w:val="single" w:sz="8" w:space="0" w:color="auto"/>
            </w:tcBorders>
            <w:shd w:val="clear" w:color="auto" w:fill="auto"/>
            <w:noWrap/>
            <w:vAlign w:val="center"/>
            <w:hideMark/>
          </w:tcPr>
          <w:p w14:paraId="4AF26AD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1086.1</w:t>
            </w:r>
          </w:p>
        </w:tc>
        <w:tc>
          <w:tcPr>
            <w:tcW w:w="256" w:type="pct"/>
            <w:tcBorders>
              <w:top w:val="nil"/>
              <w:left w:val="nil"/>
              <w:bottom w:val="single" w:sz="8" w:space="0" w:color="auto"/>
              <w:right w:val="single" w:sz="8" w:space="0" w:color="auto"/>
            </w:tcBorders>
            <w:shd w:val="clear" w:color="auto" w:fill="auto"/>
            <w:noWrap/>
            <w:vAlign w:val="center"/>
            <w:hideMark/>
          </w:tcPr>
          <w:p w14:paraId="50F954E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0.023</w:t>
            </w:r>
          </w:p>
        </w:tc>
        <w:tc>
          <w:tcPr>
            <w:tcW w:w="308" w:type="pct"/>
            <w:tcBorders>
              <w:top w:val="nil"/>
              <w:left w:val="nil"/>
              <w:bottom w:val="single" w:sz="8" w:space="0" w:color="auto"/>
              <w:right w:val="single" w:sz="8" w:space="0" w:color="auto"/>
            </w:tcBorders>
            <w:shd w:val="clear" w:color="auto" w:fill="auto"/>
            <w:noWrap/>
            <w:vAlign w:val="center"/>
            <w:hideMark/>
          </w:tcPr>
          <w:p w14:paraId="083C095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0.014</w:t>
            </w:r>
          </w:p>
        </w:tc>
        <w:tc>
          <w:tcPr>
            <w:tcW w:w="257" w:type="pct"/>
            <w:tcBorders>
              <w:top w:val="nil"/>
              <w:left w:val="nil"/>
              <w:bottom w:val="single" w:sz="8" w:space="0" w:color="auto"/>
              <w:right w:val="single" w:sz="8" w:space="0" w:color="auto"/>
            </w:tcBorders>
            <w:shd w:val="clear" w:color="000000" w:fill="D3D3D3"/>
            <w:noWrap/>
            <w:vAlign w:val="center"/>
            <w:hideMark/>
          </w:tcPr>
          <w:p w14:paraId="023F81D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964B4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0778EFF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4599EE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3D6851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6602E65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w:t>
            </w:r>
          </w:p>
        </w:tc>
        <w:tc>
          <w:tcPr>
            <w:tcW w:w="359" w:type="pct"/>
            <w:tcBorders>
              <w:top w:val="nil"/>
              <w:left w:val="nil"/>
              <w:bottom w:val="single" w:sz="8" w:space="0" w:color="auto"/>
              <w:right w:val="single" w:sz="8" w:space="0" w:color="auto"/>
            </w:tcBorders>
            <w:shd w:val="clear" w:color="auto" w:fill="auto"/>
            <w:noWrap/>
            <w:vAlign w:val="center"/>
            <w:hideMark/>
          </w:tcPr>
          <w:p w14:paraId="184C41E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2.21</w:t>
            </w:r>
          </w:p>
        </w:tc>
        <w:tc>
          <w:tcPr>
            <w:tcW w:w="308" w:type="pct"/>
            <w:tcBorders>
              <w:top w:val="nil"/>
              <w:left w:val="nil"/>
              <w:bottom w:val="single" w:sz="8" w:space="0" w:color="auto"/>
              <w:right w:val="single" w:sz="8" w:space="0" w:color="auto"/>
            </w:tcBorders>
            <w:shd w:val="clear" w:color="auto" w:fill="auto"/>
            <w:noWrap/>
            <w:vAlign w:val="center"/>
            <w:hideMark/>
          </w:tcPr>
          <w:p w14:paraId="4088CC4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8.28</w:t>
            </w:r>
          </w:p>
        </w:tc>
        <w:tc>
          <w:tcPr>
            <w:tcW w:w="280" w:type="pct"/>
            <w:tcBorders>
              <w:top w:val="nil"/>
              <w:left w:val="nil"/>
              <w:bottom w:val="single" w:sz="8" w:space="0" w:color="auto"/>
              <w:right w:val="single" w:sz="8" w:space="0" w:color="auto"/>
            </w:tcBorders>
            <w:shd w:val="clear" w:color="auto" w:fill="auto"/>
            <w:noWrap/>
            <w:vAlign w:val="center"/>
            <w:hideMark/>
          </w:tcPr>
          <w:p w14:paraId="5B12853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0.14</w:t>
            </w:r>
          </w:p>
        </w:tc>
      </w:tr>
      <w:tr w:rsidR="006B1FB2" w:rsidRPr="00191ACB" w14:paraId="4EF74B04"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FB53F50"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1.A.2 - Manufacturing Industries and Construction </w:t>
            </w:r>
          </w:p>
        </w:tc>
        <w:tc>
          <w:tcPr>
            <w:tcW w:w="360" w:type="pct"/>
            <w:tcBorders>
              <w:top w:val="nil"/>
              <w:left w:val="nil"/>
              <w:bottom w:val="single" w:sz="8" w:space="0" w:color="auto"/>
              <w:right w:val="single" w:sz="8" w:space="0" w:color="auto"/>
            </w:tcBorders>
            <w:shd w:val="clear" w:color="auto" w:fill="auto"/>
            <w:noWrap/>
            <w:vAlign w:val="center"/>
            <w:hideMark/>
          </w:tcPr>
          <w:p w14:paraId="174AC95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2245</w:t>
            </w:r>
          </w:p>
        </w:tc>
        <w:tc>
          <w:tcPr>
            <w:tcW w:w="256" w:type="pct"/>
            <w:tcBorders>
              <w:top w:val="nil"/>
              <w:left w:val="nil"/>
              <w:bottom w:val="single" w:sz="8" w:space="0" w:color="auto"/>
              <w:right w:val="single" w:sz="8" w:space="0" w:color="auto"/>
            </w:tcBorders>
            <w:shd w:val="clear" w:color="auto" w:fill="auto"/>
            <w:noWrap/>
            <w:vAlign w:val="center"/>
            <w:hideMark/>
          </w:tcPr>
          <w:p w14:paraId="2B1ACA0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0.376</w:t>
            </w:r>
          </w:p>
        </w:tc>
        <w:tc>
          <w:tcPr>
            <w:tcW w:w="308" w:type="pct"/>
            <w:tcBorders>
              <w:top w:val="nil"/>
              <w:left w:val="nil"/>
              <w:bottom w:val="single" w:sz="8" w:space="0" w:color="auto"/>
              <w:right w:val="single" w:sz="8" w:space="0" w:color="auto"/>
            </w:tcBorders>
            <w:shd w:val="clear" w:color="auto" w:fill="auto"/>
            <w:noWrap/>
            <w:vAlign w:val="center"/>
            <w:hideMark/>
          </w:tcPr>
          <w:p w14:paraId="3DC523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0.069</w:t>
            </w:r>
          </w:p>
        </w:tc>
        <w:tc>
          <w:tcPr>
            <w:tcW w:w="257" w:type="pct"/>
            <w:tcBorders>
              <w:top w:val="nil"/>
              <w:left w:val="nil"/>
              <w:bottom w:val="single" w:sz="8" w:space="0" w:color="auto"/>
              <w:right w:val="single" w:sz="8" w:space="0" w:color="auto"/>
            </w:tcBorders>
            <w:shd w:val="clear" w:color="000000" w:fill="D3D3D3"/>
            <w:noWrap/>
            <w:vAlign w:val="center"/>
            <w:hideMark/>
          </w:tcPr>
          <w:p w14:paraId="4EF348C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63BA38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8FC61F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2546C28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26A19CA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21042DF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4.46</w:t>
            </w:r>
          </w:p>
        </w:tc>
        <w:tc>
          <w:tcPr>
            <w:tcW w:w="359" w:type="pct"/>
            <w:tcBorders>
              <w:top w:val="nil"/>
              <w:left w:val="nil"/>
              <w:bottom w:val="single" w:sz="8" w:space="0" w:color="auto"/>
              <w:right w:val="single" w:sz="8" w:space="0" w:color="auto"/>
            </w:tcBorders>
            <w:shd w:val="clear" w:color="auto" w:fill="auto"/>
            <w:noWrap/>
            <w:vAlign w:val="center"/>
            <w:hideMark/>
          </w:tcPr>
          <w:p w14:paraId="3864B23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8.42</w:t>
            </w:r>
          </w:p>
        </w:tc>
        <w:tc>
          <w:tcPr>
            <w:tcW w:w="308" w:type="pct"/>
            <w:tcBorders>
              <w:top w:val="nil"/>
              <w:left w:val="nil"/>
              <w:bottom w:val="single" w:sz="8" w:space="0" w:color="auto"/>
              <w:right w:val="single" w:sz="8" w:space="0" w:color="auto"/>
            </w:tcBorders>
            <w:shd w:val="clear" w:color="auto" w:fill="auto"/>
            <w:noWrap/>
            <w:vAlign w:val="center"/>
            <w:hideMark/>
          </w:tcPr>
          <w:p w14:paraId="0A153B5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10.89</w:t>
            </w:r>
          </w:p>
        </w:tc>
        <w:tc>
          <w:tcPr>
            <w:tcW w:w="280" w:type="pct"/>
            <w:tcBorders>
              <w:top w:val="nil"/>
              <w:left w:val="nil"/>
              <w:bottom w:val="single" w:sz="8" w:space="0" w:color="auto"/>
              <w:right w:val="single" w:sz="8" w:space="0" w:color="auto"/>
            </w:tcBorders>
            <w:shd w:val="clear" w:color="auto" w:fill="auto"/>
            <w:noWrap/>
            <w:vAlign w:val="center"/>
            <w:hideMark/>
          </w:tcPr>
          <w:p w14:paraId="6B91AF1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17.38</w:t>
            </w:r>
          </w:p>
        </w:tc>
      </w:tr>
      <w:tr w:rsidR="006B1FB2" w:rsidRPr="00191ACB" w14:paraId="5545872E"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005B8E4"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1.A.3 - Transport </w:t>
            </w:r>
          </w:p>
        </w:tc>
        <w:tc>
          <w:tcPr>
            <w:tcW w:w="360" w:type="pct"/>
            <w:tcBorders>
              <w:top w:val="nil"/>
              <w:left w:val="nil"/>
              <w:bottom w:val="single" w:sz="8" w:space="0" w:color="auto"/>
              <w:right w:val="single" w:sz="8" w:space="0" w:color="auto"/>
            </w:tcBorders>
            <w:shd w:val="clear" w:color="auto" w:fill="auto"/>
            <w:noWrap/>
            <w:vAlign w:val="center"/>
            <w:hideMark/>
          </w:tcPr>
          <w:p w14:paraId="7692AD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1214.37</w:t>
            </w:r>
          </w:p>
        </w:tc>
        <w:tc>
          <w:tcPr>
            <w:tcW w:w="256" w:type="pct"/>
            <w:tcBorders>
              <w:top w:val="nil"/>
              <w:left w:val="nil"/>
              <w:bottom w:val="single" w:sz="8" w:space="0" w:color="auto"/>
              <w:right w:val="single" w:sz="8" w:space="0" w:color="auto"/>
            </w:tcBorders>
            <w:shd w:val="clear" w:color="auto" w:fill="auto"/>
            <w:noWrap/>
            <w:vAlign w:val="center"/>
            <w:hideMark/>
          </w:tcPr>
          <w:p w14:paraId="74184F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0.052</w:t>
            </w:r>
          </w:p>
        </w:tc>
        <w:tc>
          <w:tcPr>
            <w:tcW w:w="308" w:type="pct"/>
            <w:tcBorders>
              <w:top w:val="nil"/>
              <w:left w:val="nil"/>
              <w:bottom w:val="single" w:sz="8" w:space="0" w:color="auto"/>
              <w:right w:val="single" w:sz="8" w:space="0" w:color="auto"/>
            </w:tcBorders>
            <w:shd w:val="clear" w:color="auto" w:fill="auto"/>
            <w:noWrap/>
            <w:vAlign w:val="center"/>
            <w:hideMark/>
          </w:tcPr>
          <w:p w14:paraId="63A0EEC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0.01</w:t>
            </w:r>
          </w:p>
        </w:tc>
        <w:tc>
          <w:tcPr>
            <w:tcW w:w="257" w:type="pct"/>
            <w:tcBorders>
              <w:top w:val="nil"/>
              <w:left w:val="nil"/>
              <w:bottom w:val="single" w:sz="8" w:space="0" w:color="auto"/>
              <w:right w:val="single" w:sz="8" w:space="0" w:color="auto"/>
            </w:tcBorders>
            <w:shd w:val="clear" w:color="000000" w:fill="D3D3D3"/>
            <w:noWrap/>
            <w:vAlign w:val="center"/>
            <w:hideMark/>
          </w:tcPr>
          <w:p w14:paraId="2FF4DB8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F977D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51C3CE9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5FD8574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09985CD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352F549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0.42</w:t>
            </w:r>
          </w:p>
        </w:tc>
        <w:tc>
          <w:tcPr>
            <w:tcW w:w="359" w:type="pct"/>
            <w:tcBorders>
              <w:top w:val="nil"/>
              <w:left w:val="nil"/>
              <w:bottom w:val="single" w:sz="8" w:space="0" w:color="auto"/>
              <w:right w:val="single" w:sz="8" w:space="0" w:color="auto"/>
            </w:tcBorders>
            <w:shd w:val="clear" w:color="auto" w:fill="auto"/>
            <w:noWrap/>
            <w:vAlign w:val="center"/>
            <w:hideMark/>
          </w:tcPr>
          <w:p w14:paraId="73CDEC1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0.19</w:t>
            </w:r>
          </w:p>
        </w:tc>
        <w:tc>
          <w:tcPr>
            <w:tcW w:w="308" w:type="pct"/>
            <w:tcBorders>
              <w:top w:val="nil"/>
              <w:left w:val="nil"/>
              <w:bottom w:val="single" w:sz="8" w:space="0" w:color="auto"/>
              <w:right w:val="single" w:sz="8" w:space="0" w:color="auto"/>
            </w:tcBorders>
            <w:shd w:val="clear" w:color="auto" w:fill="auto"/>
            <w:noWrap/>
            <w:vAlign w:val="center"/>
            <w:hideMark/>
          </w:tcPr>
          <w:p w14:paraId="3DE62AA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0.01</w:t>
            </w:r>
          </w:p>
        </w:tc>
        <w:tc>
          <w:tcPr>
            <w:tcW w:w="280" w:type="pct"/>
            <w:tcBorders>
              <w:top w:val="nil"/>
              <w:left w:val="nil"/>
              <w:bottom w:val="single" w:sz="8" w:space="0" w:color="auto"/>
              <w:right w:val="single" w:sz="8" w:space="0" w:color="auto"/>
            </w:tcBorders>
            <w:shd w:val="clear" w:color="auto" w:fill="auto"/>
            <w:noWrap/>
            <w:vAlign w:val="center"/>
            <w:hideMark/>
          </w:tcPr>
          <w:p w14:paraId="41FE566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9.49</w:t>
            </w:r>
          </w:p>
        </w:tc>
      </w:tr>
      <w:tr w:rsidR="006B1FB2" w:rsidRPr="00191ACB" w14:paraId="61195797"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75FE0C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1.A.4 - Other Sectors </w:t>
            </w:r>
          </w:p>
        </w:tc>
        <w:tc>
          <w:tcPr>
            <w:tcW w:w="360" w:type="pct"/>
            <w:tcBorders>
              <w:top w:val="nil"/>
              <w:left w:val="nil"/>
              <w:bottom w:val="single" w:sz="8" w:space="0" w:color="auto"/>
              <w:right w:val="single" w:sz="8" w:space="0" w:color="auto"/>
            </w:tcBorders>
            <w:shd w:val="clear" w:color="auto" w:fill="auto"/>
            <w:noWrap/>
            <w:vAlign w:val="center"/>
            <w:hideMark/>
          </w:tcPr>
          <w:p w14:paraId="643F0F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1591.95</w:t>
            </w:r>
          </w:p>
        </w:tc>
        <w:tc>
          <w:tcPr>
            <w:tcW w:w="256" w:type="pct"/>
            <w:tcBorders>
              <w:top w:val="nil"/>
              <w:left w:val="nil"/>
              <w:bottom w:val="single" w:sz="8" w:space="0" w:color="auto"/>
              <w:right w:val="single" w:sz="8" w:space="0" w:color="auto"/>
            </w:tcBorders>
            <w:shd w:val="clear" w:color="auto" w:fill="auto"/>
            <w:noWrap/>
            <w:vAlign w:val="center"/>
            <w:hideMark/>
          </w:tcPr>
          <w:p w14:paraId="624E1F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4.234</w:t>
            </w:r>
          </w:p>
        </w:tc>
        <w:tc>
          <w:tcPr>
            <w:tcW w:w="308" w:type="pct"/>
            <w:tcBorders>
              <w:top w:val="nil"/>
              <w:left w:val="nil"/>
              <w:bottom w:val="single" w:sz="8" w:space="0" w:color="auto"/>
              <w:right w:val="single" w:sz="8" w:space="0" w:color="auto"/>
            </w:tcBorders>
            <w:shd w:val="clear" w:color="auto" w:fill="auto"/>
            <w:noWrap/>
            <w:vAlign w:val="center"/>
            <w:hideMark/>
          </w:tcPr>
          <w:p w14:paraId="6A22723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0.572</w:t>
            </w:r>
          </w:p>
        </w:tc>
        <w:tc>
          <w:tcPr>
            <w:tcW w:w="257" w:type="pct"/>
            <w:tcBorders>
              <w:top w:val="nil"/>
              <w:left w:val="nil"/>
              <w:bottom w:val="single" w:sz="8" w:space="0" w:color="auto"/>
              <w:right w:val="single" w:sz="8" w:space="0" w:color="auto"/>
            </w:tcBorders>
            <w:shd w:val="clear" w:color="000000" w:fill="D3D3D3"/>
            <w:noWrap/>
            <w:vAlign w:val="center"/>
            <w:hideMark/>
          </w:tcPr>
          <w:p w14:paraId="4684623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FB81D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3551F6E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24799F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8DAC36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2B8811E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82.98</w:t>
            </w:r>
          </w:p>
        </w:tc>
        <w:tc>
          <w:tcPr>
            <w:tcW w:w="359" w:type="pct"/>
            <w:tcBorders>
              <w:top w:val="nil"/>
              <w:left w:val="nil"/>
              <w:bottom w:val="single" w:sz="8" w:space="0" w:color="auto"/>
              <w:right w:val="single" w:sz="8" w:space="0" w:color="auto"/>
            </w:tcBorders>
            <w:shd w:val="clear" w:color="auto" w:fill="auto"/>
            <w:noWrap/>
            <w:vAlign w:val="center"/>
            <w:hideMark/>
          </w:tcPr>
          <w:p w14:paraId="1E23949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13.02</w:t>
            </w:r>
          </w:p>
        </w:tc>
        <w:tc>
          <w:tcPr>
            <w:tcW w:w="308" w:type="pct"/>
            <w:tcBorders>
              <w:top w:val="nil"/>
              <w:left w:val="nil"/>
              <w:bottom w:val="single" w:sz="8" w:space="0" w:color="auto"/>
              <w:right w:val="single" w:sz="8" w:space="0" w:color="auto"/>
            </w:tcBorders>
            <w:shd w:val="clear" w:color="auto" w:fill="auto"/>
            <w:noWrap/>
            <w:vAlign w:val="center"/>
            <w:hideMark/>
          </w:tcPr>
          <w:p w14:paraId="5607941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5.73</w:t>
            </w:r>
          </w:p>
        </w:tc>
        <w:tc>
          <w:tcPr>
            <w:tcW w:w="280" w:type="pct"/>
            <w:tcBorders>
              <w:top w:val="nil"/>
              <w:left w:val="nil"/>
              <w:bottom w:val="single" w:sz="8" w:space="0" w:color="auto"/>
              <w:right w:val="single" w:sz="8" w:space="0" w:color="auto"/>
            </w:tcBorders>
            <w:shd w:val="clear" w:color="auto" w:fill="auto"/>
            <w:noWrap/>
            <w:vAlign w:val="center"/>
            <w:hideMark/>
          </w:tcPr>
          <w:p w14:paraId="7BC8CA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547.76</w:t>
            </w:r>
          </w:p>
        </w:tc>
      </w:tr>
      <w:tr w:rsidR="006B1FB2" w:rsidRPr="00191ACB" w14:paraId="2B4B461D"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2442276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1.A.5 - Non-Specified </w:t>
            </w:r>
          </w:p>
        </w:tc>
        <w:tc>
          <w:tcPr>
            <w:tcW w:w="360" w:type="pct"/>
            <w:tcBorders>
              <w:top w:val="nil"/>
              <w:left w:val="nil"/>
              <w:bottom w:val="single" w:sz="8" w:space="0" w:color="auto"/>
              <w:right w:val="single" w:sz="8" w:space="0" w:color="auto"/>
            </w:tcBorders>
            <w:shd w:val="clear" w:color="auto" w:fill="auto"/>
            <w:noWrap/>
            <w:vAlign w:val="center"/>
            <w:hideMark/>
          </w:tcPr>
          <w:p w14:paraId="18ED80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auto" w:fill="auto"/>
            <w:noWrap/>
            <w:vAlign w:val="center"/>
            <w:hideMark/>
          </w:tcPr>
          <w:p w14:paraId="6A739D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707AA7E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D3D3D3"/>
            <w:noWrap/>
            <w:vAlign w:val="center"/>
            <w:hideMark/>
          </w:tcPr>
          <w:p w14:paraId="2C892E1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5BA70C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7C85CAF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3C7B6C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0FBAC1F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0AAED40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7008E1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1FB0135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40E1A38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6CA4D7D9"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1CD98BC"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1.B - Fugitive emissions from fuels </w:t>
            </w:r>
          </w:p>
        </w:tc>
        <w:tc>
          <w:tcPr>
            <w:tcW w:w="360" w:type="pct"/>
            <w:tcBorders>
              <w:top w:val="nil"/>
              <w:left w:val="nil"/>
              <w:bottom w:val="single" w:sz="8" w:space="0" w:color="auto"/>
              <w:right w:val="single" w:sz="8" w:space="0" w:color="auto"/>
            </w:tcBorders>
            <w:shd w:val="clear" w:color="000000" w:fill="90EE90"/>
            <w:noWrap/>
            <w:vAlign w:val="center"/>
            <w:hideMark/>
          </w:tcPr>
          <w:p w14:paraId="476921B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90EE90"/>
            <w:noWrap/>
            <w:vAlign w:val="center"/>
            <w:hideMark/>
          </w:tcPr>
          <w:p w14:paraId="274027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0.08</w:t>
            </w:r>
          </w:p>
        </w:tc>
        <w:tc>
          <w:tcPr>
            <w:tcW w:w="308" w:type="pct"/>
            <w:tcBorders>
              <w:top w:val="nil"/>
              <w:left w:val="nil"/>
              <w:bottom w:val="single" w:sz="8" w:space="0" w:color="auto"/>
              <w:right w:val="single" w:sz="8" w:space="0" w:color="auto"/>
            </w:tcBorders>
            <w:shd w:val="clear" w:color="000000" w:fill="90EE90"/>
            <w:noWrap/>
            <w:vAlign w:val="center"/>
            <w:hideMark/>
          </w:tcPr>
          <w:p w14:paraId="63347F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701785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517241D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05" w:type="pct"/>
            <w:tcBorders>
              <w:top w:val="nil"/>
              <w:left w:val="nil"/>
              <w:bottom w:val="single" w:sz="8" w:space="0" w:color="auto"/>
              <w:right w:val="single" w:sz="8" w:space="0" w:color="auto"/>
            </w:tcBorders>
            <w:shd w:val="clear" w:color="000000" w:fill="90EE90"/>
            <w:noWrap/>
            <w:vAlign w:val="center"/>
            <w:hideMark/>
          </w:tcPr>
          <w:p w14:paraId="2755503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60" w:type="pct"/>
            <w:tcBorders>
              <w:top w:val="nil"/>
              <w:left w:val="nil"/>
              <w:bottom w:val="single" w:sz="8" w:space="0" w:color="auto"/>
              <w:right w:val="single" w:sz="8" w:space="0" w:color="auto"/>
            </w:tcBorders>
            <w:shd w:val="clear" w:color="000000" w:fill="90EE90"/>
            <w:noWrap/>
            <w:vAlign w:val="center"/>
            <w:hideMark/>
          </w:tcPr>
          <w:p w14:paraId="0EF2354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11" w:type="pct"/>
            <w:tcBorders>
              <w:top w:val="nil"/>
              <w:left w:val="nil"/>
              <w:bottom w:val="single" w:sz="8" w:space="0" w:color="auto"/>
              <w:right w:val="single" w:sz="8" w:space="0" w:color="auto"/>
            </w:tcBorders>
            <w:shd w:val="clear" w:color="000000" w:fill="90EE90"/>
            <w:noWrap/>
            <w:vAlign w:val="center"/>
            <w:hideMark/>
          </w:tcPr>
          <w:p w14:paraId="7CF2B7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0679EA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0.96</w:t>
            </w:r>
          </w:p>
        </w:tc>
        <w:tc>
          <w:tcPr>
            <w:tcW w:w="359" w:type="pct"/>
            <w:tcBorders>
              <w:top w:val="nil"/>
              <w:left w:val="nil"/>
              <w:bottom w:val="single" w:sz="8" w:space="0" w:color="auto"/>
              <w:right w:val="single" w:sz="8" w:space="0" w:color="auto"/>
            </w:tcBorders>
            <w:shd w:val="clear" w:color="000000" w:fill="90EE90"/>
            <w:noWrap/>
            <w:vAlign w:val="center"/>
            <w:hideMark/>
          </w:tcPr>
          <w:p w14:paraId="0E2CF25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000000" w:fill="90EE90"/>
            <w:noWrap/>
            <w:vAlign w:val="center"/>
            <w:hideMark/>
          </w:tcPr>
          <w:p w14:paraId="6D5A11B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000000" w:fill="90EE90"/>
            <w:noWrap/>
            <w:vAlign w:val="center"/>
            <w:hideMark/>
          </w:tcPr>
          <w:p w14:paraId="33660A4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5D71CFC2"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AF9976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1.B.1 - Solid Fuels </w:t>
            </w:r>
          </w:p>
        </w:tc>
        <w:tc>
          <w:tcPr>
            <w:tcW w:w="360" w:type="pct"/>
            <w:tcBorders>
              <w:top w:val="nil"/>
              <w:left w:val="nil"/>
              <w:bottom w:val="single" w:sz="8" w:space="0" w:color="auto"/>
              <w:right w:val="single" w:sz="8" w:space="0" w:color="auto"/>
            </w:tcBorders>
            <w:shd w:val="clear" w:color="auto" w:fill="auto"/>
            <w:noWrap/>
            <w:vAlign w:val="center"/>
            <w:hideMark/>
          </w:tcPr>
          <w:p w14:paraId="2432B9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56" w:type="pct"/>
            <w:tcBorders>
              <w:top w:val="nil"/>
              <w:left w:val="nil"/>
              <w:bottom w:val="single" w:sz="8" w:space="0" w:color="auto"/>
              <w:right w:val="single" w:sz="8" w:space="0" w:color="auto"/>
            </w:tcBorders>
            <w:shd w:val="clear" w:color="auto" w:fill="auto"/>
            <w:noWrap/>
            <w:vAlign w:val="center"/>
            <w:hideMark/>
          </w:tcPr>
          <w:p w14:paraId="490F478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0.08</w:t>
            </w:r>
          </w:p>
        </w:tc>
        <w:tc>
          <w:tcPr>
            <w:tcW w:w="308" w:type="pct"/>
            <w:tcBorders>
              <w:top w:val="nil"/>
              <w:left w:val="nil"/>
              <w:bottom w:val="single" w:sz="8" w:space="0" w:color="auto"/>
              <w:right w:val="single" w:sz="8" w:space="0" w:color="auto"/>
            </w:tcBorders>
            <w:shd w:val="clear" w:color="auto" w:fill="auto"/>
            <w:noWrap/>
            <w:vAlign w:val="center"/>
            <w:hideMark/>
          </w:tcPr>
          <w:p w14:paraId="6A375C7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57" w:type="pct"/>
            <w:tcBorders>
              <w:top w:val="nil"/>
              <w:left w:val="nil"/>
              <w:bottom w:val="single" w:sz="8" w:space="0" w:color="auto"/>
              <w:right w:val="single" w:sz="8" w:space="0" w:color="auto"/>
            </w:tcBorders>
            <w:shd w:val="clear" w:color="000000" w:fill="D3D3D3"/>
            <w:noWrap/>
            <w:vAlign w:val="center"/>
            <w:hideMark/>
          </w:tcPr>
          <w:p w14:paraId="68E2D59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129AB1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695A75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064266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3C75C75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0D6CF66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0.96</w:t>
            </w:r>
          </w:p>
        </w:tc>
        <w:tc>
          <w:tcPr>
            <w:tcW w:w="359" w:type="pct"/>
            <w:tcBorders>
              <w:top w:val="nil"/>
              <w:left w:val="nil"/>
              <w:bottom w:val="single" w:sz="8" w:space="0" w:color="auto"/>
              <w:right w:val="single" w:sz="8" w:space="0" w:color="auto"/>
            </w:tcBorders>
            <w:shd w:val="clear" w:color="auto" w:fill="auto"/>
            <w:noWrap/>
            <w:vAlign w:val="center"/>
            <w:hideMark/>
          </w:tcPr>
          <w:p w14:paraId="28357D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2728C82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6293DC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6E440670"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23C2E86"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1.B.2 - Oil and Natural Gas </w:t>
            </w:r>
          </w:p>
        </w:tc>
        <w:tc>
          <w:tcPr>
            <w:tcW w:w="360" w:type="pct"/>
            <w:tcBorders>
              <w:top w:val="nil"/>
              <w:left w:val="nil"/>
              <w:bottom w:val="single" w:sz="8" w:space="0" w:color="auto"/>
              <w:right w:val="single" w:sz="8" w:space="0" w:color="auto"/>
            </w:tcBorders>
            <w:shd w:val="clear" w:color="auto" w:fill="auto"/>
            <w:noWrap/>
            <w:vAlign w:val="center"/>
            <w:hideMark/>
          </w:tcPr>
          <w:p w14:paraId="09D1BD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auto" w:fill="auto"/>
            <w:noWrap/>
            <w:vAlign w:val="center"/>
            <w:hideMark/>
          </w:tcPr>
          <w:p w14:paraId="4E6CE85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431A993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D3D3D3"/>
            <w:noWrap/>
            <w:vAlign w:val="center"/>
            <w:hideMark/>
          </w:tcPr>
          <w:p w14:paraId="6E74A89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0C75CD3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E4E1E0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5E2E0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5BBB9B4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4740291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03742E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1B35DAC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7C15E01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663092F6"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2B7D639"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1.B.3 - Other emissions from Energy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21A212F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auto" w:fill="auto"/>
            <w:noWrap/>
            <w:vAlign w:val="center"/>
            <w:hideMark/>
          </w:tcPr>
          <w:p w14:paraId="61BE41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5AE0FF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D3D3D3"/>
            <w:noWrap/>
            <w:vAlign w:val="center"/>
            <w:hideMark/>
          </w:tcPr>
          <w:p w14:paraId="04B81E2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669DA3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45E6641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29A07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5A29B6E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0D59E88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4D3A302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4C5608F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1BA3639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408534D9"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082D1EA"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1.C - Carbon dioxide Transport and Storage </w:t>
            </w:r>
          </w:p>
        </w:tc>
        <w:tc>
          <w:tcPr>
            <w:tcW w:w="360" w:type="pct"/>
            <w:tcBorders>
              <w:top w:val="nil"/>
              <w:left w:val="nil"/>
              <w:bottom w:val="single" w:sz="8" w:space="0" w:color="auto"/>
              <w:right w:val="single" w:sz="8" w:space="0" w:color="auto"/>
            </w:tcBorders>
            <w:shd w:val="clear" w:color="000000" w:fill="90EE90"/>
            <w:noWrap/>
            <w:vAlign w:val="center"/>
            <w:hideMark/>
          </w:tcPr>
          <w:p w14:paraId="65BBE3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000000" w:fill="90EE90"/>
            <w:noWrap/>
            <w:vAlign w:val="center"/>
            <w:hideMark/>
          </w:tcPr>
          <w:p w14:paraId="74039E2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49D826B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0452632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67B257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05" w:type="pct"/>
            <w:tcBorders>
              <w:top w:val="nil"/>
              <w:left w:val="nil"/>
              <w:bottom w:val="single" w:sz="8" w:space="0" w:color="auto"/>
              <w:right w:val="single" w:sz="8" w:space="0" w:color="auto"/>
            </w:tcBorders>
            <w:shd w:val="clear" w:color="000000" w:fill="90EE90"/>
            <w:noWrap/>
            <w:vAlign w:val="center"/>
            <w:hideMark/>
          </w:tcPr>
          <w:p w14:paraId="3FD0303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60" w:type="pct"/>
            <w:tcBorders>
              <w:top w:val="nil"/>
              <w:left w:val="nil"/>
              <w:bottom w:val="single" w:sz="8" w:space="0" w:color="auto"/>
              <w:right w:val="single" w:sz="8" w:space="0" w:color="auto"/>
            </w:tcBorders>
            <w:shd w:val="clear" w:color="000000" w:fill="90EE90"/>
            <w:noWrap/>
            <w:vAlign w:val="center"/>
            <w:hideMark/>
          </w:tcPr>
          <w:p w14:paraId="30D7468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11" w:type="pct"/>
            <w:tcBorders>
              <w:top w:val="nil"/>
              <w:left w:val="nil"/>
              <w:bottom w:val="single" w:sz="8" w:space="0" w:color="auto"/>
              <w:right w:val="single" w:sz="8" w:space="0" w:color="auto"/>
            </w:tcBorders>
            <w:shd w:val="clear" w:color="000000" w:fill="90EE90"/>
            <w:noWrap/>
            <w:vAlign w:val="center"/>
            <w:hideMark/>
          </w:tcPr>
          <w:p w14:paraId="4DB8EB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4A3BEE7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000000" w:fill="90EE90"/>
            <w:noWrap/>
            <w:vAlign w:val="center"/>
            <w:hideMark/>
          </w:tcPr>
          <w:p w14:paraId="783946B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000000" w:fill="90EE90"/>
            <w:noWrap/>
            <w:vAlign w:val="center"/>
            <w:hideMark/>
          </w:tcPr>
          <w:p w14:paraId="485BC13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000000" w:fill="90EE90"/>
            <w:noWrap/>
            <w:vAlign w:val="center"/>
            <w:hideMark/>
          </w:tcPr>
          <w:p w14:paraId="03110F5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11E5CAA5"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14938EF"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1.C.1 - Transport of CO2 </w:t>
            </w:r>
          </w:p>
        </w:tc>
        <w:tc>
          <w:tcPr>
            <w:tcW w:w="360" w:type="pct"/>
            <w:tcBorders>
              <w:top w:val="nil"/>
              <w:left w:val="nil"/>
              <w:bottom w:val="single" w:sz="8" w:space="0" w:color="auto"/>
              <w:right w:val="single" w:sz="8" w:space="0" w:color="auto"/>
            </w:tcBorders>
            <w:shd w:val="clear" w:color="000000" w:fill="90EE90"/>
            <w:noWrap/>
            <w:vAlign w:val="center"/>
            <w:hideMark/>
          </w:tcPr>
          <w:p w14:paraId="0119F9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000000" w:fill="D3D3D3"/>
            <w:noWrap/>
            <w:vAlign w:val="center"/>
            <w:hideMark/>
          </w:tcPr>
          <w:p w14:paraId="5C9794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3E262B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94DCCD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8B916E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0FB03C8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770E47F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79EB37B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4FC5BD8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7005A21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23290E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792B6C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30E00126"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79BD05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1.C.2 - Injection and Storage </w:t>
            </w:r>
          </w:p>
        </w:tc>
        <w:tc>
          <w:tcPr>
            <w:tcW w:w="360" w:type="pct"/>
            <w:tcBorders>
              <w:top w:val="nil"/>
              <w:left w:val="nil"/>
              <w:bottom w:val="single" w:sz="8" w:space="0" w:color="auto"/>
              <w:right w:val="single" w:sz="8" w:space="0" w:color="auto"/>
            </w:tcBorders>
            <w:shd w:val="clear" w:color="000000" w:fill="90EE90"/>
            <w:noWrap/>
            <w:vAlign w:val="center"/>
            <w:hideMark/>
          </w:tcPr>
          <w:p w14:paraId="6F938BF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000000" w:fill="D3D3D3"/>
            <w:noWrap/>
            <w:vAlign w:val="center"/>
            <w:hideMark/>
          </w:tcPr>
          <w:p w14:paraId="0A6E5D9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4708A33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3169AA5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3DB91BD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016D8BC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629728A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5BFE873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4E95853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592593E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11A90DB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1D7F1F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5C768C55"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1C98C92D"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1.C.3 - Other </w:t>
            </w:r>
          </w:p>
        </w:tc>
        <w:tc>
          <w:tcPr>
            <w:tcW w:w="360" w:type="pct"/>
            <w:tcBorders>
              <w:top w:val="nil"/>
              <w:left w:val="nil"/>
              <w:bottom w:val="single" w:sz="8" w:space="0" w:color="auto"/>
              <w:right w:val="single" w:sz="8" w:space="0" w:color="auto"/>
            </w:tcBorders>
            <w:shd w:val="clear" w:color="000000" w:fill="90EE90"/>
            <w:noWrap/>
            <w:vAlign w:val="center"/>
            <w:hideMark/>
          </w:tcPr>
          <w:p w14:paraId="2C6A89E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000000" w:fill="D3D3D3"/>
            <w:noWrap/>
            <w:vAlign w:val="center"/>
            <w:hideMark/>
          </w:tcPr>
          <w:p w14:paraId="0E3A4D5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6DB619A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7E0349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F24BD2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F786F6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6A57C3F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4407033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5C12952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4FF0693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5500FC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21D0A5D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5173FADD"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AF27C4F"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2 - Industrial Processes and Product Use </w:t>
            </w:r>
          </w:p>
        </w:tc>
        <w:tc>
          <w:tcPr>
            <w:tcW w:w="360" w:type="pct"/>
            <w:tcBorders>
              <w:top w:val="nil"/>
              <w:left w:val="nil"/>
              <w:bottom w:val="single" w:sz="8" w:space="0" w:color="auto"/>
              <w:right w:val="single" w:sz="8" w:space="0" w:color="auto"/>
            </w:tcBorders>
            <w:shd w:val="clear" w:color="000000" w:fill="90EE90"/>
            <w:noWrap/>
            <w:vAlign w:val="center"/>
            <w:hideMark/>
          </w:tcPr>
          <w:p w14:paraId="5397BDF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1975.73</w:t>
            </w:r>
          </w:p>
        </w:tc>
        <w:tc>
          <w:tcPr>
            <w:tcW w:w="256" w:type="pct"/>
            <w:tcBorders>
              <w:top w:val="nil"/>
              <w:left w:val="nil"/>
              <w:bottom w:val="single" w:sz="8" w:space="0" w:color="auto"/>
              <w:right w:val="single" w:sz="8" w:space="0" w:color="auto"/>
            </w:tcBorders>
            <w:shd w:val="clear" w:color="000000" w:fill="90EE90"/>
            <w:noWrap/>
            <w:vAlign w:val="center"/>
            <w:hideMark/>
          </w:tcPr>
          <w:p w14:paraId="7F5F695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0A5953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0.014</w:t>
            </w:r>
          </w:p>
        </w:tc>
        <w:tc>
          <w:tcPr>
            <w:tcW w:w="257" w:type="pct"/>
            <w:tcBorders>
              <w:top w:val="nil"/>
              <w:left w:val="nil"/>
              <w:bottom w:val="single" w:sz="8" w:space="0" w:color="auto"/>
              <w:right w:val="single" w:sz="8" w:space="0" w:color="auto"/>
            </w:tcBorders>
            <w:shd w:val="clear" w:color="000000" w:fill="90EE90"/>
            <w:noWrap/>
            <w:vAlign w:val="center"/>
            <w:hideMark/>
          </w:tcPr>
          <w:p w14:paraId="1FD7AE2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111.259</w:t>
            </w:r>
          </w:p>
        </w:tc>
        <w:tc>
          <w:tcPr>
            <w:tcW w:w="257" w:type="pct"/>
            <w:tcBorders>
              <w:top w:val="nil"/>
              <w:left w:val="nil"/>
              <w:bottom w:val="single" w:sz="8" w:space="0" w:color="auto"/>
              <w:right w:val="single" w:sz="8" w:space="0" w:color="auto"/>
            </w:tcBorders>
            <w:shd w:val="clear" w:color="000000" w:fill="90EE90"/>
            <w:noWrap/>
            <w:vAlign w:val="center"/>
            <w:hideMark/>
          </w:tcPr>
          <w:p w14:paraId="3040BD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05" w:type="pct"/>
            <w:tcBorders>
              <w:top w:val="nil"/>
              <w:left w:val="nil"/>
              <w:bottom w:val="single" w:sz="8" w:space="0" w:color="auto"/>
              <w:right w:val="single" w:sz="8" w:space="0" w:color="auto"/>
            </w:tcBorders>
            <w:shd w:val="clear" w:color="000000" w:fill="90EE90"/>
            <w:noWrap/>
            <w:vAlign w:val="center"/>
            <w:hideMark/>
          </w:tcPr>
          <w:p w14:paraId="3EADCF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0.199</w:t>
            </w:r>
          </w:p>
        </w:tc>
        <w:tc>
          <w:tcPr>
            <w:tcW w:w="360" w:type="pct"/>
            <w:tcBorders>
              <w:top w:val="nil"/>
              <w:left w:val="nil"/>
              <w:bottom w:val="single" w:sz="8" w:space="0" w:color="auto"/>
              <w:right w:val="single" w:sz="8" w:space="0" w:color="auto"/>
            </w:tcBorders>
            <w:shd w:val="clear" w:color="000000" w:fill="90EE90"/>
            <w:noWrap/>
            <w:vAlign w:val="center"/>
            <w:hideMark/>
          </w:tcPr>
          <w:p w14:paraId="2D10D4A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79BB104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186BD5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0.076</w:t>
            </w:r>
          </w:p>
        </w:tc>
        <w:tc>
          <w:tcPr>
            <w:tcW w:w="359" w:type="pct"/>
            <w:tcBorders>
              <w:top w:val="nil"/>
              <w:left w:val="nil"/>
              <w:bottom w:val="single" w:sz="8" w:space="0" w:color="auto"/>
              <w:right w:val="single" w:sz="8" w:space="0" w:color="auto"/>
            </w:tcBorders>
            <w:shd w:val="clear" w:color="000000" w:fill="90EE90"/>
            <w:noWrap/>
            <w:vAlign w:val="center"/>
            <w:hideMark/>
          </w:tcPr>
          <w:p w14:paraId="7BE5813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2E9BF84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0.002</w:t>
            </w:r>
          </w:p>
        </w:tc>
        <w:tc>
          <w:tcPr>
            <w:tcW w:w="280" w:type="pct"/>
            <w:tcBorders>
              <w:top w:val="nil"/>
              <w:left w:val="nil"/>
              <w:bottom w:val="single" w:sz="8" w:space="0" w:color="auto"/>
              <w:right w:val="single" w:sz="8" w:space="0" w:color="auto"/>
            </w:tcBorders>
            <w:shd w:val="clear" w:color="000000" w:fill="90EE90"/>
            <w:noWrap/>
            <w:vAlign w:val="center"/>
            <w:hideMark/>
          </w:tcPr>
          <w:p w14:paraId="30914E4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0.003</w:t>
            </w:r>
          </w:p>
        </w:tc>
      </w:tr>
      <w:tr w:rsidR="006B1FB2" w:rsidRPr="00191ACB" w14:paraId="69FFE187"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96BD5A9"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2.A - Mineral Industry </w:t>
            </w:r>
          </w:p>
        </w:tc>
        <w:tc>
          <w:tcPr>
            <w:tcW w:w="360" w:type="pct"/>
            <w:tcBorders>
              <w:top w:val="nil"/>
              <w:left w:val="nil"/>
              <w:bottom w:val="single" w:sz="8" w:space="0" w:color="auto"/>
              <w:right w:val="single" w:sz="8" w:space="0" w:color="auto"/>
            </w:tcBorders>
            <w:shd w:val="clear" w:color="000000" w:fill="90EE90"/>
            <w:noWrap/>
            <w:vAlign w:val="center"/>
            <w:hideMark/>
          </w:tcPr>
          <w:p w14:paraId="68F0AB6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1951.55</w:t>
            </w:r>
          </w:p>
        </w:tc>
        <w:tc>
          <w:tcPr>
            <w:tcW w:w="256" w:type="pct"/>
            <w:tcBorders>
              <w:top w:val="nil"/>
              <w:left w:val="nil"/>
              <w:bottom w:val="single" w:sz="8" w:space="0" w:color="auto"/>
              <w:right w:val="single" w:sz="8" w:space="0" w:color="auto"/>
            </w:tcBorders>
            <w:shd w:val="clear" w:color="000000" w:fill="90EE90"/>
            <w:noWrap/>
            <w:vAlign w:val="center"/>
            <w:hideMark/>
          </w:tcPr>
          <w:p w14:paraId="73EB93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2F796D7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6068C1C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2DDF93F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753C30E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212E489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07A3CE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32288D5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58C29D3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3D162E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90EE90"/>
            <w:noWrap/>
            <w:vAlign w:val="center"/>
            <w:hideMark/>
          </w:tcPr>
          <w:p w14:paraId="1709B20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544820EC"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187BE53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2.A.1 - Cement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64153B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925.12</w:t>
            </w:r>
          </w:p>
        </w:tc>
        <w:tc>
          <w:tcPr>
            <w:tcW w:w="256" w:type="pct"/>
            <w:tcBorders>
              <w:top w:val="nil"/>
              <w:left w:val="nil"/>
              <w:bottom w:val="single" w:sz="8" w:space="0" w:color="auto"/>
              <w:right w:val="single" w:sz="8" w:space="0" w:color="auto"/>
            </w:tcBorders>
            <w:shd w:val="clear" w:color="000000" w:fill="D3D3D3"/>
            <w:noWrap/>
            <w:vAlign w:val="center"/>
            <w:hideMark/>
          </w:tcPr>
          <w:p w14:paraId="1D94E91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74BFB95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7A35A36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76CAA92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57C8AF1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48F2B2F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21C7A55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031FA42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6FE904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59621D4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240AFAE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4F60C3C7"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E23CFA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2.A.2 - Lime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6EE141C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1015.88</w:t>
            </w:r>
          </w:p>
        </w:tc>
        <w:tc>
          <w:tcPr>
            <w:tcW w:w="256" w:type="pct"/>
            <w:tcBorders>
              <w:top w:val="nil"/>
              <w:left w:val="nil"/>
              <w:bottom w:val="single" w:sz="8" w:space="0" w:color="auto"/>
              <w:right w:val="single" w:sz="8" w:space="0" w:color="auto"/>
            </w:tcBorders>
            <w:shd w:val="clear" w:color="000000" w:fill="D3D3D3"/>
            <w:noWrap/>
            <w:vAlign w:val="center"/>
            <w:hideMark/>
          </w:tcPr>
          <w:p w14:paraId="52A57DE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31DB140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3C9D257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73B331E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3C8E456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90A76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1837C3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0C40F53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330C116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71046EC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521A209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1A449566"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E43865A"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2.A.3 - Glass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0F861B7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000000" w:fill="D3D3D3"/>
            <w:noWrap/>
            <w:vAlign w:val="center"/>
            <w:hideMark/>
          </w:tcPr>
          <w:p w14:paraId="26D865D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56C8D3F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7179385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272907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01CBD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99658C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57D7F0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121F34E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523E246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3507D8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0915896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7DC028B8"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4243C40"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2.A.4 - Other Process Uses of Carbonates </w:t>
            </w:r>
          </w:p>
        </w:tc>
        <w:tc>
          <w:tcPr>
            <w:tcW w:w="360" w:type="pct"/>
            <w:tcBorders>
              <w:top w:val="nil"/>
              <w:left w:val="nil"/>
              <w:bottom w:val="single" w:sz="8" w:space="0" w:color="auto"/>
              <w:right w:val="single" w:sz="8" w:space="0" w:color="auto"/>
            </w:tcBorders>
            <w:shd w:val="clear" w:color="auto" w:fill="auto"/>
            <w:noWrap/>
            <w:vAlign w:val="center"/>
            <w:hideMark/>
          </w:tcPr>
          <w:p w14:paraId="0D2847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10.54</w:t>
            </w:r>
          </w:p>
        </w:tc>
        <w:tc>
          <w:tcPr>
            <w:tcW w:w="256" w:type="pct"/>
            <w:tcBorders>
              <w:top w:val="nil"/>
              <w:left w:val="nil"/>
              <w:bottom w:val="single" w:sz="8" w:space="0" w:color="auto"/>
              <w:right w:val="single" w:sz="8" w:space="0" w:color="auto"/>
            </w:tcBorders>
            <w:shd w:val="clear" w:color="000000" w:fill="D3D3D3"/>
            <w:noWrap/>
            <w:vAlign w:val="center"/>
            <w:hideMark/>
          </w:tcPr>
          <w:p w14:paraId="5D3ABB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3144826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C4B100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6B2538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23C29D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291E84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12BC201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5626FB0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30780C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08766C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421D6BD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422BF96A"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FE70B76"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2.A.5 - Other (please specify) </w:t>
            </w:r>
          </w:p>
        </w:tc>
        <w:tc>
          <w:tcPr>
            <w:tcW w:w="360" w:type="pct"/>
            <w:tcBorders>
              <w:top w:val="nil"/>
              <w:left w:val="nil"/>
              <w:bottom w:val="single" w:sz="8" w:space="0" w:color="auto"/>
              <w:right w:val="single" w:sz="8" w:space="0" w:color="auto"/>
            </w:tcBorders>
            <w:shd w:val="clear" w:color="auto" w:fill="auto"/>
            <w:noWrap/>
            <w:vAlign w:val="center"/>
            <w:hideMark/>
          </w:tcPr>
          <w:p w14:paraId="6DAF88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auto" w:fill="auto"/>
            <w:noWrap/>
            <w:vAlign w:val="center"/>
            <w:hideMark/>
          </w:tcPr>
          <w:p w14:paraId="02017BE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0DFB62B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D3D3D3"/>
            <w:noWrap/>
            <w:vAlign w:val="center"/>
            <w:hideMark/>
          </w:tcPr>
          <w:p w14:paraId="00064AB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0C6C34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2E2FA7E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7549125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0F5272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68FC5D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34A7164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090F74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310259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7C593BEC"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2C0C382B"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2.B - Chemical Industry </w:t>
            </w:r>
          </w:p>
        </w:tc>
        <w:tc>
          <w:tcPr>
            <w:tcW w:w="360" w:type="pct"/>
            <w:tcBorders>
              <w:top w:val="nil"/>
              <w:left w:val="nil"/>
              <w:bottom w:val="single" w:sz="8" w:space="0" w:color="auto"/>
              <w:right w:val="single" w:sz="8" w:space="0" w:color="auto"/>
            </w:tcBorders>
            <w:shd w:val="clear" w:color="000000" w:fill="90EE90"/>
            <w:noWrap/>
            <w:vAlign w:val="center"/>
            <w:hideMark/>
          </w:tcPr>
          <w:p w14:paraId="6BD3893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90EE90"/>
            <w:noWrap/>
            <w:vAlign w:val="center"/>
            <w:hideMark/>
          </w:tcPr>
          <w:p w14:paraId="2D44A4C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3D733CC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0.014</w:t>
            </w:r>
          </w:p>
        </w:tc>
        <w:tc>
          <w:tcPr>
            <w:tcW w:w="257" w:type="pct"/>
            <w:tcBorders>
              <w:top w:val="nil"/>
              <w:left w:val="nil"/>
              <w:bottom w:val="single" w:sz="8" w:space="0" w:color="auto"/>
              <w:right w:val="single" w:sz="8" w:space="0" w:color="auto"/>
            </w:tcBorders>
            <w:shd w:val="clear" w:color="000000" w:fill="90EE90"/>
            <w:noWrap/>
            <w:vAlign w:val="center"/>
            <w:hideMark/>
          </w:tcPr>
          <w:p w14:paraId="08EFF5F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78BAC8E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05" w:type="pct"/>
            <w:tcBorders>
              <w:top w:val="nil"/>
              <w:left w:val="nil"/>
              <w:bottom w:val="single" w:sz="8" w:space="0" w:color="auto"/>
              <w:right w:val="single" w:sz="8" w:space="0" w:color="auto"/>
            </w:tcBorders>
            <w:shd w:val="clear" w:color="000000" w:fill="90EE90"/>
            <w:noWrap/>
            <w:vAlign w:val="center"/>
            <w:hideMark/>
          </w:tcPr>
          <w:p w14:paraId="30B977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60" w:type="pct"/>
            <w:tcBorders>
              <w:top w:val="nil"/>
              <w:left w:val="nil"/>
              <w:bottom w:val="single" w:sz="8" w:space="0" w:color="auto"/>
              <w:right w:val="single" w:sz="8" w:space="0" w:color="auto"/>
            </w:tcBorders>
            <w:shd w:val="clear" w:color="000000" w:fill="90EE90"/>
            <w:noWrap/>
            <w:vAlign w:val="center"/>
            <w:hideMark/>
          </w:tcPr>
          <w:p w14:paraId="563D28B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11" w:type="pct"/>
            <w:tcBorders>
              <w:top w:val="nil"/>
              <w:left w:val="nil"/>
              <w:bottom w:val="single" w:sz="8" w:space="0" w:color="auto"/>
              <w:right w:val="single" w:sz="8" w:space="0" w:color="auto"/>
            </w:tcBorders>
            <w:shd w:val="clear" w:color="000000" w:fill="90EE90"/>
            <w:noWrap/>
            <w:vAlign w:val="center"/>
            <w:hideMark/>
          </w:tcPr>
          <w:p w14:paraId="034F95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1F13F46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0.069</w:t>
            </w:r>
          </w:p>
        </w:tc>
        <w:tc>
          <w:tcPr>
            <w:tcW w:w="359" w:type="pct"/>
            <w:tcBorders>
              <w:top w:val="nil"/>
              <w:left w:val="nil"/>
              <w:bottom w:val="single" w:sz="8" w:space="0" w:color="auto"/>
              <w:right w:val="single" w:sz="8" w:space="0" w:color="auto"/>
            </w:tcBorders>
            <w:shd w:val="clear" w:color="000000" w:fill="90EE90"/>
            <w:noWrap/>
            <w:vAlign w:val="center"/>
            <w:hideMark/>
          </w:tcPr>
          <w:p w14:paraId="5B93A6E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4A76BF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000000" w:fill="90EE90"/>
            <w:noWrap/>
            <w:vAlign w:val="center"/>
            <w:hideMark/>
          </w:tcPr>
          <w:p w14:paraId="488DA0A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6E4D089C"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65CC659"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2.B.1 - Ammonia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3031F05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D3D3D3"/>
            <w:noWrap/>
            <w:vAlign w:val="center"/>
            <w:hideMark/>
          </w:tcPr>
          <w:p w14:paraId="06DD1E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6BF3945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7A8E765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465FC6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635A411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187F3BE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4293FF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4" w:space="0" w:color="auto"/>
              <w:right w:val="single" w:sz="8" w:space="0" w:color="auto"/>
            </w:tcBorders>
            <w:shd w:val="clear" w:color="auto" w:fill="auto"/>
            <w:noWrap/>
            <w:vAlign w:val="center"/>
            <w:hideMark/>
          </w:tcPr>
          <w:p w14:paraId="1D87D20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7E91349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239AEA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09110DD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03C3089A"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1C502D2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2.B.2 - Nitric Acid Production </w:t>
            </w:r>
          </w:p>
        </w:tc>
        <w:tc>
          <w:tcPr>
            <w:tcW w:w="360" w:type="pct"/>
            <w:tcBorders>
              <w:top w:val="nil"/>
              <w:left w:val="nil"/>
              <w:bottom w:val="single" w:sz="8" w:space="0" w:color="auto"/>
              <w:right w:val="single" w:sz="8" w:space="0" w:color="auto"/>
            </w:tcBorders>
            <w:shd w:val="clear" w:color="000000" w:fill="D3D3D3"/>
            <w:noWrap/>
            <w:vAlign w:val="center"/>
            <w:hideMark/>
          </w:tcPr>
          <w:p w14:paraId="4AE0FAF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3408F91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574826D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0.014</w:t>
            </w:r>
          </w:p>
        </w:tc>
        <w:tc>
          <w:tcPr>
            <w:tcW w:w="257" w:type="pct"/>
            <w:tcBorders>
              <w:top w:val="nil"/>
              <w:left w:val="nil"/>
              <w:bottom w:val="single" w:sz="8" w:space="0" w:color="auto"/>
              <w:right w:val="single" w:sz="8" w:space="0" w:color="auto"/>
            </w:tcBorders>
            <w:shd w:val="clear" w:color="000000" w:fill="D3D3D3"/>
            <w:noWrap/>
            <w:vAlign w:val="center"/>
            <w:hideMark/>
          </w:tcPr>
          <w:p w14:paraId="0606F74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448105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6BA8AF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41701A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4" w:space="0" w:color="auto"/>
            </w:tcBorders>
            <w:shd w:val="clear" w:color="000000" w:fill="D3D3D3"/>
            <w:noWrap/>
            <w:vAlign w:val="center"/>
            <w:hideMark/>
          </w:tcPr>
          <w:p w14:paraId="04B1251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927D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0.069</w:t>
            </w:r>
          </w:p>
        </w:tc>
        <w:tc>
          <w:tcPr>
            <w:tcW w:w="359" w:type="pct"/>
            <w:tcBorders>
              <w:top w:val="nil"/>
              <w:left w:val="single" w:sz="4" w:space="0" w:color="auto"/>
              <w:bottom w:val="single" w:sz="8" w:space="0" w:color="auto"/>
              <w:right w:val="single" w:sz="8" w:space="0" w:color="auto"/>
            </w:tcBorders>
            <w:shd w:val="clear" w:color="auto" w:fill="auto"/>
            <w:noWrap/>
            <w:vAlign w:val="center"/>
            <w:hideMark/>
          </w:tcPr>
          <w:p w14:paraId="7DA960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65F39D8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4DEFCE1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235D9BE7"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C2DBC28"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2.B.3 - Adipic Acid Production </w:t>
            </w:r>
          </w:p>
        </w:tc>
        <w:tc>
          <w:tcPr>
            <w:tcW w:w="360" w:type="pct"/>
            <w:tcBorders>
              <w:top w:val="nil"/>
              <w:left w:val="nil"/>
              <w:bottom w:val="single" w:sz="8" w:space="0" w:color="auto"/>
              <w:right w:val="single" w:sz="8" w:space="0" w:color="auto"/>
            </w:tcBorders>
            <w:shd w:val="clear" w:color="000000" w:fill="D3D3D3"/>
            <w:noWrap/>
            <w:vAlign w:val="center"/>
            <w:hideMark/>
          </w:tcPr>
          <w:p w14:paraId="31983DE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388C56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7ACF4B2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D3D3D3"/>
            <w:noWrap/>
            <w:vAlign w:val="center"/>
            <w:hideMark/>
          </w:tcPr>
          <w:p w14:paraId="7D83FE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4BCB1A2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49B763F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1B8403F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4" w:space="0" w:color="auto"/>
            </w:tcBorders>
            <w:shd w:val="clear" w:color="000000" w:fill="D3D3D3"/>
            <w:noWrap/>
            <w:vAlign w:val="center"/>
            <w:hideMark/>
          </w:tcPr>
          <w:p w14:paraId="32988B1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C0CC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single" w:sz="4" w:space="0" w:color="auto"/>
              <w:bottom w:val="single" w:sz="8" w:space="0" w:color="auto"/>
              <w:right w:val="single" w:sz="8" w:space="0" w:color="auto"/>
            </w:tcBorders>
            <w:shd w:val="clear" w:color="auto" w:fill="auto"/>
            <w:noWrap/>
            <w:vAlign w:val="center"/>
            <w:hideMark/>
          </w:tcPr>
          <w:p w14:paraId="4C23F77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1AD8F4F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103A305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036BD7C9"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932B10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2.B.4 - Caprolactam, Glyoxal and Glyoxylic Acid Production </w:t>
            </w:r>
          </w:p>
        </w:tc>
        <w:tc>
          <w:tcPr>
            <w:tcW w:w="360" w:type="pct"/>
            <w:tcBorders>
              <w:top w:val="nil"/>
              <w:left w:val="nil"/>
              <w:bottom w:val="single" w:sz="8" w:space="0" w:color="auto"/>
              <w:right w:val="single" w:sz="8" w:space="0" w:color="auto"/>
            </w:tcBorders>
            <w:shd w:val="clear" w:color="000000" w:fill="D3D3D3"/>
            <w:noWrap/>
            <w:vAlign w:val="center"/>
            <w:hideMark/>
          </w:tcPr>
          <w:p w14:paraId="08BE37A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0469E0E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6CE5D2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D3D3D3"/>
            <w:noWrap/>
            <w:vAlign w:val="center"/>
            <w:hideMark/>
          </w:tcPr>
          <w:p w14:paraId="47CCA81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158A3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091444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2FF4DF8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4" w:space="0" w:color="auto"/>
            </w:tcBorders>
            <w:shd w:val="clear" w:color="000000" w:fill="D3D3D3"/>
            <w:noWrap/>
            <w:vAlign w:val="center"/>
            <w:hideMark/>
          </w:tcPr>
          <w:p w14:paraId="602F734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5C6E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single" w:sz="4" w:space="0" w:color="auto"/>
              <w:bottom w:val="single" w:sz="8" w:space="0" w:color="auto"/>
              <w:right w:val="single" w:sz="8" w:space="0" w:color="auto"/>
            </w:tcBorders>
            <w:shd w:val="clear" w:color="auto" w:fill="auto"/>
            <w:noWrap/>
            <w:vAlign w:val="center"/>
            <w:hideMark/>
          </w:tcPr>
          <w:p w14:paraId="368C658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431FF5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3C1B6E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0E940F9A"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B41E9F9"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2.B.5 - Carbide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0AB9D8E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auto" w:fill="auto"/>
            <w:noWrap/>
            <w:vAlign w:val="center"/>
            <w:hideMark/>
          </w:tcPr>
          <w:p w14:paraId="16C257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000000" w:fill="D3D3D3"/>
            <w:noWrap/>
            <w:vAlign w:val="center"/>
            <w:hideMark/>
          </w:tcPr>
          <w:p w14:paraId="38AC5D8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478DC20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459CE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2466226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7D421A6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BFD18C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single" w:sz="4" w:space="0" w:color="auto"/>
              <w:left w:val="nil"/>
              <w:bottom w:val="single" w:sz="8" w:space="0" w:color="auto"/>
              <w:right w:val="single" w:sz="8" w:space="0" w:color="auto"/>
            </w:tcBorders>
            <w:shd w:val="clear" w:color="auto" w:fill="auto"/>
            <w:noWrap/>
            <w:vAlign w:val="center"/>
            <w:hideMark/>
          </w:tcPr>
          <w:p w14:paraId="67AD295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7917E9B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256DD5A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01AABFF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24FF8A32"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1272D6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2.B.6 - Titanium Dioxide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3705006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000000" w:fill="D3D3D3"/>
            <w:noWrap/>
            <w:vAlign w:val="center"/>
            <w:hideMark/>
          </w:tcPr>
          <w:p w14:paraId="55EDA6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192C38D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08E40E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7C5D278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CC31E3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046A333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793B90A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7D29686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38971C7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182D0F5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13B1BF2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29E48864"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A65752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2.B.7 - Soda Ash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214B727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000000" w:fill="D3D3D3"/>
            <w:noWrap/>
            <w:vAlign w:val="center"/>
            <w:hideMark/>
          </w:tcPr>
          <w:p w14:paraId="667231D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45EEE84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79530B6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01E9F73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07BDCF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17DA992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3831A92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6431FDE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6CE6CE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6D8DE6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77D7B9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5BFE9657"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F51207F"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2.B.8 - Petrochemical and Carbon Black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26587C8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auto" w:fill="auto"/>
            <w:noWrap/>
            <w:vAlign w:val="center"/>
            <w:hideMark/>
          </w:tcPr>
          <w:p w14:paraId="2BAD4EE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000000" w:fill="D3D3D3"/>
            <w:noWrap/>
            <w:vAlign w:val="center"/>
            <w:hideMark/>
          </w:tcPr>
          <w:p w14:paraId="32B9FA2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3BE36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34497D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0982CD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7A0A0E6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ED6AD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3CCBEB7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7615CC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3D65D0B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0603D49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3B1C283D"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0DA7560"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2.B.9 - Fluorochemical Production </w:t>
            </w:r>
          </w:p>
        </w:tc>
        <w:tc>
          <w:tcPr>
            <w:tcW w:w="360" w:type="pct"/>
            <w:tcBorders>
              <w:top w:val="nil"/>
              <w:left w:val="nil"/>
              <w:bottom w:val="single" w:sz="8" w:space="0" w:color="auto"/>
              <w:right w:val="single" w:sz="8" w:space="0" w:color="auto"/>
            </w:tcBorders>
            <w:shd w:val="clear" w:color="000000" w:fill="D3D3D3"/>
            <w:noWrap/>
            <w:vAlign w:val="center"/>
            <w:hideMark/>
          </w:tcPr>
          <w:p w14:paraId="67D5C1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0E74404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1CD388C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7A3282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7ED568A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auto" w:fill="auto"/>
            <w:noWrap/>
            <w:vAlign w:val="center"/>
            <w:hideMark/>
          </w:tcPr>
          <w:p w14:paraId="5C1CD57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60" w:type="pct"/>
            <w:tcBorders>
              <w:top w:val="nil"/>
              <w:left w:val="nil"/>
              <w:bottom w:val="single" w:sz="8" w:space="0" w:color="auto"/>
              <w:right w:val="single" w:sz="8" w:space="0" w:color="auto"/>
            </w:tcBorders>
            <w:shd w:val="clear" w:color="auto" w:fill="auto"/>
            <w:noWrap/>
            <w:vAlign w:val="center"/>
            <w:hideMark/>
          </w:tcPr>
          <w:p w14:paraId="593607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411" w:type="pct"/>
            <w:tcBorders>
              <w:top w:val="nil"/>
              <w:left w:val="nil"/>
              <w:bottom w:val="single" w:sz="8" w:space="0" w:color="auto"/>
              <w:right w:val="single" w:sz="8" w:space="0" w:color="auto"/>
            </w:tcBorders>
            <w:shd w:val="clear" w:color="auto" w:fill="auto"/>
            <w:noWrap/>
            <w:vAlign w:val="center"/>
            <w:hideMark/>
          </w:tcPr>
          <w:p w14:paraId="08C5E33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2AAA79B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690B44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704D14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581BBC8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36400BBE"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240718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2.B.10 - Other (Please specify) </w:t>
            </w:r>
          </w:p>
        </w:tc>
        <w:tc>
          <w:tcPr>
            <w:tcW w:w="360" w:type="pct"/>
            <w:tcBorders>
              <w:top w:val="nil"/>
              <w:left w:val="nil"/>
              <w:bottom w:val="single" w:sz="8" w:space="0" w:color="auto"/>
              <w:right w:val="single" w:sz="8" w:space="0" w:color="auto"/>
            </w:tcBorders>
            <w:shd w:val="clear" w:color="auto" w:fill="auto"/>
            <w:noWrap/>
            <w:vAlign w:val="center"/>
            <w:hideMark/>
          </w:tcPr>
          <w:p w14:paraId="3D50C2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auto" w:fill="auto"/>
            <w:noWrap/>
            <w:vAlign w:val="center"/>
            <w:hideMark/>
          </w:tcPr>
          <w:p w14:paraId="5E54D6B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77BE523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5B6608F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7472A9B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auto" w:fill="auto"/>
            <w:noWrap/>
            <w:vAlign w:val="center"/>
            <w:hideMark/>
          </w:tcPr>
          <w:p w14:paraId="6DE4F3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60" w:type="pct"/>
            <w:tcBorders>
              <w:top w:val="nil"/>
              <w:left w:val="nil"/>
              <w:bottom w:val="single" w:sz="8" w:space="0" w:color="auto"/>
              <w:right w:val="single" w:sz="8" w:space="0" w:color="auto"/>
            </w:tcBorders>
            <w:shd w:val="clear" w:color="auto" w:fill="auto"/>
            <w:noWrap/>
            <w:vAlign w:val="center"/>
            <w:hideMark/>
          </w:tcPr>
          <w:p w14:paraId="036A975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411" w:type="pct"/>
            <w:tcBorders>
              <w:top w:val="nil"/>
              <w:left w:val="nil"/>
              <w:bottom w:val="single" w:sz="8" w:space="0" w:color="auto"/>
              <w:right w:val="single" w:sz="8" w:space="0" w:color="auto"/>
            </w:tcBorders>
            <w:shd w:val="clear" w:color="auto" w:fill="auto"/>
            <w:noWrap/>
            <w:vAlign w:val="center"/>
            <w:hideMark/>
          </w:tcPr>
          <w:p w14:paraId="2B3C5BD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459C17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1035E64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7ECFB8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01F8862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0C97E8E8"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20F55FC"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2.C - Metal Industry </w:t>
            </w:r>
          </w:p>
        </w:tc>
        <w:tc>
          <w:tcPr>
            <w:tcW w:w="360" w:type="pct"/>
            <w:tcBorders>
              <w:top w:val="nil"/>
              <w:left w:val="nil"/>
              <w:bottom w:val="single" w:sz="8" w:space="0" w:color="auto"/>
              <w:right w:val="single" w:sz="8" w:space="0" w:color="auto"/>
            </w:tcBorders>
            <w:shd w:val="clear" w:color="000000" w:fill="90EE90"/>
            <w:noWrap/>
            <w:vAlign w:val="center"/>
            <w:hideMark/>
          </w:tcPr>
          <w:p w14:paraId="31628C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4.069</w:t>
            </w:r>
          </w:p>
        </w:tc>
        <w:tc>
          <w:tcPr>
            <w:tcW w:w="256" w:type="pct"/>
            <w:tcBorders>
              <w:top w:val="nil"/>
              <w:left w:val="nil"/>
              <w:bottom w:val="single" w:sz="8" w:space="0" w:color="auto"/>
              <w:right w:val="single" w:sz="8" w:space="0" w:color="auto"/>
            </w:tcBorders>
            <w:shd w:val="clear" w:color="000000" w:fill="90EE90"/>
            <w:noWrap/>
            <w:vAlign w:val="center"/>
            <w:hideMark/>
          </w:tcPr>
          <w:p w14:paraId="2CC234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316BB4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0BF882A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57B9B0B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09BE1B9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5D35ADB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6F5676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631407A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0.007</w:t>
            </w:r>
          </w:p>
        </w:tc>
        <w:tc>
          <w:tcPr>
            <w:tcW w:w="359" w:type="pct"/>
            <w:tcBorders>
              <w:top w:val="nil"/>
              <w:left w:val="nil"/>
              <w:bottom w:val="single" w:sz="8" w:space="0" w:color="auto"/>
              <w:right w:val="single" w:sz="8" w:space="0" w:color="auto"/>
            </w:tcBorders>
            <w:shd w:val="clear" w:color="000000" w:fill="90EE90"/>
            <w:noWrap/>
            <w:vAlign w:val="center"/>
            <w:hideMark/>
          </w:tcPr>
          <w:p w14:paraId="1276FAC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797F34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0.002</w:t>
            </w:r>
          </w:p>
        </w:tc>
        <w:tc>
          <w:tcPr>
            <w:tcW w:w="280" w:type="pct"/>
            <w:tcBorders>
              <w:top w:val="nil"/>
              <w:left w:val="nil"/>
              <w:bottom w:val="single" w:sz="8" w:space="0" w:color="auto"/>
              <w:right w:val="single" w:sz="8" w:space="0" w:color="auto"/>
            </w:tcBorders>
            <w:shd w:val="clear" w:color="000000" w:fill="90EE90"/>
            <w:noWrap/>
            <w:vAlign w:val="center"/>
            <w:hideMark/>
          </w:tcPr>
          <w:p w14:paraId="2012CEE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0.003</w:t>
            </w:r>
          </w:p>
        </w:tc>
      </w:tr>
      <w:tr w:rsidR="006B1FB2" w:rsidRPr="00191ACB" w14:paraId="5039EF46"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ACECB39"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2.C.1 - Iron and Steel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2A57135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4.063</w:t>
            </w:r>
          </w:p>
        </w:tc>
        <w:tc>
          <w:tcPr>
            <w:tcW w:w="256" w:type="pct"/>
            <w:tcBorders>
              <w:top w:val="nil"/>
              <w:left w:val="nil"/>
              <w:bottom w:val="single" w:sz="8" w:space="0" w:color="auto"/>
              <w:right w:val="single" w:sz="8" w:space="0" w:color="auto"/>
            </w:tcBorders>
            <w:shd w:val="clear" w:color="auto" w:fill="auto"/>
            <w:noWrap/>
            <w:vAlign w:val="center"/>
            <w:hideMark/>
          </w:tcPr>
          <w:p w14:paraId="698E9F7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D3D3D3"/>
            <w:noWrap/>
            <w:vAlign w:val="center"/>
            <w:hideMark/>
          </w:tcPr>
          <w:p w14:paraId="1F88796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1A6A1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008FF04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2D0239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49711F8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13D470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57D9974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0.007</w:t>
            </w:r>
          </w:p>
        </w:tc>
        <w:tc>
          <w:tcPr>
            <w:tcW w:w="359" w:type="pct"/>
            <w:tcBorders>
              <w:top w:val="nil"/>
              <w:left w:val="nil"/>
              <w:bottom w:val="single" w:sz="8" w:space="0" w:color="auto"/>
              <w:right w:val="single" w:sz="8" w:space="0" w:color="auto"/>
            </w:tcBorders>
            <w:shd w:val="clear" w:color="auto" w:fill="auto"/>
            <w:noWrap/>
            <w:vAlign w:val="center"/>
            <w:hideMark/>
          </w:tcPr>
          <w:p w14:paraId="518C57A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auto" w:fill="auto"/>
            <w:noWrap/>
            <w:vAlign w:val="center"/>
            <w:hideMark/>
          </w:tcPr>
          <w:p w14:paraId="100A8C1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0.002</w:t>
            </w:r>
          </w:p>
        </w:tc>
        <w:tc>
          <w:tcPr>
            <w:tcW w:w="280" w:type="pct"/>
            <w:tcBorders>
              <w:top w:val="nil"/>
              <w:left w:val="nil"/>
              <w:bottom w:val="single" w:sz="8" w:space="0" w:color="auto"/>
              <w:right w:val="single" w:sz="8" w:space="0" w:color="auto"/>
            </w:tcBorders>
            <w:shd w:val="clear" w:color="auto" w:fill="auto"/>
            <w:noWrap/>
            <w:vAlign w:val="center"/>
            <w:hideMark/>
          </w:tcPr>
          <w:p w14:paraId="7FADF9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0.003</w:t>
            </w:r>
          </w:p>
        </w:tc>
      </w:tr>
      <w:tr w:rsidR="006B1FB2" w:rsidRPr="00191ACB" w14:paraId="74715274"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99D3D73"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2.C.2 - Ferroalloys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004B49A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0.006</w:t>
            </w:r>
          </w:p>
        </w:tc>
        <w:tc>
          <w:tcPr>
            <w:tcW w:w="256" w:type="pct"/>
            <w:tcBorders>
              <w:top w:val="nil"/>
              <w:left w:val="nil"/>
              <w:bottom w:val="single" w:sz="8" w:space="0" w:color="auto"/>
              <w:right w:val="single" w:sz="8" w:space="0" w:color="auto"/>
            </w:tcBorders>
            <w:shd w:val="clear" w:color="auto" w:fill="auto"/>
            <w:noWrap/>
            <w:vAlign w:val="center"/>
            <w:hideMark/>
          </w:tcPr>
          <w:p w14:paraId="635492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D3D3D3"/>
            <w:noWrap/>
            <w:vAlign w:val="center"/>
            <w:hideMark/>
          </w:tcPr>
          <w:p w14:paraId="3E742AD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099D00E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737921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59ECCB8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6C49034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4810E4E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4B2A982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359" w:type="pct"/>
            <w:tcBorders>
              <w:top w:val="nil"/>
              <w:left w:val="nil"/>
              <w:bottom w:val="single" w:sz="8" w:space="0" w:color="auto"/>
              <w:right w:val="single" w:sz="8" w:space="0" w:color="auto"/>
            </w:tcBorders>
            <w:shd w:val="clear" w:color="auto" w:fill="auto"/>
            <w:noWrap/>
            <w:vAlign w:val="center"/>
            <w:hideMark/>
          </w:tcPr>
          <w:p w14:paraId="3C1D1F3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308" w:type="pct"/>
            <w:tcBorders>
              <w:top w:val="nil"/>
              <w:left w:val="nil"/>
              <w:bottom w:val="single" w:sz="8" w:space="0" w:color="auto"/>
              <w:right w:val="single" w:sz="8" w:space="0" w:color="auto"/>
            </w:tcBorders>
            <w:shd w:val="clear" w:color="auto" w:fill="auto"/>
            <w:noWrap/>
            <w:vAlign w:val="center"/>
            <w:hideMark/>
          </w:tcPr>
          <w:p w14:paraId="44442AA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280" w:type="pct"/>
            <w:tcBorders>
              <w:top w:val="nil"/>
              <w:left w:val="nil"/>
              <w:bottom w:val="single" w:sz="8" w:space="0" w:color="auto"/>
              <w:right w:val="single" w:sz="8" w:space="0" w:color="auto"/>
            </w:tcBorders>
            <w:shd w:val="clear" w:color="auto" w:fill="auto"/>
            <w:noWrap/>
            <w:vAlign w:val="center"/>
            <w:hideMark/>
          </w:tcPr>
          <w:p w14:paraId="0625D53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77E3C663"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A75242D"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2.C.3 - Aluminium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3AF9ABE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000000" w:fill="D3D3D3"/>
            <w:noWrap/>
            <w:vAlign w:val="center"/>
            <w:hideMark/>
          </w:tcPr>
          <w:p w14:paraId="1743FFA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26B2870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9F1D7B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3DEDD46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000000" w:fill="D3D3D3"/>
            <w:noWrap/>
            <w:vAlign w:val="center"/>
            <w:hideMark/>
          </w:tcPr>
          <w:p w14:paraId="67FA91D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12B8D85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auto" w:fill="auto"/>
            <w:noWrap/>
            <w:vAlign w:val="center"/>
            <w:hideMark/>
          </w:tcPr>
          <w:p w14:paraId="584F69A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7994F76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62E4B63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7B2F16A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5884C0C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5CF605C4"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83EC41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2.C.4 - Magnesium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1AF5979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000000" w:fill="D3D3D3"/>
            <w:noWrap/>
            <w:vAlign w:val="center"/>
            <w:hideMark/>
          </w:tcPr>
          <w:p w14:paraId="5AC4A78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455D0BE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D9DF5B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4FE8E0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auto" w:fill="auto"/>
            <w:noWrap/>
            <w:vAlign w:val="center"/>
            <w:hideMark/>
          </w:tcPr>
          <w:p w14:paraId="3406BD7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60" w:type="pct"/>
            <w:tcBorders>
              <w:top w:val="nil"/>
              <w:left w:val="nil"/>
              <w:bottom w:val="single" w:sz="8" w:space="0" w:color="auto"/>
              <w:right w:val="single" w:sz="8" w:space="0" w:color="auto"/>
            </w:tcBorders>
            <w:shd w:val="clear" w:color="000000" w:fill="D3D3D3"/>
            <w:noWrap/>
            <w:vAlign w:val="center"/>
            <w:hideMark/>
          </w:tcPr>
          <w:p w14:paraId="019FA03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auto" w:fill="auto"/>
            <w:noWrap/>
            <w:vAlign w:val="center"/>
            <w:hideMark/>
          </w:tcPr>
          <w:p w14:paraId="63D29FA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224451B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31FFC2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3BDC67F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118CAD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77D51734"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5482949"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2.C.5 - Lead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1C64C3B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000000" w:fill="D3D3D3"/>
            <w:noWrap/>
            <w:vAlign w:val="center"/>
            <w:hideMark/>
          </w:tcPr>
          <w:p w14:paraId="60B60AE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42CDAA5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70DBF8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57A512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088F3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70FB123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AF7AF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3B02D64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76E3D5F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1D94FD1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77BF0FF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45BA0362"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4E80C05"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2.C.6 - Zinc Production </w:t>
            </w:r>
          </w:p>
        </w:tc>
        <w:tc>
          <w:tcPr>
            <w:tcW w:w="360" w:type="pct"/>
            <w:tcBorders>
              <w:top w:val="nil"/>
              <w:left w:val="nil"/>
              <w:bottom w:val="single" w:sz="8" w:space="0" w:color="auto"/>
              <w:right w:val="single" w:sz="8" w:space="0" w:color="auto"/>
            </w:tcBorders>
            <w:shd w:val="clear" w:color="auto" w:fill="auto"/>
            <w:noWrap/>
            <w:vAlign w:val="center"/>
            <w:hideMark/>
          </w:tcPr>
          <w:p w14:paraId="1521E57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000000" w:fill="D3D3D3"/>
            <w:noWrap/>
            <w:vAlign w:val="center"/>
            <w:hideMark/>
          </w:tcPr>
          <w:p w14:paraId="506D1BA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04CA1D6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8D69C1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3C2EBD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681B4DB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7A8264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774E44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10B21EC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1C52811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242F4B4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456819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50F390E8"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C20A5D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2.C.7 - Other (please specify) </w:t>
            </w:r>
          </w:p>
        </w:tc>
        <w:tc>
          <w:tcPr>
            <w:tcW w:w="360" w:type="pct"/>
            <w:tcBorders>
              <w:top w:val="nil"/>
              <w:left w:val="nil"/>
              <w:bottom w:val="single" w:sz="8" w:space="0" w:color="auto"/>
              <w:right w:val="single" w:sz="8" w:space="0" w:color="auto"/>
            </w:tcBorders>
            <w:shd w:val="clear" w:color="auto" w:fill="auto"/>
            <w:noWrap/>
            <w:vAlign w:val="center"/>
            <w:hideMark/>
          </w:tcPr>
          <w:p w14:paraId="5B86D76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auto" w:fill="auto"/>
            <w:noWrap/>
            <w:vAlign w:val="center"/>
            <w:hideMark/>
          </w:tcPr>
          <w:p w14:paraId="5F02BAB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06C2346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6361548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27F44AE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auto" w:fill="auto"/>
            <w:noWrap/>
            <w:vAlign w:val="center"/>
            <w:hideMark/>
          </w:tcPr>
          <w:p w14:paraId="61E98E6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60" w:type="pct"/>
            <w:tcBorders>
              <w:top w:val="nil"/>
              <w:left w:val="nil"/>
              <w:bottom w:val="single" w:sz="8" w:space="0" w:color="auto"/>
              <w:right w:val="single" w:sz="8" w:space="0" w:color="auto"/>
            </w:tcBorders>
            <w:shd w:val="clear" w:color="auto" w:fill="auto"/>
            <w:noWrap/>
            <w:vAlign w:val="center"/>
            <w:hideMark/>
          </w:tcPr>
          <w:p w14:paraId="5808D8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411" w:type="pct"/>
            <w:tcBorders>
              <w:top w:val="nil"/>
              <w:left w:val="nil"/>
              <w:bottom w:val="single" w:sz="8" w:space="0" w:color="auto"/>
              <w:right w:val="single" w:sz="8" w:space="0" w:color="auto"/>
            </w:tcBorders>
            <w:shd w:val="clear" w:color="auto" w:fill="auto"/>
            <w:noWrap/>
            <w:vAlign w:val="center"/>
            <w:hideMark/>
          </w:tcPr>
          <w:p w14:paraId="6658A4E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71BC46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5ED964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54F635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047328D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513ABEF0"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2B0B0054"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2.D - Non-Energy Products from Fuels and Solvent Use </w:t>
            </w:r>
          </w:p>
        </w:tc>
        <w:tc>
          <w:tcPr>
            <w:tcW w:w="360" w:type="pct"/>
            <w:tcBorders>
              <w:top w:val="nil"/>
              <w:left w:val="nil"/>
              <w:bottom w:val="single" w:sz="8" w:space="0" w:color="auto"/>
              <w:right w:val="single" w:sz="8" w:space="0" w:color="auto"/>
            </w:tcBorders>
            <w:shd w:val="clear" w:color="000000" w:fill="90EE90"/>
            <w:noWrap/>
            <w:vAlign w:val="center"/>
            <w:hideMark/>
          </w:tcPr>
          <w:p w14:paraId="60186D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20.11</w:t>
            </w:r>
          </w:p>
        </w:tc>
        <w:tc>
          <w:tcPr>
            <w:tcW w:w="256" w:type="pct"/>
            <w:tcBorders>
              <w:top w:val="nil"/>
              <w:left w:val="nil"/>
              <w:bottom w:val="single" w:sz="8" w:space="0" w:color="auto"/>
              <w:right w:val="single" w:sz="8" w:space="0" w:color="auto"/>
            </w:tcBorders>
            <w:shd w:val="clear" w:color="000000" w:fill="90EE90"/>
            <w:noWrap/>
            <w:vAlign w:val="center"/>
            <w:hideMark/>
          </w:tcPr>
          <w:p w14:paraId="242DE9A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10693B7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301B9DA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2E7CADF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002ADE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07B26B4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62C9CE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730F27B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27736A3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11BE14C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90EE90"/>
            <w:noWrap/>
            <w:vAlign w:val="center"/>
            <w:hideMark/>
          </w:tcPr>
          <w:p w14:paraId="442EC4A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3F3446E8"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5BBE496"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2.D.1 - Lubricant Use </w:t>
            </w:r>
          </w:p>
        </w:tc>
        <w:tc>
          <w:tcPr>
            <w:tcW w:w="360" w:type="pct"/>
            <w:tcBorders>
              <w:top w:val="nil"/>
              <w:left w:val="nil"/>
              <w:bottom w:val="single" w:sz="8" w:space="0" w:color="auto"/>
              <w:right w:val="single" w:sz="8" w:space="0" w:color="auto"/>
            </w:tcBorders>
            <w:shd w:val="clear" w:color="auto" w:fill="auto"/>
            <w:noWrap/>
            <w:vAlign w:val="center"/>
            <w:hideMark/>
          </w:tcPr>
          <w:p w14:paraId="243D41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20.11</w:t>
            </w:r>
          </w:p>
        </w:tc>
        <w:tc>
          <w:tcPr>
            <w:tcW w:w="256" w:type="pct"/>
            <w:tcBorders>
              <w:top w:val="nil"/>
              <w:left w:val="nil"/>
              <w:bottom w:val="single" w:sz="8" w:space="0" w:color="auto"/>
              <w:right w:val="single" w:sz="8" w:space="0" w:color="auto"/>
            </w:tcBorders>
            <w:shd w:val="clear" w:color="000000" w:fill="D3D3D3"/>
            <w:noWrap/>
            <w:vAlign w:val="center"/>
            <w:hideMark/>
          </w:tcPr>
          <w:p w14:paraId="5D126A9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268F9B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E4AF23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4C3A788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7A2F93F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0E4C1CF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18FECB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01C91D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359" w:type="pct"/>
            <w:tcBorders>
              <w:top w:val="nil"/>
              <w:left w:val="nil"/>
              <w:bottom w:val="single" w:sz="8" w:space="0" w:color="auto"/>
              <w:right w:val="single" w:sz="8" w:space="0" w:color="auto"/>
            </w:tcBorders>
            <w:shd w:val="clear" w:color="auto" w:fill="auto"/>
            <w:noWrap/>
            <w:vAlign w:val="center"/>
            <w:hideMark/>
          </w:tcPr>
          <w:p w14:paraId="1B6DBAF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308" w:type="pct"/>
            <w:tcBorders>
              <w:top w:val="nil"/>
              <w:left w:val="nil"/>
              <w:bottom w:val="single" w:sz="8" w:space="0" w:color="auto"/>
              <w:right w:val="single" w:sz="8" w:space="0" w:color="auto"/>
            </w:tcBorders>
            <w:shd w:val="clear" w:color="auto" w:fill="auto"/>
            <w:noWrap/>
            <w:vAlign w:val="center"/>
            <w:hideMark/>
          </w:tcPr>
          <w:p w14:paraId="5BAA9E1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280" w:type="pct"/>
            <w:tcBorders>
              <w:top w:val="nil"/>
              <w:left w:val="nil"/>
              <w:bottom w:val="single" w:sz="8" w:space="0" w:color="auto"/>
              <w:right w:val="single" w:sz="8" w:space="0" w:color="auto"/>
            </w:tcBorders>
            <w:shd w:val="clear" w:color="auto" w:fill="auto"/>
            <w:noWrap/>
            <w:vAlign w:val="center"/>
            <w:hideMark/>
          </w:tcPr>
          <w:p w14:paraId="3B802C6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31ACCF90"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39103CD"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2.D.2 - Paraffin Wax Use </w:t>
            </w:r>
          </w:p>
        </w:tc>
        <w:tc>
          <w:tcPr>
            <w:tcW w:w="360" w:type="pct"/>
            <w:tcBorders>
              <w:top w:val="nil"/>
              <w:left w:val="nil"/>
              <w:bottom w:val="single" w:sz="8" w:space="0" w:color="auto"/>
              <w:right w:val="single" w:sz="8" w:space="0" w:color="auto"/>
            </w:tcBorders>
            <w:shd w:val="clear" w:color="auto" w:fill="auto"/>
            <w:noWrap/>
            <w:vAlign w:val="center"/>
            <w:hideMark/>
          </w:tcPr>
          <w:p w14:paraId="7D4BC1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D3D3D3"/>
            <w:noWrap/>
            <w:vAlign w:val="center"/>
            <w:hideMark/>
          </w:tcPr>
          <w:p w14:paraId="5E430A5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4CF0E9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1480AC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3D2C2D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578AB68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7F89713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56C96E2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08947F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359" w:type="pct"/>
            <w:tcBorders>
              <w:top w:val="nil"/>
              <w:left w:val="nil"/>
              <w:bottom w:val="single" w:sz="8" w:space="0" w:color="auto"/>
              <w:right w:val="single" w:sz="8" w:space="0" w:color="auto"/>
            </w:tcBorders>
            <w:shd w:val="clear" w:color="auto" w:fill="auto"/>
            <w:noWrap/>
            <w:vAlign w:val="center"/>
            <w:hideMark/>
          </w:tcPr>
          <w:p w14:paraId="43EC327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308" w:type="pct"/>
            <w:tcBorders>
              <w:top w:val="nil"/>
              <w:left w:val="nil"/>
              <w:bottom w:val="single" w:sz="8" w:space="0" w:color="auto"/>
              <w:right w:val="single" w:sz="8" w:space="0" w:color="auto"/>
            </w:tcBorders>
            <w:shd w:val="clear" w:color="auto" w:fill="auto"/>
            <w:noWrap/>
            <w:vAlign w:val="center"/>
            <w:hideMark/>
          </w:tcPr>
          <w:p w14:paraId="57588D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280" w:type="pct"/>
            <w:tcBorders>
              <w:top w:val="nil"/>
              <w:left w:val="nil"/>
              <w:bottom w:val="single" w:sz="8" w:space="0" w:color="auto"/>
              <w:right w:val="single" w:sz="8" w:space="0" w:color="auto"/>
            </w:tcBorders>
            <w:shd w:val="clear" w:color="auto" w:fill="auto"/>
            <w:noWrap/>
            <w:vAlign w:val="center"/>
            <w:hideMark/>
          </w:tcPr>
          <w:p w14:paraId="7B4C1A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1F4A2C23"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DA39DD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2.D.3 - Solvent Use </w:t>
            </w:r>
          </w:p>
        </w:tc>
        <w:tc>
          <w:tcPr>
            <w:tcW w:w="360" w:type="pct"/>
            <w:tcBorders>
              <w:top w:val="nil"/>
              <w:left w:val="nil"/>
              <w:bottom w:val="single" w:sz="8" w:space="0" w:color="auto"/>
              <w:right w:val="single" w:sz="8" w:space="0" w:color="auto"/>
            </w:tcBorders>
            <w:shd w:val="clear" w:color="000000" w:fill="D3D3D3"/>
            <w:noWrap/>
            <w:vAlign w:val="center"/>
            <w:hideMark/>
          </w:tcPr>
          <w:p w14:paraId="18EBAC8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2446AC4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464D10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57C8C4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61F4A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596F6E4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22E5B5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18386D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0DD907C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5A0D1C9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440D990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58B47DC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42DDB430"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B8C035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2.D.4 - Other (please specify) </w:t>
            </w:r>
          </w:p>
        </w:tc>
        <w:tc>
          <w:tcPr>
            <w:tcW w:w="360" w:type="pct"/>
            <w:tcBorders>
              <w:top w:val="nil"/>
              <w:left w:val="nil"/>
              <w:bottom w:val="single" w:sz="8" w:space="0" w:color="auto"/>
              <w:right w:val="single" w:sz="8" w:space="0" w:color="auto"/>
            </w:tcBorders>
            <w:shd w:val="clear" w:color="auto" w:fill="auto"/>
            <w:noWrap/>
            <w:vAlign w:val="center"/>
            <w:hideMark/>
          </w:tcPr>
          <w:p w14:paraId="45683B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auto" w:fill="auto"/>
            <w:noWrap/>
            <w:vAlign w:val="center"/>
            <w:hideMark/>
          </w:tcPr>
          <w:p w14:paraId="4AAC638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527283B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D3D3D3"/>
            <w:noWrap/>
            <w:vAlign w:val="center"/>
            <w:hideMark/>
          </w:tcPr>
          <w:p w14:paraId="0E34B9C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7C727F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4E55C6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4BB052B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46630C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60D8F8A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7EC88BA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6EA2E6E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7A81065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01CD54B4"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E567B44"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2.E - Electronics Industry </w:t>
            </w:r>
          </w:p>
        </w:tc>
        <w:tc>
          <w:tcPr>
            <w:tcW w:w="360" w:type="pct"/>
            <w:tcBorders>
              <w:top w:val="nil"/>
              <w:left w:val="nil"/>
              <w:bottom w:val="single" w:sz="8" w:space="0" w:color="auto"/>
              <w:right w:val="single" w:sz="8" w:space="0" w:color="auto"/>
            </w:tcBorders>
            <w:shd w:val="clear" w:color="000000" w:fill="90EE90"/>
            <w:noWrap/>
            <w:vAlign w:val="center"/>
            <w:hideMark/>
          </w:tcPr>
          <w:p w14:paraId="66C3B3C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000000" w:fill="90EE90"/>
            <w:noWrap/>
            <w:vAlign w:val="center"/>
            <w:hideMark/>
          </w:tcPr>
          <w:p w14:paraId="7CD4851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000000" w:fill="90EE90"/>
            <w:noWrap/>
            <w:vAlign w:val="center"/>
            <w:hideMark/>
          </w:tcPr>
          <w:p w14:paraId="0004006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90EE90"/>
            <w:noWrap/>
            <w:vAlign w:val="center"/>
            <w:hideMark/>
          </w:tcPr>
          <w:p w14:paraId="349153B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90EE90"/>
            <w:noWrap/>
            <w:vAlign w:val="center"/>
            <w:hideMark/>
          </w:tcPr>
          <w:p w14:paraId="4644EEC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000000" w:fill="90EE90"/>
            <w:noWrap/>
            <w:vAlign w:val="center"/>
            <w:hideMark/>
          </w:tcPr>
          <w:p w14:paraId="5D88BCB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60" w:type="pct"/>
            <w:tcBorders>
              <w:top w:val="nil"/>
              <w:left w:val="nil"/>
              <w:bottom w:val="single" w:sz="8" w:space="0" w:color="auto"/>
              <w:right w:val="single" w:sz="8" w:space="0" w:color="auto"/>
            </w:tcBorders>
            <w:shd w:val="clear" w:color="000000" w:fill="90EE90"/>
            <w:noWrap/>
            <w:vAlign w:val="center"/>
            <w:hideMark/>
          </w:tcPr>
          <w:p w14:paraId="61BCA30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411" w:type="pct"/>
            <w:tcBorders>
              <w:top w:val="nil"/>
              <w:left w:val="nil"/>
              <w:bottom w:val="single" w:sz="8" w:space="0" w:color="auto"/>
              <w:right w:val="single" w:sz="8" w:space="0" w:color="auto"/>
            </w:tcBorders>
            <w:shd w:val="clear" w:color="000000" w:fill="90EE90"/>
            <w:noWrap/>
            <w:vAlign w:val="center"/>
            <w:hideMark/>
          </w:tcPr>
          <w:p w14:paraId="1CC728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000000" w:fill="90EE90"/>
            <w:noWrap/>
            <w:vAlign w:val="center"/>
            <w:hideMark/>
          </w:tcPr>
          <w:p w14:paraId="1F6E36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000000" w:fill="90EE90"/>
            <w:noWrap/>
            <w:vAlign w:val="center"/>
            <w:hideMark/>
          </w:tcPr>
          <w:p w14:paraId="623C046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000000" w:fill="90EE90"/>
            <w:noWrap/>
            <w:vAlign w:val="center"/>
            <w:hideMark/>
          </w:tcPr>
          <w:p w14:paraId="33825CE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000000" w:fill="90EE90"/>
            <w:noWrap/>
            <w:vAlign w:val="center"/>
            <w:hideMark/>
          </w:tcPr>
          <w:p w14:paraId="2B33EB0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17230F66"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D371DF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2.E.1 - Integrated Circuit or Semiconductor </w:t>
            </w:r>
          </w:p>
        </w:tc>
        <w:tc>
          <w:tcPr>
            <w:tcW w:w="360" w:type="pct"/>
            <w:tcBorders>
              <w:top w:val="nil"/>
              <w:left w:val="nil"/>
              <w:bottom w:val="single" w:sz="8" w:space="0" w:color="auto"/>
              <w:right w:val="single" w:sz="8" w:space="0" w:color="auto"/>
            </w:tcBorders>
            <w:shd w:val="clear" w:color="000000" w:fill="D3D3D3"/>
            <w:noWrap/>
            <w:vAlign w:val="center"/>
            <w:hideMark/>
          </w:tcPr>
          <w:p w14:paraId="068626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638FABB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19BC25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61E981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56158C5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auto" w:fill="auto"/>
            <w:noWrap/>
            <w:vAlign w:val="center"/>
            <w:hideMark/>
          </w:tcPr>
          <w:p w14:paraId="13B64D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60" w:type="pct"/>
            <w:tcBorders>
              <w:top w:val="nil"/>
              <w:left w:val="nil"/>
              <w:bottom w:val="single" w:sz="8" w:space="0" w:color="auto"/>
              <w:right w:val="single" w:sz="8" w:space="0" w:color="auto"/>
            </w:tcBorders>
            <w:shd w:val="clear" w:color="auto" w:fill="auto"/>
            <w:noWrap/>
            <w:vAlign w:val="center"/>
            <w:hideMark/>
          </w:tcPr>
          <w:p w14:paraId="53BFB54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411" w:type="pct"/>
            <w:tcBorders>
              <w:top w:val="nil"/>
              <w:left w:val="nil"/>
              <w:bottom w:val="single" w:sz="8" w:space="0" w:color="auto"/>
              <w:right w:val="single" w:sz="8" w:space="0" w:color="auto"/>
            </w:tcBorders>
            <w:shd w:val="clear" w:color="auto" w:fill="auto"/>
            <w:noWrap/>
            <w:vAlign w:val="center"/>
            <w:hideMark/>
          </w:tcPr>
          <w:p w14:paraId="7C9A0A6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3C8E18A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3255065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02E1875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2110A8A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4952BEDD"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71288C8"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2.E.2 - TFT Flat Panel Display </w:t>
            </w:r>
          </w:p>
        </w:tc>
        <w:tc>
          <w:tcPr>
            <w:tcW w:w="360" w:type="pct"/>
            <w:tcBorders>
              <w:top w:val="nil"/>
              <w:left w:val="nil"/>
              <w:bottom w:val="single" w:sz="8" w:space="0" w:color="auto"/>
              <w:right w:val="single" w:sz="8" w:space="0" w:color="auto"/>
            </w:tcBorders>
            <w:shd w:val="clear" w:color="000000" w:fill="D3D3D3"/>
            <w:noWrap/>
            <w:vAlign w:val="center"/>
            <w:hideMark/>
          </w:tcPr>
          <w:p w14:paraId="5D163A7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38CEEB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75393D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FFC981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086329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auto" w:fill="auto"/>
            <w:noWrap/>
            <w:vAlign w:val="center"/>
            <w:hideMark/>
          </w:tcPr>
          <w:p w14:paraId="5F37609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60" w:type="pct"/>
            <w:tcBorders>
              <w:top w:val="nil"/>
              <w:left w:val="nil"/>
              <w:bottom w:val="single" w:sz="8" w:space="0" w:color="auto"/>
              <w:right w:val="single" w:sz="8" w:space="0" w:color="auto"/>
            </w:tcBorders>
            <w:shd w:val="clear" w:color="auto" w:fill="auto"/>
            <w:noWrap/>
            <w:vAlign w:val="center"/>
            <w:hideMark/>
          </w:tcPr>
          <w:p w14:paraId="6A80EEA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411" w:type="pct"/>
            <w:tcBorders>
              <w:top w:val="nil"/>
              <w:left w:val="nil"/>
              <w:bottom w:val="single" w:sz="8" w:space="0" w:color="auto"/>
              <w:right w:val="single" w:sz="8" w:space="0" w:color="auto"/>
            </w:tcBorders>
            <w:shd w:val="clear" w:color="auto" w:fill="auto"/>
            <w:noWrap/>
            <w:vAlign w:val="center"/>
            <w:hideMark/>
          </w:tcPr>
          <w:p w14:paraId="6F502AD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7187B64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7E694CC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28B2B5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6AF80E8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264EE514"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6711282"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2.E.3 - Photovoltaics </w:t>
            </w:r>
          </w:p>
        </w:tc>
        <w:tc>
          <w:tcPr>
            <w:tcW w:w="360" w:type="pct"/>
            <w:tcBorders>
              <w:top w:val="nil"/>
              <w:left w:val="nil"/>
              <w:bottom w:val="single" w:sz="8" w:space="0" w:color="auto"/>
              <w:right w:val="single" w:sz="8" w:space="0" w:color="auto"/>
            </w:tcBorders>
            <w:shd w:val="clear" w:color="000000" w:fill="D3D3D3"/>
            <w:noWrap/>
            <w:vAlign w:val="center"/>
            <w:hideMark/>
          </w:tcPr>
          <w:p w14:paraId="3ADFC01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34DA364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3260696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37B77B3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14FDCF2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000000" w:fill="D3D3D3"/>
            <w:noWrap/>
            <w:vAlign w:val="center"/>
            <w:hideMark/>
          </w:tcPr>
          <w:p w14:paraId="6802036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048A11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auto" w:fill="auto"/>
            <w:noWrap/>
            <w:vAlign w:val="center"/>
            <w:hideMark/>
          </w:tcPr>
          <w:p w14:paraId="6D59BF8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2716AB9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2BC277C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5E7A140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0C5EA79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6476D90B"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BB6F8B9"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2.E.4 - Heat Transfer Fluid </w:t>
            </w:r>
          </w:p>
        </w:tc>
        <w:tc>
          <w:tcPr>
            <w:tcW w:w="360" w:type="pct"/>
            <w:tcBorders>
              <w:top w:val="nil"/>
              <w:left w:val="nil"/>
              <w:bottom w:val="single" w:sz="8" w:space="0" w:color="auto"/>
              <w:right w:val="single" w:sz="8" w:space="0" w:color="auto"/>
            </w:tcBorders>
            <w:shd w:val="clear" w:color="000000" w:fill="D3D3D3"/>
            <w:noWrap/>
            <w:vAlign w:val="center"/>
            <w:hideMark/>
          </w:tcPr>
          <w:p w14:paraId="75709D7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7C56747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1BBDD72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CF41E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1C32CB7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000000" w:fill="D3D3D3"/>
            <w:noWrap/>
            <w:vAlign w:val="center"/>
            <w:hideMark/>
          </w:tcPr>
          <w:p w14:paraId="63B48B2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204AC8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auto" w:fill="auto"/>
            <w:noWrap/>
            <w:vAlign w:val="center"/>
            <w:hideMark/>
          </w:tcPr>
          <w:p w14:paraId="6FE8C09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4F3100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25F1D49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49747B5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14ADA3F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4C6807B8"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E71774D"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2.E.5 - Other (please specify) </w:t>
            </w:r>
          </w:p>
        </w:tc>
        <w:tc>
          <w:tcPr>
            <w:tcW w:w="360" w:type="pct"/>
            <w:tcBorders>
              <w:top w:val="nil"/>
              <w:left w:val="nil"/>
              <w:bottom w:val="single" w:sz="8" w:space="0" w:color="auto"/>
              <w:right w:val="single" w:sz="8" w:space="0" w:color="auto"/>
            </w:tcBorders>
            <w:shd w:val="clear" w:color="auto" w:fill="auto"/>
            <w:noWrap/>
            <w:vAlign w:val="center"/>
            <w:hideMark/>
          </w:tcPr>
          <w:p w14:paraId="21FAABE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auto" w:fill="auto"/>
            <w:noWrap/>
            <w:vAlign w:val="center"/>
            <w:hideMark/>
          </w:tcPr>
          <w:p w14:paraId="28A26C9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7A2D310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32BFA92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7DC8E0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auto" w:fill="auto"/>
            <w:noWrap/>
            <w:vAlign w:val="center"/>
            <w:hideMark/>
          </w:tcPr>
          <w:p w14:paraId="1E4C581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60" w:type="pct"/>
            <w:tcBorders>
              <w:top w:val="nil"/>
              <w:left w:val="nil"/>
              <w:bottom w:val="single" w:sz="8" w:space="0" w:color="auto"/>
              <w:right w:val="single" w:sz="8" w:space="0" w:color="auto"/>
            </w:tcBorders>
            <w:shd w:val="clear" w:color="auto" w:fill="auto"/>
            <w:noWrap/>
            <w:vAlign w:val="center"/>
            <w:hideMark/>
          </w:tcPr>
          <w:p w14:paraId="71DB4F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411" w:type="pct"/>
            <w:tcBorders>
              <w:top w:val="nil"/>
              <w:left w:val="nil"/>
              <w:bottom w:val="single" w:sz="8" w:space="0" w:color="auto"/>
              <w:right w:val="single" w:sz="8" w:space="0" w:color="auto"/>
            </w:tcBorders>
            <w:shd w:val="clear" w:color="auto" w:fill="auto"/>
            <w:noWrap/>
            <w:vAlign w:val="center"/>
            <w:hideMark/>
          </w:tcPr>
          <w:p w14:paraId="058AA9F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33A6E7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24FECA7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5DAAF8E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031B611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3368E4BC"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DFCF450"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2.F - Product Uses as Substitutes for Ozone Depleting Substances </w:t>
            </w:r>
          </w:p>
        </w:tc>
        <w:tc>
          <w:tcPr>
            <w:tcW w:w="360" w:type="pct"/>
            <w:tcBorders>
              <w:top w:val="nil"/>
              <w:left w:val="nil"/>
              <w:bottom w:val="single" w:sz="8" w:space="0" w:color="auto"/>
              <w:right w:val="single" w:sz="8" w:space="0" w:color="auto"/>
            </w:tcBorders>
            <w:shd w:val="clear" w:color="000000" w:fill="90EE90"/>
            <w:noWrap/>
            <w:vAlign w:val="center"/>
            <w:hideMark/>
          </w:tcPr>
          <w:p w14:paraId="7C35831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90EE90"/>
            <w:noWrap/>
            <w:vAlign w:val="center"/>
            <w:hideMark/>
          </w:tcPr>
          <w:p w14:paraId="2BF2137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00E2AD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132320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111.259</w:t>
            </w:r>
          </w:p>
        </w:tc>
        <w:tc>
          <w:tcPr>
            <w:tcW w:w="257" w:type="pct"/>
            <w:tcBorders>
              <w:top w:val="nil"/>
              <w:left w:val="nil"/>
              <w:bottom w:val="single" w:sz="8" w:space="0" w:color="auto"/>
              <w:right w:val="single" w:sz="8" w:space="0" w:color="auto"/>
            </w:tcBorders>
            <w:shd w:val="clear" w:color="000000" w:fill="90EE90"/>
            <w:noWrap/>
            <w:vAlign w:val="center"/>
            <w:hideMark/>
          </w:tcPr>
          <w:p w14:paraId="4592B36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05" w:type="pct"/>
            <w:tcBorders>
              <w:top w:val="nil"/>
              <w:left w:val="nil"/>
              <w:bottom w:val="single" w:sz="8" w:space="0" w:color="auto"/>
              <w:right w:val="single" w:sz="8" w:space="0" w:color="auto"/>
            </w:tcBorders>
            <w:shd w:val="clear" w:color="000000" w:fill="90EE90"/>
            <w:noWrap/>
            <w:vAlign w:val="center"/>
            <w:hideMark/>
          </w:tcPr>
          <w:p w14:paraId="27F9395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60" w:type="pct"/>
            <w:tcBorders>
              <w:top w:val="nil"/>
              <w:left w:val="nil"/>
              <w:bottom w:val="single" w:sz="8" w:space="0" w:color="auto"/>
              <w:right w:val="single" w:sz="8" w:space="0" w:color="auto"/>
            </w:tcBorders>
            <w:shd w:val="clear" w:color="000000" w:fill="90EE90"/>
            <w:noWrap/>
            <w:vAlign w:val="center"/>
            <w:hideMark/>
          </w:tcPr>
          <w:p w14:paraId="1F1A9D1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11" w:type="pct"/>
            <w:tcBorders>
              <w:top w:val="nil"/>
              <w:left w:val="nil"/>
              <w:bottom w:val="single" w:sz="8" w:space="0" w:color="auto"/>
              <w:right w:val="single" w:sz="8" w:space="0" w:color="auto"/>
            </w:tcBorders>
            <w:shd w:val="clear" w:color="000000" w:fill="90EE90"/>
            <w:noWrap/>
            <w:vAlign w:val="center"/>
            <w:hideMark/>
          </w:tcPr>
          <w:p w14:paraId="5B0A7D2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3C70720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000000" w:fill="90EE90"/>
            <w:noWrap/>
            <w:vAlign w:val="center"/>
            <w:hideMark/>
          </w:tcPr>
          <w:p w14:paraId="40D2374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5B9E76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000000" w:fill="90EE90"/>
            <w:noWrap/>
            <w:vAlign w:val="center"/>
            <w:hideMark/>
          </w:tcPr>
          <w:p w14:paraId="69350E0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341DBCC6"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A1BDC3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2.F.1 - Refrigeration and Air Conditioning </w:t>
            </w:r>
          </w:p>
        </w:tc>
        <w:tc>
          <w:tcPr>
            <w:tcW w:w="360" w:type="pct"/>
            <w:tcBorders>
              <w:top w:val="nil"/>
              <w:left w:val="nil"/>
              <w:bottom w:val="single" w:sz="8" w:space="0" w:color="auto"/>
              <w:right w:val="single" w:sz="8" w:space="0" w:color="auto"/>
            </w:tcBorders>
            <w:shd w:val="clear" w:color="000000" w:fill="D3D3D3"/>
            <w:noWrap/>
            <w:vAlign w:val="center"/>
            <w:hideMark/>
          </w:tcPr>
          <w:p w14:paraId="79DCBEC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248F3E4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26559C0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3D4FE87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111.259</w:t>
            </w:r>
          </w:p>
        </w:tc>
        <w:tc>
          <w:tcPr>
            <w:tcW w:w="257" w:type="pct"/>
            <w:tcBorders>
              <w:top w:val="nil"/>
              <w:left w:val="nil"/>
              <w:bottom w:val="single" w:sz="8" w:space="0" w:color="auto"/>
              <w:right w:val="single" w:sz="8" w:space="0" w:color="auto"/>
            </w:tcBorders>
            <w:shd w:val="clear" w:color="000000" w:fill="D3D3D3"/>
            <w:noWrap/>
            <w:vAlign w:val="center"/>
            <w:hideMark/>
          </w:tcPr>
          <w:p w14:paraId="3D9656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4B881A3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F61A07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auto" w:fill="auto"/>
            <w:noWrap/>
            <w:vAlign w:val="center"/>
            <w:hideMark/>
          </w:tcPr>
          <w:p w14:paraId="1F56E1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631CBD3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609465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37FE8E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3B9DE9C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4661D897"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3DFD716"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2.F.2 - Foam Blowing Agents </w:t>
            </w:r>
          </w:p>
        </w:tc>
        <w:tc>
          <w:tcPr>
            <w:tcW w:w="360" w:type="pct"/>
            <w:tcBorders>
              <w:top w:val="nil"/>
              <w:left w:val="nil"/>
              <w:bottom w:val="single" w:sz="8" w:space="0" w:color="auto"/>
              <w:right w:val="single" w:sz="8" w:space="0" w:color="auto"/>
            </w:tcBorders>
            <w:shd w:val="clear" w:color="000000" w:fill="D3D3D3"/>
            <w:noWrap/>
            <w:vAlign w:val="center"/>
            <w:hideMark/>
          </w:tcPr>
          <w:p w14:paraId="6D4B5B0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7EF10FD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00FA5A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1F79D89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D3D3D3"/>
            <w:noWrap/>
            <w:vAlign w:val="center"/>
            <w:hideMark/>
          </w:tcPr>
          <w:p w14:paraId="2075FCB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696C7C6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01EDC9B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auto" w:fill="auto"/>
            <w:noWrap/>
            <w:vAlign w:val="center"/>
            <w:hideMark/>
          </w:tcPr>
          <w:p w14:paraId="1A60FD9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15ECC6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37935B2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2B1C8EE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01A231E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118DC0C1"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2BEF8FE"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2.F.3 - Fire Protection </w:t>
            </w:r>
          </w:p>
        </w:tc>
        <w:tc>
          <w:tcPr>
            <w:tcW w:w="360" w:type="pct"/>
            <w:tcBorders>
              <w:top w:val="nil"/>
              <w:left w:val="nil"/>
              <w:bottom w:val="single" w:sz="8" w:space="0" w:color="auto"/>
              <w:right w:val="single" w:sz="8" w:space="0" w:color="auto"/>
            </w:tcBorders>
            <w:shd w:val="clear" w:color="000000" w:fill="D3D3D3"/>
            <w:noWrap/>
            <w:vAlign w:val="center"/>
            <w:hideMark/>
          </w:tcPr>
          <w:p w14:paraId="6362E8E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648F0FA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5F58A36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6680AA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710807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000000" w:fill="D3D3D3"/>
            <w:noWrap/>
            <w:vAlign w:val="center"/>
            <w:hideMark/>
          </w:tcPr>
          <w:p w14:paraId="5C1065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7C0A995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auto" w:fill="auto"/>
            <w:noWrap/>
            <w:vAlign w:val="center"/>
            <w:hideMark/>
          </w:tcPr>
          <w:p w14:paraId="3DA9165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1ACBC88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16D8953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0DE2603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4090E42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6C20FE82"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6286703"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2.F.4 - Aerosols </w:t>
            </w:r>
          </w:p>
        </w:tc>
        <w:tc>
          <w:tcPr>
            <w:tcW w:w="360" w:type="pct"/>
            <w:tcBorders>
              <w:top w:val="nil"/>
              <w:left w:val="nil"/>
              <w:bottom w:val="single" w:sz="8" w:space="0" w:color="auto"/>
              <w:right w:val="single" w:sz="8" w:space="0" w:color="auto"/>
            </w:tcBorders>
            <w:shd w:val="clear" w:color="000000" w:fill="D3D3D3"/>
            <w:noWrap/>
            <w:vAlign w:val="center"/>
            <w:hideMark/>
          </w:tcPr>
          <w:p w14:paraId="570488B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63FE089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239D15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5C5363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D3D3D3"/>
            <w:noWrap/>
            <w:vAlign w:val="center"/>
            <w:hideMark/>
          </w:tcPr>
          <w:p w14:paraId="061D378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29E85D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524F7D2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auto" w:fill="auto"/>
            <w:noWrap/>
            <w:vAlign w:val="center"/>
            <w:hideMark/>
          </w:tcPr>
          <w:p w14:paraId="4E8228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7253BC7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1172406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671C9B9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4F8994D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61A5578E"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8D0B6B7"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2.F.5 - Solvents </w:t>
            </w:r>
          </w:p>
        </w:tc>
        <w:tc>
          <w:tcPr>
            <w:tcW w:w="360" w:type="pct"/>
            <w:tcBorders>
              <w:top w:val="nil"/>
              <w:left w:val="nil"/>
              <w:bottom w:val="single" w:sz="8" w:space="0" w:color="auto"/>
              <w:right w:val="single" w:sz="8" w:space="0" w:color="auto"/>
            </w:tcBorders>
            <w:shd w:val="clear" w:color="000000" w:fill="D3D3D3"/>
            <w:noWrap/>
            <w:vAlign w:val="center"/>
            <w:hideMark/>
          </w:tcPr>
          <w:p w14:paraId="09FE5D2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7E477BD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176825C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117D2DD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0A53501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000000" w:fill="D3D3D3"/>
            <w:noWrap/>
            <w:vAlign w:val="center"/>
            <w:hideMark/>
          </w:tcPr>
          <w:p w14:paraId="39345FC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294BB5A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auto" w:fill="auto"/>
            <w:noWrap/>
            <w:vAlign w:val="center"/>
            <w:hideMark/>
          </w:tcPr>
          <w:p w14:paraId="5883B4E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4FBF224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729413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35B292C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1EB6B0B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24DE56B5"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1F1CD9F3"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2.F.6 - Other Applications (please specify) </w:t>
            </w:r>
          </w:p>
        </w:tc>
        <w:tc>
          <w:tcPr>
            <w:tcW w:w="360" w:type="pct"/>
            <w:tcBorders>
              <w:top w:val="nil"/>
              <w:left w:val="nil"/>
              <w:bottom w:val="single" w:sz="8" w:space="0" w:color="auto"/>
              <w:right w:val="single" w:sz="8" w:space="0" w:color="auto"/>
            </w:tcBorders>
            <w:shd w:val="clear" w:color="000000" w:fill="D3D3D3"/>
            <w:noWrap/>
            <w:vAlign w:val="center"/>
            <w:hideMark/>
          </w:tcPr>
          <w:p w14:paraId="30E2005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6932F0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623C819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4645761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71CF6B0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000000" w:fill="D3D3D3"/>
            <w:noWrap/>
            <w:vAlign w:val="center"/>
            <w:hideMark/>
          </w:tcPr>
          <w:p w14:paraId="3D4ABBB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7711691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auto" w:fill="auto"/>
            <w:noWrap/>
            <w:vAlign w:val="center"/>
            <w:hideMark/>
          </w:tcPr>
          <w:p w14:paraId="71FAC93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3D052B4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0A5916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16D3882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4C1A37D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70E0D8B4"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0B1186D"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2.G - Other Product Manufacture and Use </w:t>
            </w:r>
          </w:p>
        </w:tc>
        <w:tc>
          <w:tcPr>
            <w:tcW w:w="360" w:type="pct"/>
            <w:tcBorders>
              <w:top w:val="nil"/>
              <w:left w:val="nil"/>
              <w:bottom w:val="single" w:sz="8" w:space="0" w:color="auto"/>
              <w:right w:val="single" w:sz="8" w:space="0" w:color="auto"/>
            </w:tcBorders>
            <w:shd w:val="clear" w:color="000000" w:fill="90EE90"/>
            <w:noWrap/>
            <w:vAlign w:val="center"/>
            <w:hideMark/>
          </w:tcPr>
          <w:p w14:paraId="2502C9B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90EE90"/>
            <w:noWrap/>
            <w:vAlign w:val="center"/>
            <w:hideMark/>
          </w:tcPr>
          <w:p w14:paraId="770058B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6357C8B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39BC1C7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009D41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05" w:type="pct"/>
            <w:tcBorders>
              <w:top w:val="nil"/>
              <w:left w:val="nil"/>
              <w:bottom w:val="single" w:sz="8" w:space="0" w:color="auto"/>
              <w:right w:val="single" w:sz="8" w:space="0" w:color="auto"/>
            </w:tcBorders>
            <w:shd w:val="clear" w:color="000000" w:fill="90EE90"/>
            <w:noWrap/>
            <w:vAlign w:val="center"/>
            <w:hideMark/>
          </w:tcPr>
          <w:p w14:paraId="2BF201E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0.199</w:t>
            </w:r>
          </w:p>
        </w:tc>
        <w:tc>
          <w:tcPr>
            <w:tcW w:w="360" w:type="pct"/>
            <w:tcBorders>
              <w:top w:val="nil"/>
              <w:left w:val="nil"/>
              <w:bottom w:val="single" w:sz="8" w:space="0" w:color="auto"/>
              <w:right w:val="single" w:sz="8" w:space="0" w:color="auto"/>
            </w:tcBorders>
            <w:shd w:val="clear" w:color="000000" w:fill="90EE90"/>
            <w:noWrap/>
            <w:vAlign w:val="center"/>
            <w:hideMark/>
          </w:tcPr>
          <w:p w14:paraId="7E3FF01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11" w:type="pct"/>
            <w:tcBorders>
              <w:top w:val="nil"/>
              <w:left w:val="nil"/>
              <w:bottom w:val="single" w:sz="8" w:space="0" w:color="auto"/>
              <w:right w:val="single" w:sz="8" w:space="0" w:color="auto"/>
            </w:tcBorders>
            <w:shd w:val="clear" w:color="000000" w:fill="90EE90"/>
            <w:noWrap/>
            <w:vAlign w:val="center"/>
            <w:hideMark/>
          </w:tcPr>
          <w:p w14:paraId="75EB24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58E2098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000000" w:fill="90EE90"/>
            <w:noWrap/>
            <w:vAlign w:val="center"/>
            <w:hideMark/>
          </w:tcPr>
          <w:p w14:paraId="72951B7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5D4CB6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000000" w:fill="90EE90"/>
            <w:noWrap/>
            <w:vAlign w:val="center"/>
            <w:hideMark/>
          </w:tcPr>
          <w:p w14:paraId="6305CEF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44DA6AC3"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CE65378"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2.G.1 - Electrical Equipment </w:t>
            </w:r>
          </w:p>
        </w:tc>
        <w:tc>
          <w:tcPr>
            <w:tcW w:w="360" w:type="pct"/>
            <w:tcBorders>
              <w:top w:val="nil"/>
              <w:left w:val="nil"/>
              <w:bottom w:val="single" w:sz="8" w:space="0" w:color="auto"/>
              <w:right w:val="single" w:sz="8" w:space="0" w:color="auto"/>
            </w:tcBorders>
            <w:shd w:val="clear" w:color="000000" w:fill="D3D3D3"/>
            <w:noWrap/>
            <w:vAlign w:val="center"/>
            <w:hideMark/>
          </w:tcPr>
          <w:p w14:paraId="2B1D19F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16798D1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50278B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82BBB8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60C6D5E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05" w:type="pct"/>
            <w:tcBorders>
              <w:top w:val="nil"/>
              <w:left w:val="nil"/>
              <w:bottom w:val="single" w:sz="8" w:space="0" w:color="auto"/>
              <w:right w:val="single" w:sz="8" w:space="0" w:color="auto"/>
            </w:tcBorders>
            <w:shd w:val="clear" w:color="auto" w:fill="auto"/>
            <w:noWrap/>
            <w:vAlign w:val="center"/>
            <w:hideMark/>
          </w:tcPr>
          <w:p w14:paraId="4708FC4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0.199</w:t>
            </w:r>
          </w:p>
        </w:tc>
        <w:tc>
          <w:tcPr>
            <w:tcW w:w="360" w:type="pct"/>
            <w:tcBorders>
              <w:top w:val="nil"/>
              <w:left w:val="nil"/>
              <w:bottom w:val="single" w:sz="8" w:space="0" w:color="auto"/>
              <w:right w:val="single" w:sz="8" w:space="0" w:color="auto"/>
            </w:tcBorders>
            <w:shd w:val="clear" w:color="000000" w:fill="D3D3D3"/>
            <w:noWrap/>
            <w:vAlign w:val="center"/>
            <w:hideMark/>
          </w:tcPr>
          <w:p w14:paraId="3EC2DE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auto" w:fill="auto"/>
            <w:noWrap/>
            <w:vAlign w:val="center"/>
            <w:hideMark/>
          </w:tcPr>
          <w:p w14:paraId="54EC075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7DE3877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1CD217F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42EEFA5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65067C4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14CB1DB0"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A3E92CF"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2.G.2 - SF6 and PFCs from Other Product Uses </w:t>
            </w:r>
          </w:p>
        </w:tc>
        <w:tc>
          <w:tcPr>
            <w:tcW w:w="360" w:type="pct"/>
            <w:tcBorders>
              <w:top w:val="nil"/>
              <w:left w:val="nil"/>
              <w:bottom w:val="single" w:sz="8" w:space="0" w:color="auto"/>
              <w:right w:val="single" w:sz="8" w:space="0" w:color="auto"/>
            </w:tcBorders>
            <w:shd w:val="clear" w:color="000000" w:fill="D3D3D3"/>
            <w:noWrap/>
            <w:vAlign w:val="center"/>
            <w:hideMark/>
          </w:tcPr>
          <w:p w14:paraId="1D92CC1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23AD68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4E843DE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4248AA8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auto" w:fill="auto"/>
            <w:noWrap/>
            <w:vAlign w:val="center"/>
            <w:hideMark/>
          </w:tcPr>
          <w:p w14:paraId="78C2D96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05" w:type="pct"/>
            <w:tcBorders>
              <w:top w:val="nil"/>
              <w:left w:val="nil"/>
              <w:bottom w:val="single" w:sz="8" w:space="0" w:color="auto"/>
              <w:right w:val="single" w:sz="8" w:space="0" w:color="auto"/>
            </w:tcBorders>
            <w:shd w:val="clear" w:color="auto" w:fill="auto"/>
            <w:noWrap/>
            <w:vAlign w:val="center"/>
            <w:hideMark/>
          </w:tcPr>
          <w:p w14:paraId="661C29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60" w:type="pct"/>
            <w:tcBorders>
              <w:top w:val="nil"/>
              <w:left w:val="nil"/>
              <w:bottom w:val="single" w:sz="8" w:space="0" w:color="auto"/>
              <w:right w:val="single" w:sz="8" w:space="0" w:color="auto"/>
            </w:tcBorders>
            <w:shd w:val="clear" w:color="000000" w:fill="D3D3D3"/>
            <w:noWrap/>
            <w:vAlign w:val="center"/>
            <w:hideMark/>
          </w:tcPr>
          <w:p w14:paraId="616C2E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auto" w:fill="auto"/>
            <w:noWrap/>
            <w:vAlign w:val="center"/>
            <w:hideMark/>
          </w:tcPr>
          <w:p w14:paraId="0E44A4E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7A7745C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4CBBBF0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599D299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7D50835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01629076"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F3E9944"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2.G.3 - N2O from Product Uses </w:t>
            </w:r>
          </w:p>
        </w:tc>
        <w:tc>
          <w:tcPr>
            <w:tcW w:w="360" w:type="pct"/>
            <w:tcBorders>
              <w:top w:val="nil"/>
              <w:left w:val="nil"/>
              <w:bottom w:val="single" w:sz="8" w:space="0" w:color="auto"/>
              <w:right w:val="single" w:sz="8" w:space="0" w:color="auto"/>
            </w:tcBorders>
            <w:shd w:val="clear" w:color="000000" w:fill="D3D3D3"/>
            <w:noWrap/>
            <w:vAlign w:val="center"/>
            <w:hideMark/>
          </w:tcPr>
          <w:p w14:paraId="2F8AA59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75003EB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2571F1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D3D3D3"/>
            <w:noWrap/>
            <w:vAlign w:val="center"/>
            <w:hideMark/>
          </w:tcPr>
          <w:p w14:paraId="1F3D51E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0E7B60D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2E3DBBE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115DF9B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5D428E5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5D5A9E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7876F65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06D62F3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61DD49B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670CA629"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D4CA634"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2.G.4 - Other (Please specify) </w:t>
            </w:r>
          </w:p>
        </w:tc>
        <w:tc>
          <w:tcPr>
            <w:tcW w:w="360" w:type="pct"/>
            <w:tcBorders>
              <w:top w:val="nil"/>
              <w:left w:val="nil"/>
              <w:bottom w:val="single" w:sz="8" w:space="0" w:color="auto"/>
              <w:right w:val="single" w:sz="8" w:space="0" w:color="auto"/>
            </w:tcBorders>
            <w:shd w:val="clear" w:color="auto" w:fill="auto"/>
            <w:noWrap/>
            <w:vAlign w:val="center"/>
            <w:hideMark/>
          </w:tcPr>
          <w:p w14:paraId="409100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auto" w:fill="auto"/>
            <w:noWrap/>
            <w:vAlign w:val="center"/>
            <w:hideMark/>
          </w:tcPr>
          <w:p w14:paraId="15D0952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7DF682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7500500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auto" w:fill="auto"/>
            <w:noWrap/>
            <w:vAlign w:val="center"/>
            <w:hideMark/>
          </w:tcPr>
          <w:p w14:paraId="280B48C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05" w:type="pct"/>
            <w:tcBorders>
              <w:top w:val="nil"/>
              <w:left w:val="nil"/>
              <w:bottom w:val="single" w:sz="8" w:space="0" w:color="auto"/>
              <w:right w:val="single" w:sz="8" w:space="0" w:color="auto"/>
            </w:tcBorders>
            <w:shd w:val="clear" w:color="auto" w:fill="auto"/>
            <w:noWrap/>
            <w:vAlign w:val="center"/>
            <w:hideMark/>
          </w:tcPr>
          <w:p w14:paraId="53F4D11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60" w:type="pct"/>
            <w:tcBorders>
              <w:top w:val="nil"/>
              <w:left w:val="nil"/>
              <w:bottom w:val="single" w:sz="8" w:space="0" w:color="auto"/>
              <w:right w:val="single" w:sz="8" w:space="0" w:color="auto"/>
            </w:tcBorders>
            <w:shd w:val="clear" w:color="auto" w:fill="auto"/>
            <w:noWrap/>
            <w:vAlign w:val="center"/>
            <w:hideMark/>
          </w:tcPr>
          <w:p w14:paraId="7206396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411" w:type="pct"/>
            <w:tcBorders>
              <w:top w:val="nil"/>
              <w:left w:val="nil"/>
              <w:bottom w:val="single" w:sz="8" w:space="0" w:color="auto"/>
              <w:right w:val="single" w:sz="8" w:space="0" w:color="auto"/>
            </w:tcBorders>
            <w:shd w:val="clear" w:color="auto" w:fill="auto"/>
            <w:noWrap/>
            <w:vAlign w:val="center"/>
            <w:hideMark/>
          </w:tcPr>
          <w:p w14:paraId="73D5A47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66129C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73193A2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29D7EE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5BE1231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009D65EA"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B4F6D8D"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2.H - Other </w:t>
            </w:r>
          </w:p>
        </w:tc>
        <w:tc>
          <w:tcPr>
            <w:tcW w:w="360" w:type="pct"/>
            <w:tcBorders>
              <w:top w:val="nil"/>
              <w:left w:val="nil"/>
              <w:bottom w:val="single" w:sz="8" w:space="0" w:color="auto"/>
              <w:right w:val="single" w:sz="8" w:space="0" w:color="auto"/>
            </w:tcBorders>
            <w:shd w:val="clear" w:color="000000" w:fill="90EE90"/>
            <w:noWrap/>
            <w:vAlign w:val="center"/>
            <w:hideMark/>
          </w:tcPr>
          <w:p w14:paraId="612AA15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90EE90"/>
            <w:noWrap/>
            <w:vAlign w:val="center"/>
            <w:hideMark/>
          </w:tcPr>
          <w:p w14:paraId="3B7BC4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1631D4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10A213C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34DE881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05" w:type="pct"/>
            <w:tcBorders>
              <w:top w:val="nil"/>
              <w:left w:val="nil"/>
              <w:bottom w:val="single" w:sz="8" w:space="0" w:color="auto"/>
              <w:right w:val="single" w:sz="8" w:space="0" w:color="auto"/>
            </w:tcBorders>
            <w:shd w:val="clear" w:color="000000" w:fill="90EE90"/>
            <w:noWrap/>
            <w:vAlign w:val="center"/>
            <w:hideMark/>
          </w:tcPr>
          <w:p w14:paraId="58170A4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60" w:type="pct"/>
            <w:tcBorders>
              <w:top w:val="nil"/>
              <w:left w:val="nil"/>
              <w:bottom w:val="single" w:sz="8" w:space="0" w:color="auto"/>
              <w:right w:val="single" w:sz="8" w:space="0" w:color="auto"/>
            </w:tcBorders>
            <w:shd w:val="clear" w:color="000000" w:fill="90EE90"/>
            <w:noWrap/>
            <w:vAlign w:val="center"/>
            <w:hideMark/>
          </w:tcPr>
          <w:p w14:paraId="06F159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11" w:type="pct"/>
            <w:tcBorders>
              <w:top w:val="nil"/>
              <w:left w:val="nil"/>
              <w:bottom w:val="single" w:sz="8" w:space="0" w:color="auto"/>
              <w:right w:val="single" w:sz="8" w:space="0" w:color="auto"/>
            </w:tcBorders>
            <w:shd w:val="clear" w:color="000000" w:fill="90EE90"/>
            <w:noWrap/>
            <w:vAlign w:val="center"/>
            <w:hideMark/>
          </w:tcPr>
          <w:p w14:paraId="73F5D21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388A44B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000000" w:fill="90EE90"/>
            <w:noWrap/>
            <w:vAlign w:val="center"/>
            <w:hideMark/>
          </w:tcPr>
          <w:p w14:paraId="2B7A80A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15A5BF7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000000" w:fill="90EE90"/>
            <w:noWrap/>
            <w:vAlign w:val="center"/>
            <w:hideMark/>
          </w:tcPr>
          <w:p w14:paraId="12AFE2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0A80781C"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15B6A65"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2.H.1 - Pulp and Paper Industry </w:t>
            </w:r>
          </w:p>
        </w:tc>
        <w:tc>
          <w:tcPr>
            <w:tcW w:w="360" w:type="pct"/>
            <w:tcBorders>
              <w:top w:val="nil"/>
              <w:left w:val="nil"/>
              <w:bottom w:val="single" w:sz="8" w:space="0" w:color="auto"/>
              <w:right w:val="single" w:sz="8" w:space="0" w:color="auto"/>
            </w:tcBorders>
            <w:shd w:val="clear" w:color="auto" w:fill="auto"/>
            <w:noWrap/>
            <w:vAlign w:val="center"/>
            <w:hideMark/>
          </w:tcPr>
          <w:p w14:paraId="1B0D7AD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auto" w:fill="auto"/>
            <w:noWrap/>
            <w:vAlign w:val="center"/>
            <w:hideMark/>
          </w:tcPr>
          <w:p w14:paraId="6F2F2AE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D3D3D3"/>
            <w:noWrap/>
            <w:vAlign w:val="center"/>
            <w:hideMark/>
          </w:tcPr>
          <w:p w14:paraId="7F8E45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000189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EBBA1C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2F3A627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6DDFCC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3DA560E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0C84448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14:paraId="4945E67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auto" w:fill="auto"/>
            <w:noWrap/>
            <w:vAlign w:val="center"/>
            <w:hideMark/>
          </w:tcPr>
          <w:p w14:paraId="19A7C4B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auto" w:fill="auto"/>
            <w:noWrap/>
            <w:vAlign w:val="center"/>
            <w:hideMark/>
          </w:tcPr>
          <w:p w14:paraId="5431832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09A2A01B"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D8C8BF5"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2.H.2 - Food and Beverages Industry </w:t>
            </w:r>
          </w:p>
        </w:tc>
        <w:tc>
          <w:tcPr>
            <w:tcW w:w="360" w:type="pct"/>
            <w:tcBorders>
              <w:top w:val="nil"/>
              <w:left w:val="nil"/>
              <w:bottom w:val="single" w:sz="8" w:space="0" w:color="auto"/>
              <w:right w:val="single" w:sz="8" w:space="0" w:color="auto"/>
            </w:tcBorders>
            <w:shd w:val="clear" w:color="auto" w:fill="auto"/>
            <w:noWrap/>
            <w:vAlign w:val="center"/>
            <w:hideMark/>
          </w:tcPr>
          <w:p w14:paraId="13E222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auto" w:fill="auto"/>
            <w:noWrap/>
            <w:vAlign w:val="center"/>
            <w:hideMark/>
          </w:tcPr>
          <w:p w14:paraId="6549C36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D3D3D3"/>
            <w:noWrap/>
            <w:vAlign w:val="center"/>
            <w:hideMark/>
          </w:tcPr>
          <w:p w14:paraId="59DA16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E9BC6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91E6B0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7EFC625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354FD3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5E840D5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0B017A7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14:paraId="52C3B3E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auto" w:fill="auto"/>
            <w:noWrap/>
            <w:vAlign w:val="center"/>
            <w:hideMark/>
          </w:tcPr>
          <w:p w14:paraId="38D9266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auto" w:fill="auto"/>
            <w:noWrap/>
            <w:vAlign w:val="center"/>
            <w:hideMark/>
          </w:tcPr>
          <w:p w14:paraId="7DA3A29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18701D88"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EE4E67A"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2.H.3 - Other (please specify) </w:t>
            </w:r>
          </w:p>
        </w:tc>
        <w:tc>
          <w:tcPr>
            <w:tcW w:w="360" w:type="pct"/>
            <w:tcBorders>
              <w:top w:val="nil"/>
              <w:left w:val="nil"/>
              <w:bottom w:val="single" w:sz="8" w:space="0" w:color="auto"/>
              <w:right w:val="single" w:sz="8" w:space="0" w:color="auto"/>
            </w:tcBorders>
            <w:shd w:val="clear" w:color="auto" w:fill="auto"/>
            <w:noWrap/>
            <w:vAlign w:val="center"/>
            <w:hideMark/>
          </w:tcPr>
          <w:p w14:paraId="6E6AB8C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auto" w:fill="auto"/>
            <w:noWrap/>
            <w:vAlign w:val="center"/>
            <w:hideMark/>
          </w:tcPr>
          <w:p w14:paraId="0F3F77B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auto" w:fill="auto"/>
            <w:noWrap/>
            <w:vAlign w:val="center"/>
            <w:hideMark/>
          </w:tcPr>
          <w:p w14:paraId="10DFB39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D3D3D3"/>
            <w:noWrap/>
            <w:vAlign w:val="center"/>
            <w:hideMark/>
          </w:tcPr>
          <w:p w14:paraId="70F89B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0C75C88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D99857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25A2954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944A2B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0923715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14:paraId="2FBF0FA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auto" w:fill="auto"/>
            <w:noWrap/>
            <w:vAlign w:val="center"/>
            <w:hideMark/>
          </w:tcPr>
          <w:p w14:paraId="4FC89B1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auto" w:fill="auto"/>
            <w:noWrap/>
            <w:vAlign w:val="center"/>
            <w:hideMark/>
          </w:tcPr>
          <w:p w14:paraId="5DF1986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0DA744AE"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20299EC9"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3 - Agriculture, Forestry, and Other Land Use </w:t>
            </w:r>
          </w:p>
        </w:tc>
        <w:tc>
          <w:tcPr>
            <w:tcW w:w="360" w:type="pct"/>
            <w:tcBorders>
              <w:top w:val="nil"/>
              <w:left w:val="nil"/>
              <w:bottom w:val="single" w:sz="8" w:space="0" w:color="auto"/>
              <w:right w:val="single" w:sz="8" w:space="0" w:color="auto"/>
            </w:tcBorders>
            <w:shd w:val="clear" w:color="000000" w:fill="90EE90"/>
            <w:noWrap/>
            <w:vAlign w:val="center"/>
            <w:hideMark/>
          </w:tcPr>
          <w:p w14:paraId="77BD373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-33553.768</w:t>
            </w:r>
          </w:p>
        </w:tc>
        <w:tc>
          <w:tcPr>
            <w:tcW w:w="256" w:type="pct"/>
            <w:tcBorders>
              <w:top w:val="nil"/>
              <w:left w:val="nil"/>
              <w:bottom w:val="single" w:sz="8" w:space="0" w:color="auto"/>
              <w:right w:val="single" w:sz="8" w:space="0" w:color="auto"/>
            </w:tcBorders>
            <w:shd w:val="clear" w:color="000000" w:fill="90EE90"/>
            <w:noWrap/>
            <w:vAlign w:val="center"/>
            <w:hideMark/>
          </w:tcPr>
          <w:p w14:paraId="30FC540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531.33</w:t>
            </w:r>
          </w:p>
        </w:tc>
        <w:tc>
          <w:tcPr>
            <w:tcW w:w="308" w:type="pct"/>
            <w:tcBorders>
              <w:top w:val="nil"/>
              <w:left w:val="nil"/>
              <w:bottom w:val="single" w:sz="8" w:space="0" w:color="auto"/>
              <w:right w:val="single" w:sz="8" w:space="0" w:color="auto"/>
            </w:tcBorders>
            <w:shd w:val="clear" w:color="000000" w:fill="90EE90"/>
            <w:noWrap/>
            <w:vAlign w:val="center"/>
            <w:hideMark/>
          </w:tcPr>
          <w:p w14:paraId="5B2FA38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12.957</w:t>
            </w:r>
          </w:p>
        </w:tc>
        <w:tc>
          <w:tcPr>
            <w:tcW w:w="257" w:type="pct"/>
            <w:tcBorders>
              <w:top w:val="nil"/>
              <w:left w:val="nil"/>
              <w:bottom w:val="single" w:sz="8" w:space="0" w:color="auto"/>
              <w:right w:val="single" w:sz="8" w:space="0" w:color="auto"/>
            </w:tcBorders>
            <w:shd w:val="clear" w:color="000000" w:fill="90EE90"/>
            <w:noWrap/>
            <w:vAlign w:val="center"/>
            <w:hideMark/>
          </w:tcPr>
          <w:p w14:paraId="4DA11A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3882A40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06DA65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036FD16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73C0C8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45C6F1E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1638.8</w:t>
            </w:r>
          </w:p>
        </w:tc>
        <w:tc>
          <w:tcPr>
            <w:tcW w:w="359" w:type="pct"/>
            <w:tcBorders>
              <w:top w:val="nil"/>
              <w:left w:val="nil"/>
              <w:bottom w:val="single" w:sz="8" w:space="0" w:color="auto"/>
              <w:right w:val="single" w:sz="8" w:space="0" w:color="auto"/>
            </w:tcBorders>
            <w:shd w:val="clear" w:color="000000" w:fill="90EE90"/>
            <w:noWrap/>
            <w:vAlign w:val="center"/>
            <w:hideMark/>
          </w:tcPr>
          <w:p w14:paraId="7C3A6B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48742.4</w:t>
            </w:r>
          </w:p>
        </w:tc>
        <w:tc>
          <w:tcPr>
            <w:tcW w:w="308" w:type="pct"/>
            <w:tcBorders>
              <w:top w:val="nil"/>
              <w:left w:val="nil"/>
              <w:bottom w:val="single" w:sz="8" w:space="0" w:color="auto"/>
              <w:right w:val="single" w:sz="8" w:space="0" w:color="auto"/>
            </w:tcBorders>
            <w:shd w:val="clear" w:color="000000" w:fill="90EE90"/>
            <w:noWrap/>
            <w:vAlign w:val="center"/>
            <w:hideMark/>
          </w:tcPr>
          <w:p w14:paraId="683EE07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4777.47</w:t>
            </w:r>
          </w:p>
        </w:tc>
        <w:tc>
          <w:tcPr>
            <w:tcW w:w="280" w:type="pct"/>
            <w:tcBorders>
              <w:top w:val="nil"/>
              <w:left w:val="nil"/>
              <w:bottom w:val="single" w:sz="8" w:space="0" w:color="auto"/>
              <w:right w:val="single" w:sz="8" w:space="0" w:color="auto"/>
            </w:tcBorders>
            <w:shd w:val="clear" w:color="000000" w:fill="90EE90"/>
            <w:noWrap/>
            <w:vAlign w:val="center"/>
            <w:hideMark/>
          </w:tcPr>
          <w:p w14:paraId="4F370AD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326.98</w:t>
            </w:r>
          </w:p>
        </w:tc>
      </w:tr>
      <w:tr w:rsidR="006B1FB2" w:rsidRPr="00191ACB" w14:paraId="309E8C41"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5027CA2"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3.A - Livestock </w:t>
            </w:r>
          </w:p>
        </w:tc>
        <w:tc>
          <w:tcPr>
            <w:tcW w:w="360" w:type="pct"/>
            <w:tcBorders>
              <w:top w:val="nil"/>
              <w:left w:val="nil"/>
              <w:bottom w:val="single" w:sz="8" w:space="0" w:color="auto"/>
              <w:right w:val="single" w:sz="8" w:space="0" w:color="auto"/>
            </w:tcBorders>
            <w:shd w:val="clear" w:color="000000" w:fill="90EE90"/>
            <w:noWrap/>
            <w:vAlign w:val="center"/>
            <w:hideMark/>
          </w:tcPr>
          <w:p w14:paraId="2B74404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90EE90"/>
            <w:noWrap/>
            <w:vAlign w:val="center"/>
            <w:hideMark/>
          </w:tcPr>
          <w:p w14:paraId="25D1923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200.02</w:t>
            </w:r>
          </w:p>
        </w:tc>
        <w:tc>
          <w:tcPr>
            <w:tcW w:w="308" w:type="pct"/>
            <w:tcBorders>
              <w:top w:val="nil"/>
              <w:left w:val="nil"/>
              <w:bottom w:val="single" w:sz="8" w:space="0" w:color="auto"/>
              <w:right w:val="single" w:sz="8" w:space="0" w:color="auto"/>
            </w:tcBorders>
            <w:shd w:val="clear" w:color="000000" w:fill="90EE90"/>
            <w:noWrap/>
            <w:vAlign w:val="center"/>
            <w:hideMark/>
          </w:tcPr>
          <w:p w14:paraId="73E3464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710D27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20C395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0A4E676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7CE167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6E507DF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20FCA89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000000" w:fill="90EE90"/>
            <w:noWrap/>
            <w:vAlign w:val="center"/>
            <w:hideMark/>
          </w:tcPr>
          <w:p w14:paraId="17DDB1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2EEBADD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000000" w:fill="90EE90"/>
            <w:noWrap/>
            <w:vAlign w:val="center"/>
            <w:hideMark/>
          </w:tcPr>
          <w:p w14:paraId="2279AAE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2DEB63F4"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D776AC3"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3.A.1 - Enteric Fermentation </w:t>
            </w:r>
          </w:p>
        </w:tc>
        <w:tc>
          <w:tcPr>
            <w:tcW w:w="360" w:type="pct"/>
            <w:tcBorders>
              <w:top w:val="nil"/>
              <w:left w:val="nil"/>
              <w:bottom w:val="single" w:sz="8" w:space="0" w:color="auto"/>
              <w:right w:val="single" w:sz="8" w:space="0" w:color="auto"/>
            </w:tcBorders>
            <w:shd w:val="clear" w:color="000000" w:fill="D3D3D3"/>
            <w:noWrap/>
            <w:vAlign w:val="center"/>
            <w:hideMark/>
          </w:tcPr>
          <w:p w14:paraId="794789D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auto" w:fill="auto"/>
            <w:noWrap/>
            <w:vAlign w:val="center"/>
            <w:hideMark/>
          </w:tcPr>
          <w:p w14:paraId="487EDBA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188.47</w:t>
            </w:r>
          </w:p>
        </w:tc>
        <w:tc>
          <w:tcPr>
            <w:tcW w:w="308" w:type="pct"/>
            <w:tcBorders>
              <w:top w:val="nil"/>
              <w:left w:val="nil"/>
              <w:bottom w:val="single" w:sz="8" w:space="0" w:color="auto"/>
              <w:right w:val="single" w:sz="8" w:space="0" w:color="auto"/>
            </w:tcBorders>
            <w:shd w:val="clear" w:color="000000" w:fill="D3D3D3"/>
            <w:noWrap/>
            <w:vAlign w:val="center"/>
            <w:hideMark/>
          </w:tcPr>
          <w:p w14:paraId="45BCC56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75EE857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A8320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7374CCE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62E6CE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4B7CCCC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0DC8BD4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6911C4C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69B6CF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254046D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6267842A"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A664F0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3.A.2 - Manure Management </w:t>
            </w:r>
          </w:p>
        </w:tc>
        <w:tc>
          <w:tcPr>
            <w:tcW w:w="360" w:type="pct"/>
            <w:tcBorders>
              <w:top w:val="nil"/>
              <w:left w:val="nil"/>
              <w:bottom w:val="single" w:sz="8" w:space="0" w:color="auto"/>
              <w:right w:val="single" w:sz="8" w:space="0" w:color="auto"/>
            </w:tcBorders>
            <w:shd w:val="clear" w:color="000000" w:fill="D3D3D3"/>
            <w:noWrap/>
            <w:vAlign w:val="center"/>
            <w:hideMark/>
          </w:tcPr>
          <w:p w14:paraId="01F35D2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auto" w:fill="auto"/>
            <w:noWrap/>
            <w:vAlign w:val="center"/>
            <w:hideMark/>
          </w:tcPr>
          <w:p w14:paraId="704A245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11.545</w:t>
            </w:r>
          </w:p>
        </w:tc>
        <w:tc>
          <w:tcPr>
            <w:tcW w:w="308" w:type="pct"/>
            <w:tcBorders>
              <w:top w:val="nil"/>
              <w:left w:val="nil"/>
              <w:bottom w:val="single" w:sz="8" w:space="0" w:color="auto"/>
              <w:right w:val="single" w:sz="8" w:space="0" w:color="auto"/>
            </w:tcBorders>
            <w:shd w:val="clear" w:color="auto" w:fill="auto"/>
            <w:noWrap/>
            <w:vAlign w:val="center"/>
            <w:hideMark/>
          </w:tcPr>
          <w:p w14:paraId="6761291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D3D3D3"/>
            <w:noWrap/>
            <w:vAlign w:val="center"/>
            <w:hideMark/>
          </w:tcPr>
          <w:p w14:paraId="1573836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0B85951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EB43D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03AB74D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3AF262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5157F7F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36D0AF5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7EE3C36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02CBE04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2036CE29"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8463BF1"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3.B - Land </w:t>
            </w:r>
          </w:p>
        </w:tc>
        <w:tc>
          <w:tcPr>
            <w:tcW w:w="360" w:type="pct"/>
            <w:tcBorders>
              <w:top w:val="nil"/>
              <w:left w:val="nil"/>
              <w:bottom w:val="single" w:sz="8" w:space="0" w:color="auto"/>
              <w:right w:val="single" w:sz="8" w:space="0" w:color="auto"/>
            </w:tcBorders>
            <w:shd w:val="clear" w:color="000000" w:fill="90EE90"/>
            <w:noWrap/>
            <w:vAlign w:val="center"/>
            <w:hideMark/>
          </w:tcPr>
          <w:p w14:paraId="7976609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-33659.257</w:t>
            </w:r>
          </w:p>
        </w:tc>
        <w:tc>
          <w:tcPr>
            <w:tcW w:w="256" w:type="pct"/>
            <w:tcBorders>
              <w:top w:val="nil"/>
              <w:left w:val="nil"/>
              <w:bottom w:val="single" w:sz="8" w:space="0" w:color="auto"/>
              <w:right w:val="single" w:sz="8" w:space="0" w:color="auto"/>
            </w:tcBorders>
            <w:shd w:val="clear" w:color="000000" w:fill="90EE90"/>
            <w:noWrap/>
            <w:vAlign w:val="center"/>
            <w:hideMark/>
          </w:tcPr>
          <w:p w14:paraId="4D6585F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4AD0EBE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4BF61B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3B95C4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7BAC5F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1EEB537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44EEAF8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13D00AE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000000" w:fill="90EE90"/>
            <w:noWrap/>
            <w:vAlign w:val="center"/>
            <w:hideMark/>
          </w:tcPr>
          <w:p w14:paraId="2F3F49B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29FBA66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000000" w:fill="90EE90"/>
            <w:noWrap/>
            <w:vAlign w:val="center"/>
            <w:hideMark/>
          </w:tcPr>
          <w:p w14:paraId="362ABA3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2C0E990E"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18FD03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3.B.1 - Forest land </w:t>
            </w:r>
          </w:p>
        </w:tc>
        <w:tc>
          <w:tcPr>
            <w:tcW w:w="360" w:type="pct"/>
            <w:tcBorders>
              <w:top w:val="nil"/>
              <w:left w:val="nil"/>
              <w:bottom w:val="single" w:sz="8" w:space="0" w:color="auto"/>
              <w:right w:val="single" w:sz="8" w:space="0" w:color="auto"/>
            </w:tcBorders>
            <w:shd w:val="clear" w:color="auto" w:fill="auto"/>
            <w:noWrap/>
            <w:vAlign w:val="center"/>
            <w:hideMark/>
          </w:tcPr>
          <w:p w14:paraId="353489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-65366.716</w:t>
            </w:r>
          </w:p>
        </w:tc>
        <w:tc>
          <w:tcPr>
            <w:tcW w:w="256" w:type="pct"/>
            <w:tcBorders>
              <w:top w:val="nil"/>
              <w:left w:val="nil"/>
              <w:bottom w:val="single" w:sz="8" w:space="0" w:color="auto"/>
              <w:right w:val="single" w:sz="8" w:space="0" w:color="auto"/>
            </w:tcBorders>
            <w:shd w:val="clear" w:color="000000" w:fill="D3D3D3"/>
            <w:noWrap/>
            <w:vAlign w:val="center"/>
            <w:hideMark/>
          </w:tcPr>
          <w:p w14:paraId="3B948F3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4D4636D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9B2F9D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0226E91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29C834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0082A34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2EBDEA1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46CABA1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14:paraId="6A51F71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auto" w:fill="auto"/>
            <w:noWrap/>
            <w:vAlign w:val="center"/>
            <w:hideMark/>
          </w:tcPr>
          <w:p w14:paraId="6581BAC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auto" w:fill="auto"/>
            <w:noWrap/>
            <w:vAlign w:val="center"/>
            <w:hideMark/>
          </w:tcPr>
          <w:p w14:paraId="3CE804D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63EED8F9"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712659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3.B.2 - Cropland </w:t>
            </w:r>
          </w:p>
        </w:tc>
        <w:tc>
          <w:tcPr>
            <w:tcW w:w="360" w:type="pct"/>
            <w:tcBorders>
              <w:top w:val="nil"/>
              <w:left w:val="nil"/>
              <w:bottom w:val="single" w:sz="8" w:space="0" w:color="auto"/>
              <w:right w:val="single" w:sz="8" w:space="0" w:color="auto"/>
            </w:tcBorders>
            <w:shd w:val="clear" w:color="auto" w:fill="auto"/>
            <w:noWrap/>
            <w:vAlign w:val="center"/>
            <w:hideMark/>
          </w:tcPr>
          <w:p w14:paraId="27D0DC0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21855.682</w:t>
            </w:r>
          </w:p>
        </w:tc>
        <w:tc>
          <w:tcPr>
            <w:tcW w:w="256" w:type="pct"/>
            <w:tcBorders>
              <w:top w:val="nil"/>
              <w:left w:val="nil"/>
              <w:bottom w:val="single" w:sz="8" w:space="0" w:color="auto"/>
              <w:right w:val="single" w:sz="8" w:space="0" w:color="auto"/>
            </w:tcBorders>
            <w:shd w:val="clear" w:color="000000" w:fill="D3D3D3"/>
            <w:noWrap/>
            <w:vAlign w:val="center"/>
            <w:hideMark/>
          </w:tcPr>
          <w:p w14:paraId="1294CD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718A8E5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B84532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4E78245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7216F79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762561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1326D32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537FC14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14:paraId="6727BF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auto" w:fill="auto"/>
            <w:noWrap/>
            <w:vAlign w:val="center"/>
            <w:hideMark/>
          </w:tcPr>
          <w:p w14:paraId="7AE5B13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auto" w:fill="auto"/>
            <w:noWrap/>
            <w:vAlign w:val="center"/>
            <w:hideMark/>
          </w:tcPr>
          <w:p w14:paraId="58CDA2E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060ED915"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D06A19F"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3.B.3 - Grassland </w:t>
            </w:r>
          </w:p>
        </w:tc>
        <w:tc>
          <w:tcPr>
            <w:tcW w:w="360" w:type="pct"/>
            <w:tcBorders>
              <w:top w:val="nil"/>
              <w:left w:val="nil"/>
              <w:bottom w:val="single" w:sz="8" w:space="0" w:color="auto"/>
              <w:right w:val="single" w:sz="8" w:space="0" w:color="auto"/>
            </w:tcBorders>
            <w:shd w:val="clear" w:color="auto" w:fill="auto"/>
            <w:noWrap/>
            <w:vAlign w:val="center"/>
            <w:hideMark/>
          </w:tcPr>
          <w:p w14:paraId="6273307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D3D3D3"/>
            <w:noWrap/>
            <w:vAlign w:val="center"/>
            <w:hideMark/>
          </w:tcPr>
          <w:p w14:paraId="78165D8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0D0EF54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1E3D08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BC28B1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215E4A2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9502D9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53F2994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1CEF304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14:paraId="1F1CEF5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auto" w:fill="auto"/>
            <w:noWrap/>
            <w:vAlign w:val="center"/>
            <w:hideMark/>
          </w:tcPr>
          <w:p w14:paraId="341594C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auto" w:fill="auto"/>
            <w:noWrap/>
            <w:vAlign w:val="center"/>
            <w:hideMark/>
          </w:tcPr>
          <w:p w14:paraId="3AF939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4AA7480F"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2AAABF0"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3.B.4 - Wetlands </w:t>
            </w:r>
          </w:p>
        </w:tc>
        <w:tc>
          <w:tcPr>
            <w:tcW w:w="360" w:type="pct"/>
            <w:tcBorders>
              <w:top w:val="nil"/>
              <w:left w:val="nil"/>
              <w:bottom w:val="single" w:sz="8" w:space="0" w:color="auto"/>
              <w:right w:val="single" w:sz="8" w:space="0" w:color="auto"/>
            </w:tcBorders>
            <w:shd w:val="clear" w:color="auto" w:fill="auto"/>
            <w:noWrap/>
            <w:vAlign w:val="center"/>
            <w:hideMark/>
          </w:tcPr>
          <w:p w14:paraId="6892B73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D3D3D3"/>
            <w:noWrap/>
            <w:vAlign w:val="center"/>
            <w:hideMark/>
          </w:tcPr>
          <w:p w14:paraId="5F8C303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2023BB4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D3D3D3"/>
            <w:noWrap/>
            <w:vAlign w:val="center"/>
            <w:hideMark/>
          </w:tcPr>
          <w:p w14:paraId="15D3625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970602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72562A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10467A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7AC83F8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6F3AA57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14:paraId="37EB9F2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auto" w:fill="auto"/>
            <w:noWrap/>
            <w:vAlign w:val="center"/>
            <w:hideMark/>
          </w:tcPr>
          <w:p w14:paraId="65446C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auto" w:fill="auto"/>
            <w:noWrap/>
            <w:vAlign w:val="center"/>
            <w:hideMark/>
          </w:tcPr>
          <w:p w14:paraId="0CF268B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13FCD19C"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E8447A9"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3.B.5 - Settlements </w:t>
            </w:r>
          </w:p>
        </w:tc>
        <w:tc>
          <w:tcPr>
            <w:tcW w:w="360" w:type="pct"/>
            <w:tcBorders>
              <w:top w:val="nil"/>
              <w:left w:val="nil"/>
              <w:bottom w:val="single" w:sz="8" w:space="0" w:color="auto"/>
              <w:right w:val="single" w:sz="8" w:space="0" w:color="auto"/>
            </w:tcBorders>
            <w:shd w:val="clear" w:color="auto" w:fill="auto"/>
            <w:noWrap/>
            <w:vAlign w:val="center"/>
            <w:hideMark/>
          </w:tcPr>
          <w:p w14:paraId="03BDDA9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9851.777</w:t>
            </w:r>
          </w:p>
        </w:tc>
        <w:tc>
          <w:tcPr>
            <w:tcW w:w="256" w:type="pct"/>
            <w:tcBorders>
              <w:top w:val="nil"/>
              <w:left w:val="nil"/>
              <w:bottom w:val="single" w:sz="8" w:space="0" w:color="auto"/>
              <w:right w:val="single" w:sz="8" w:space="0" w:color="auto"/>
            </w:tcBorders>
            <w:shd w:val="clear" w:color="000000" w:fill="D3D3D3"/>
            <w:noWrap/>
            <w:vAlign w:val="center"/>
            <w:hideMark/>
          </w:tcPr>
          <w:p w14:paraId="25769A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5218F34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239E47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1FEF59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4D1F55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4623C8F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5E090C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731F0A3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14:paraId="08D7DDB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auto" w:fill="auto"/>
            <w:noWrap/>
            <w:vAlign w:val="center"/>
            <w:hideMark/>
          </w:tcPr>
          <w:p w14:paraId="5C61612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auto" w:fill="auto"/>
            <w:noWrap/>
            <w:vAlign w:val="center"/>
            <w:hideMark/>
          </w:tcPr>
          <w:p w14:paraId="1ED95E2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0C10C30C"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5021B4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3.B.6 - Other Land </w:t>
            </w:r>
          </w:p>
        </w:tc>
        <w:tc>
          <w:tcPr>
            <w:tcW w:w="360" w:type="pct"/>
            <w:tcBorders>
              <w:top w:val="nil"/>
              <w:left w:val="nil"/>
              <w:bottom w:val="single" w:sz="8" w:space="0" w:color="auto"/>
              <w:right w:val="single" w:sz="8" w:space="0" w:color="auto"/>
            </w:tcBorders>
            <w:shd w:val="clear" w:color="auto" w:fill="auto"/>
            <w:noWrap/>
            <w:vAlign w:val="center"/>
            <w:hideMark/>
          </w:tcPr>
          <w:p w14:paraId="1CDE135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D3D3D3"/>
            <w:noWrap/>
            <w:vAlign w:val="center"/>
            <w:hideMark/>
          </w:tcPr>
          <w:p w14:paraId="0E98DD8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1978481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3673248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7A4C238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55FBFAD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ED3BDD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5C2694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4F1C09E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59" w:type="pct"/>
            <w:tcBorders>
              <w:top w:val="nil"/>
              <w:left w:val="nil"/>
              <w:bottom w:val="single" w:sz="8" w:space="0" w:color="auto"/>
              <w:right w:val="single" w:sz="8" w:space="0" w:color="auto"/>
            </w:tcBorders>
            <w:shd w:val="clear" w:color="auto" w:fill="auto"/>
            <w:noWrap/>
            <w:vAlign w:val="center"/>
            <w:hideMark/>
          </w:tcPr>
          <w:p w14:paraId="01B5CC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auto" w:fill="auto"/>
            <w:noWrap/>
            <w:vAlign w:val="center"/>
            <w:hideMark/>
          </w:tcPr>
          <w:p w14:paraId="36853A4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80" w:type="pct"/>
            <w:tcBorders>
              <w:top w:val="nil"/>
              <w:left w:val="nil"/>
              <w:bottom w:val="single" w:sz="8" w:space="0" w:color="auto"/>
              <w:right w:val="single" w:sz="8" w:space="0" w:color="auto"/>
            </w:tcBorders>
            <w:shd w:val="clear" w:color="auto" w:fill="auto"/>
            <w:noWrap/>
            <w:vAlign w:val="center"/>
            <w:hideMark/>
          </w:tcPr>
          <w:p w14:paraId="301AB7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6B1FB2" w:rsidRPr="00191ACB" w14:paraId="0EFC5D45"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A1752F0"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lastRenderedPageBreak/>
              <w:t xml:space="preserve">   3.C - Aggregate sources and non-CO2 emissions sources on land </w:t>
            </w:r>
          </w:p>
        </w:tc>
        <w:tc>
          <w:tcPr>
            <w:tcW w:w="360" w:type="pct"/>
            <w:tcBorders>
              <w:top w:val="nil"/>
              <w:left w:val="nil"/>
              <w:bottom w:val="single" w:sz="8" w:space="0" w:color="auto"/>
              <w:right w:val="single" w:sz="8" w:space="0" w:color="auto"/>
            </w:tcBorders>
            <w:shd w:val="clear" w:color="000000" w:fill="90EE90"/>
            <w:noWrap/>
            <w:vAlign w:val="center"/>
            <w:hideMark/>
          </w:tcPr>
          <w:p w14:paraId="6BD5A8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105.489</w:t>
            </w:r>
          </w:p>
        </w:tc>
        <w:tc>
          <w:tcPr>
            <w:tcW w:w="256" w:type="pct"/>
            <w:tcBorders>
              <w:top w:val="nil"/>
              <w:left w:val="nil"/>
              <w:bottom w:val="single" w:sz="8" w:space="0" w:color="auto"/>
              <w:right w:val="single" w:sz="8" w:space="0" w:color="auto"/>
            </w:tcBorders>
            <w:shd w:val="clear" w:color="000000" w:fill="90EE90"/>
            <w:noWrap/>
            <w:vAlign w:val="center"/>
            <w:hideMark/>
          </w:tcPr>
          <w:p w14:paraId="7EA036B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331.31</w:t>
            </w:r>
          </w:p>
        </w:tc>
        <w:tc>
          <w:tcPr>
            <w:tcW w:w="308" w:type="pct"/>
            <w:tcBorders>
              <w:top w:val="nil"/>
              <w:left w:val="nil"/>
              <w:bottom w:val="single" w:sz="8" w:space="0" w:color="auto"/>
              <w:right w:val="single" w:sz="8" w:space="0" w:color="auto"/>
            </w:tcBorders>
            <w:shd w:val="clear" w:color="000000" w:fill="90EE90"/>
            <w:noWrap/>
            <w:vAlign w:val="center"/>
            <w:hideMark/>
          </w:tcPr>
          <w:p w14:paraId="6360930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12.957</w:t>
            </w:r>
          </w:p>
        </w:tc>
        <w:tc>
          <w:tcPr>
            <w:tcW w:w="257" w:type="pct"/>
            <w:tcBorders>
              <w:top w:val="nil"/>
              <w:left w:val="nil"/>
              <w:bottom w:val="single" w:sz="8" w:space="0" w:color="auto"/>
              <w:right w:val="single" w:sz="8" w:space="0" w:color="auto"/>
            </w:tcBorders>
            <w:shd w:val="clear" w:color="000000" w:fill="90EE90"/>
            <w:noWrap/>
            <w:vAlign w:val="center"/>
            <w:hideMark/>
          </w:tcPr>
          <w:p w14:paraId="0AF641F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244CD4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3273C3F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1E30E45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54B4DE1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39B99F5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1638.8</w:t>
            </w:r>
          </w:p>
        </w:tc>
        <w:tc>
          <w:tcPr>
            <w:tcW w:w="359" w:type="pct"/>
            <w:tcBorders>
              <w:top w:val="nil"/>
              <w:left w:val="nil"/>
              <w:bottom w:val="single" w:sz="8" w:space="0" w:color="auto"/>
              <w:right w:val="single" w:sz="8" w:space="0" w:color="auto"/>
            </w:tcBorders>
            <w:shd w:val="clear" w:color="000000" w:fill="90EE90"/>
            <w:noWrap/>
            <w:vAlign w:val="center"/>
            <w:hideMark/>
          </w:tcPr>
          <w:p w14:paraId="21232EF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48742.4</w:t>
            </w:r>
          </w:p>
        </w:tc>
        <w:tc>
          <w:tcPr>
            <w:tcW w:w="308" w:type="pct"/>
            <w:tcBorders>
              <w:top w:val="nil"/>
              <w:left w:val="nil"/>
              <w:bottom w:val="single" w:sz="8" w:space="0" w:color="auto"/>
              <w:right w:val="single" w:sz="8" w:space="0" w:color="auto"/>
            </w:tcBorders>
            <w:shd w:val="clear" w:color="000000" w:fill="90EE90"/>
            <w:noWrap/>
            <w:vAlign w:val="center"/>
            <w:hideMark/>
          </w:tcPr>
          <w:p w14:paraId="5DCD897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4,777.4</w:t>
            </w:r>
          </w:p>
        </w:tc>
        <w:tc>
          <w:tcPr>
            <w:tcW w:w="280" w:type="pct"/>
            <w:tcBorders>
              <w:top w:val="nil"/>
              <w:left w:val="nil"/>
              <w:bottom w:val="single" w:sz="8" w:space="0" w:color="auto"/>
              <w:right w:val="single" w:sz="8" w:space="0" w:color="auto"/>
            </w:tcBorders>
            <w:shd w:val="clear" w:color="000000" w:fill="90EE90"/>
            <w:noWrap/>
            <w:vAlign w:val="center"/>
            <w:hideMark/>
          </w:tcPr>
          <w:p w14:paraId="311F0B2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326.98</w:t>
            </w:r>
          </w:p>
        </w:tc>
      </w:tr>
      <w:tr w:rsidR="006B1FB2" w:rsidRPr="00191ACB" w14:paraId="084EFA20"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292E215"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3.C.1 - Emissions from biomass burning </w:t>
            </w:r>
          </w:p>
        </w:tc>
        <w:tc>
          <w:tcPr>
            <w:tcW w:w="360" w:type="pct"/>
            <w:tcBorders>
              <w:top w:val="nil"/>
              <w:left w:val="nil"/>
              <w:bottom w:val="single" w:sz="8" w:space="0" w:color="auto"/>
              <w:right w:val="single" w:sz="8" w:space="0" w:color="auto"/>
            </w:tcBorders>
            <w:shd w:val="clear" w:color="000000" w:fill="D3D3D3"/>
            <w:noWrap/>
            <w:vAlign w:val="center"/>
            <w:hideMark/>
          </w:tcPr>
          <w:p w14:paraId="57F7F4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auto" w:fill="auto"/>
            <w:noWrap/>
            <w:vAlign w:val="center"/>
            <w:hideMark/>
          </w:tcPr>
          <w:p w14:paraId="5E5B82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330.32</w:t>
            </w:r>
          </w:p>
        </w:tc>
        <w:tc>
          <w:tcPr>
            <w:tcW w:w="308" w:type="pct"/>
            <w:tcBorders>
              <w:top w:val="nil"/>
              <w:left w:val="nil"/>
              <w:bottom w:val="single" w:sz="8" w:space="0" w:color="auto"/>
              <w:right w:val="single" w:sz="8" w:space="0" w:color="auto"/>
            </w:tcBorders>
            <w:shd w:val="clear" w:color="auto" w:fill="auto"/>
            <w:noWrap/>
            <w:vAlign w:val="center"/>
            <w:hideMark/>
          </w:tcPr>
          <w:p w14:paraId="77B5D3A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10.711</w:t>
            </w:r>
          </w:p>
        </w:tc>
        <w:tc>
          <w:tcPr>
            <w:tcW w:w="257" w:type="pct"/>
            <w:tcBorders>
              <w:top w:val="nil"/>
              <w:left w:val="nil"/>
              <w:bottom w:val="single" w:sz="8" w:space="0" w:color="auto"/>
              <w:right w:val="single" w:sz="8" w:space="0" w:color="auto"/>
            </w:tcBorders>
            <w:shd w:val="clear" w:color="000000" w:fill="D3D3D3"/>
            <w:noWrap/>
            <w:vAlign w:val="center"/>
            <w:hideMark/>
          </w:tcPr>
          <w:p w14:paraId="15859E1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420D90F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D7F6D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C86BE2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183A77E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FFFFFF"/>
            <w:noWrap/>
            <w:vAlign w:val="center"/>
            <w:hideMark/>
          </w:tcPr>
          <w:p w14:paraId="16168B3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1,223.6</w:t>
            </w:r>
          </w:p>
        </w:tc>
        <w:tc>
          <w:tcPr>
            <w:tcW w:w="359" w:type="pct"/>
            <w:tcBorders>
              <w:top w:val="nil"/>
              <w:left w:val="nil"/>
              <w:bottom w:val="single" w:sz="8" w:space="0" w:color="auto"/>
              <w:right w:val="single" w:sz="8" w:space="0" w:color="auto"/>
            </w:tcBorders>
            <w:shd w:val="clear" w:color="000000" w:fill="FFFFFF"/>
            <w:noWrap/>
            <w:vAlign w:val="center"/>
            <w:hideMark/>
          </w:tcPr>
          <w:p w14:paraId="79E6D2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36,708.86</w:t>
            </w:r>
          </w:p>
        </w:tc>
        <w:tc>
          <w:tcPr>
            <w:tcW w:w="308" w:type="pct"/>
            <w:tcBorders>
              <w:top w:val="nil"/>
              <w:left w:val="nil"/>
              <w:bottom w:val="single" w:sz="8" w:space="0" w:color="auto"/>
              <w:right w:val="single" w:sz="8" w:space="0" w:color="auto"/>
            </w:tcBorders>
            <w:shd w:val="clear" w:color="auto" w:fill="auto"/>
            <w:noWrap/>
            <w:vAlign w:val="center"/>
            <w:hideMark/>
          </w:tcPr>
          <w:p w14:paraId="2723BAE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3,670.8</w:t>
            </w:r>
          </w:p>
        </w:tc>
        <w:tc>
          <w:tcPr>
            <w:tcW w:w="280" w:type="pct"/>
            <w:tcBorders>
              <w:top w:val="nil"/>
              <w:left w:val="nil"/>
              <w:bottom w:val="single" w:sz="8" w:space="0" w:color="auto"/>
              <w:right w:val="single" w:sz="8" w:space="0" w:color="auto"/>
            </w:tcBorders>
            <w:shd w:val="clear" w:color="auto" w:fill="auto"/>
            <w:noWrap/>
            <w:vAlign w:val="center"/>
            <w:hideMark/>
          </w:tcPr>
          <w:p w14:paraId="20C6DE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244.73</w:t>
            </w:r>
          </w:p>
        </w:tc>
      </w:tr>
      <w:tr w:rsidR="006B1FB2" w:rsidRPr="00191ACB" w14:paraId="543F18BA"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8DE55E5"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3.C.2 - Liming </w:t>
            </w:r>
          </w:p>
        </w:tc>
        <w:tc>
          <w:tcPr>
            <w:tcW w:w="360" w:type="pct"/>
            <w:tcBorders>
              <w:top w:val="nil"/>
              <w:left w:val="nil"/>
              <w:bottom w:val="single" w:sz="8" w:space="0" w:color="auto"/>
              <w:right w:val="single" w:sz="8" w:space="0" w:color="auto"/>
            </w:tcBorders>
            <w:shd w:val="clear" w:color="auto" w:fill="auto"/>
            <w:noWrap/>
            <w:vAlign w:val="center"/>
            <w:hideMark/>
          </w:tcPr>
          <w:p w14:paraId="64921BD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1.67</w:t>
            </w:r>
          </w:p>
        </w:tc>
        <w:tc>
          <w:tcPr>
            <w:tcW w:w="256" w:type="pct"/>
            <w:tcBorders>
              <w:top w:val="nil"/>
              <w:left w:val="nil"/>
              <w:bottom w:val="single" w:sz="8" w:space="0" w:color="auto"/>
              <w:right w:val="single" w:sz="8" w:space="0" w:color="auto"/>
            </w:tcBorders>
            <w:shd w:val="clear" w:color="000000" w:fill="D3D3D3"/>
            <w:noWrap/>
            <w:vAlign w:val="center"/>
            <w:hideMark/>
          </w:tcPr>
          <w:p w14:paraId="5442E54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25632E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8EBD28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39F8DC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B201DA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A1F159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558D28D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23647C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61147CE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6A082E6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56E96E7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075C2952"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13A4877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3.C.3 - Urea application </w:t>
            </w:r>
          </w:p>
        </w:tc>
        <w:tc>
          <w:tcPr>
            <w:tcW w:w="360" w:type="pct"/>
            <w:tcBorders>
              <w:top w:val="nil"/>
              <w:left w:val="nil"/>
              <w:bottom w:val="single" w:sz="8" w:space="0" w:color="auto"/>
              <w:right w:val="single" w:sz="8" w:space="0" w:color="auto"/>
            </w:tcBorders>
            <w:shd w:val="clear" w:color="auto" w:fill="auto"/>
            <w:noWrap/>
            <w:vAlign w:val="center"/>
            <w:hideMark/>
          </w:tcPr>
          <w:p w14:paraId="29ECB4C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103.818</w:t>
            </w:r>
          </w:p>
        </w:tc>
        <w:tc>
          <w:tcPr>
            <w:tcW w:w="256" w:type="pct"/>
            <w:tcBorders>
              <w:top w:val="nil"/>
              <w:left w:val="nil"/>
              <w:bottom w:val="single" w:sz="8" w:space="0" w:color="auto"/>
              <w:right w:val="single" w:sz="8" w:space="0" w:color="auto"/>
            </w:tcBorders>
            <w:shd w:val="clear" w:color="000000" w:fill="D3D3D3"/>
            <w:noWrap/>
            <w:vAlign w:val="center"/>
            <w:hideMark/>
          </w:tcPr>
          <w:p w14:paraId="78E0B92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602C964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98D7B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33B6A57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00F5ECB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758619D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349946C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773C722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64F3BDF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75CBCCB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2678E7A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1C249A94"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5A9E9F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3.C.4 - Direct N2O Emissions from managed soils </w:t>
            </w:r>
          </w:p>
        </w:tc>
        <w:tc>
          <w:tcPr>
            <w:tcW w:w="360" w:type="pct"/>
            <w:tcBorders>
              <w:top w:val="nil"/>
              <w:left w:val="nil"/>
              <w:bottom w:val="single" w:sz="8" w:space="0" w:color="auto"/>
              <w:right w:val="single" w:sz="8" w:space="0" w:color="auto"/>
            </w:tcBorders>
            <w:shd w:val="clear" w:color="000000" w:fill="D3D3D3"/>
            <w:noWrap/>
            <w:vAlign w:val="center"/>
            <w:hideMark/>
          </w:tcPr>
          <w:p w14:paraId="12822F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275403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5D06EBA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2.113</w:t>
            </w:r>
          </w:p>
        </w:tc>
        <w:tc>
          <w:tcPr>
            <w:tcW w:w="257" w:type="pct"/>
            <w:tcBorders>
              <w:top w:val="nil"/>
              <w:left w:val="nil"/>
              <w:bottom w:val="single" w:sz="8" w:space="0" w:color="auto"/>
              <w:right w:val="single" w:sz="8" w:space="0" w:color="auto"/>
            </w:tcBorders>
            <w:shd w:val="clear" w:color="000000" w:fill="D3D3D3"/>
            <w:noWrap/>
            <w:vAlign w:val="center"/>
            <w:hideMark/>
          </w:tcPr>
          <w:p w14:paraId="6D8C751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407599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7A8F885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6F6D4EB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4F717A7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4F7381F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1D4EBC8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70A4277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6489F9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6DC9F15C"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34AE958"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3.C.5 - Indirect N2O Emissions from managed soils </w:t>
            </w:r>
          </w:p>
        </w:tc>
        <w:tc>
          <w:tcPr>
            <w:tcW w:w="360" w:type="pct"/>
            <w:tcBorders>
              <w:top w:val="nil"/>
              <w:left w:val="nil"/>
              <w:bottom w:val="single" w:sz="8" w:space="0" w:color="auto"/>
              <w:right w:val="single" w:sz="8" w:space="0" w:color="auto"/>
            </w:tcBorders>
            <w:shd w:val="clear" w:color="000000" w:fill="D3D3D3"/>
            <w:noWrap/>
            <w:vAlign w:val="center"/>
            <w:hideMark/>
          </w:tcPr>
          <w:p w14:paraId="2BE6BD0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4DEF344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6CB637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0.133</w:t>
            </w:r>
          </w:p>
        </w:tc>
        <w:tc>
          <w:tcPr>
            <w:tcW w:w="257" w:type="pct"/>
            <w:tcBorders>
              <w:top w:val="nil"/>
              <w:left w:val="nil"/>
              <w:bottom w:val="single" w:sz="8" w:space="0" w:color="auto"/>
              <w:right w:val="single" w:sz="8" w:space="0" w:color="auto"/>
            </w:tcBorders>
            <w:shd w:val="clear" w:color="000000" w:fill="D3D3D3"/>
            <w:noWrap/>
            <w:vAlign w:val="center"/>
            <w:hideMark/>
          </w:tcPr>
          <w:p w14:paraId="2580E42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CBE26F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05E9369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5EE0BB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E895D2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26C898E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789FDFF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285FEA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02A422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088E197E"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73D4BFC"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3.C.6 - Indirect N2O Emissions from manure management </w:t>
            </w:r>
          </w:p>
        </w:tc>
        <w:tc>
          <w:tcPr>
            <w:tcW w:w="360" w:type="pct"/>
            <w:tcBorders>
              <w:top w:val="nil"/>
              <w:left w:val="nil"/>
              <w:bottom w:val="single" w:sz="8" w:space="0" w:color="auto"/>
              <w:right w:val="single" w:sz="8" w:space="0" w:color="auto"/>
            </w:tcBorders>
            <w:shd w:val="clear" w:color="000000" w:fill="D3D3D3"/>
            <w:noWrap/>
            <w:vAlign w:val="center"/>
            <w:hideMark/>
          </w:tcPr>
          <w:p w14:paraId="0598F32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57B56C6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660C4C3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D3D3D3"/>
            <w:noWrap/>
            <w:vAlign w:val="center"/>
            <w:hideMark/>
          </w:tcPr>
          <w:p w14:paraId="00D5891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AF820E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3C12FB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3F4A7B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2768236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6123846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2A9C518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49F021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1C4E729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18A73001"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E74B11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3.C.7 - Rice cultivation </w:t>
            </w:r>
          </w:p>
        </w:tc>
        <w:tc>
          <w:tcPr>
            <w:tcW w:w="360" w:type="pct"/>
            <w:tcBorders>
              <w:top w:val="nil"/>
              <w:left w:val="nil"/>
              <w:bottom w:val="single" w:sz="8" w:space="0" w:color="auto"/>
              <w:right w:val="single" w:sz="8" w:space="0" w:color="auto"/>
            </w:tcBorders>
            <w:shd w:val="clear" w:color="000000" w:fill="D3D3D3"/>
            <w:noWrap/>
            <w:vAlign w:val="center"/>
            <w:hideMark/>
          </w:tcPr>
          <w:p w14:paraId="6DB9BF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auto" w:fill="auto"/>
            <w:noWrap/>
            <w:vAlign w:val="center"/>
            <w:hideMark/>
          </w:tcPr>
          <w:p w14:paraId="09E71D2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0.984</w:t>
            </w:r>
          </w:p>
        </w:tc>
        <w:tc>
          <w:tcPr>
            <w:tcW w:w="308" w:type="pct"/>
            <w:tcBorders>
              <w:top w:val="nil"/>
              <w:left w:val="nil"/>
              <w:bottom w:val="single" w:sz="8" w:space="0" w:color="auto"/>
              <w:right w:val="single" w:sz="8" w:space="0" w:color="auto"/>
            </w:tcBorders>
            <w:shd w:val="clear" w:color="000000" w:fill="D3D3D3"/>
            <w:noWrap/>
            <w:vAlign w:val="center"/>
            <w:hideMark/>
          </w:tcPr>
          <w:p w14:paraId="0257114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13F9B8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03E5AB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532C0D8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5C10D4F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0CC682B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3691537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003AC8E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6A3B12B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774B23B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74C2FCCB"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0E9532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3.C.8 - Other (please specify) </w:t>
            </w:r>
          </w:p>
        </w:tc>
        <w:tc>
          <w:tcPr>
            <w:tcW w:w="360" w:type="pct"/>
            <w:tcBorders>
              <w:top w:val="nil"/>
              <w:left w:val="nil"/>
              <w:bottom w:val="single" w:sz="8" w:space="0" w:color="auto"/>
              <w:right w:val="single" w:sz="8" w:space="0" w:color="auto"/>
            </w:tcBorders>
            <w:shd w:val="clear" w:color="000000" w:fill="D3D3D3"/>
            <w:noWrap/>
            <w:vAlign w:val="center"/>
            <w:hideMark/>
          </w:tcPr>
          <w:p w14:paraId="7226FEB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auto" w:fill="auto"/>
            <w:noWrap/>
            <w:vAlign w:val="center"/>
            <w:hideMark/>
          </w:tcPr>
          <w:p w14:paraId="5D078C2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05977E0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D3D3D3"/>
            <w:noWrap/>
            <w:vAlign w:val="center"/>
            <w:hideMark/>
          </w:tcPr>
          <w:p w14:paraId="1FCA49D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E80075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00A651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07952EE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01342E7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49E7E14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59" w:type="pct"/>
            <w:tcBorders>
              <w:top w:val="nil"/>
              <w:left w:val="nil"/>
              <w:bottom w:val="single" w:sz="8" w:space="0" w:color="auto"/>
              <w:right w:val="single" w:sz="8" w:space="0" w:color="auto"/>
            </w:tcBorders>
            <w:shd w:val="clear" w:color="auto" w:fill="auto"/>
            <w:noWrap/>
            <w:vAlign w:val="center"/>
            <w:hideMark/>
          </w:tcPr>
          <w:p w14:paraId="5FB9AED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308" w:type="pct"/>
            <w:tcBorders>
              <w:top w:val="nil"/>
              <w:left w:val="nil"/>
              <w:bottom w:val="single" w:sz="8" w:space="0" w:color="auto"/>
              <w:right w:val="single" w:sz="8" w:space="0" w:color="auto"/>
            </w:tcBorders>
            <w:shd w:val="clear" w:color="auto" w:fill="auto"/>
            <w:noWrap/>
            <w:vAlign w:val="center"/>
            <w:hideMark/>
          </w:tcPr>
          <w:p w14:paraId="7175D74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c>
          <w:tcPr>
            <w:tcW w:w="280" w:type="pct"/>
            <w:tcBorders>
              <w:top w:val="nil"/>
              <w:left w:val="nil"/>
              <w:bottom w:val="single" w:sz="8" w:space="0" w:color="auto"/>
              <w:right w:val="single" w:sz="8" w:space="0" w:color="auto"/>
            </w:tcBorders>
            <w:shd w:val="clear" w:color="auto" w:fill="auto"/>
            <w:noWrap/>
            <w:vAlign w:val="center"/>
            <w:hideMark/>
          </w:tcPr>
          <w:p w14:paraId="50D0C92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NA</w:t>
            </w:r>
          </w:p>
        </w:tc>
      </w:tr>
      <w:tr w:rsidR="006B1FB2" w:rsidRPr="00191ACB" w14:paraId="0B41933B"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768E716"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3.D - Other </w:t>
            </w:r>
          </w:p>
        </w:tc>
        <w:tc>
          <w:tcPr>
            <w:tcW w:w="360" w:type="pct"/>
            <w:tcBorders>
              <w:top w:val="nil"/>
              <w:left w:val="nil"/>
              <w:bottom w:val="single" w:sz="8" w:space="0" w:color="auto"/>
              <w:right w:val="single" w:sz="8" w:space="0" w:color="auto"/>
            </w:tcBorders>
            <w:shd w:val="clear" w:color="000000" w:fill="90EE90"/>
            <w:noWrap/>
            <w:vAlign w:val="center"/>
            <w:hideMark/>
          </w:tcPr>
          <w:p w14:paraId="0E76343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90EE90"/>
            <w:noWrap/>
            <w:vAlign w:val="center"/>
            <w:hideMark/>
          </w:tcPr>
          <w:p w14:paraId="67BD501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64B6216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3A2B415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287725F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7DF8296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345948D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604CDDE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7FE92F9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2FD4BEA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0FA2E9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90EE90"/>
            <w:noWrap/>
            <w:vAlign w:val="center"/>
            <w:hideMark/>
          </w:tcPr>
          <w:p w14:paraId="77D3968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50D09DA6"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DB9F31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3.D.1 - Harvested Wood Products </w:t>
            </w:r>
          </w:p>
        </w:tc>
        <w:tc>
          <w:tcPr>
            <w:tcW w:w="360" w:type="pct"/>
            <w:tcBorders>
              <w:top w:val="nil"/>
              <w:left w:val="nil"/>
              <w:bottom w:val="single" w:sz="8" w:space="0" w:color="auto"/>
              <w:right w:val="single" w:sz="8" w:space="0" w:color="auto"/>
            </w:tcBorders>
            <w:shd w:val="clear" w:color="auto" w:fill="auto"/>
            <w:noWrap/>
            <w:vAlign w:val="center"/>
            <w:hideMark/>
          </w:tcPr>
          <w:p w14:paraId="11B0474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256" w:type="pct"/>
            <w:tcBorders>
              <w:top w:val="nil"/>
              <w:left w:val="nil"/>
              <w:bottom w:val="single" w:sz="8" w:space="0" w:color="auto"/>
              <w:right w:val="single" w:sz="8" w:space="0" w:color="auto"/>
            </w:tcBorders>
            <w:shd w:val="clear" w:color="000000" w:fill="D3D3D3"/>
            <w:noWrap/>
            <w:vAlign w:val="center"/>
            <w:hideMark/>
          </w:tcPr>
          <w:p w14:paraId="32AA203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43A2C02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5B1D69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282D49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023A93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431F411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21115D0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322AECE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359" w:type="pct"/>
            <w:tcBorders>
              <w:top w:val="nil"/>
              <w:left w:val="nil"/>
              <w:bottom w:val="single" w:sz="8" w:space="0" w:color="auto"/>
              <w:right w:val="single" w:sz="8" w:space="0" w:color="auto"/>
            </w:tcBorders>
            <w:shd w:val="clear" w:color="auto" w:fill="auto"/>
            <w:noWrap/>
            <w:vAlign w:val="center"/>
            <w:hideMark/>
          </w:tcPr>
          <w:p w14:paraId="33CF0A1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308" w:type="pct"/>
            <w:tcBorders>
              <w:top w:val="nil"/>
              <w:left w:val="nil"/>
              <w:bottom w:val="single" w:sz="8" w:space="0" w:color="auto"/>
              <w:right w:val="single" w:sz="8" w:space="0" w:color="auto"/>
            </w:tcBorders>
            <w:shd w:val="clear" w:color="auto" w:fill="auto"/>
            <w:noWrap/>
            <w:vAlign w:val="center"/>
            <w:hideMark/>
          </w:tcPr>
          <w:p w14:paraId="28C3330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280" w:type="pct"/>
            <w:tcBorders>
              <w:top w:val="nil"/>
              <w:left w:val="nil"/>
              <w:bottom w:val="single" w:sz="8" w:space="0" w:color="auto"/>
              <w:right w:val="single" w:sz="8" w:space="0" w:color="auto"/>
            </w:tcBorders>
            <w:shd w:val="clear" w:color="auto" w:fill="auto"/>
            <w:noWrap/>
            <w:vAlign w:val="center"/>
            <w:hideMark/>
          </w:tcPr>
          <w:p w14:paraId="638A6E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07F79460"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E3CDCEB"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3.D.2 - Other (please specify) </w:t>
            </w:r>
          </w:p>
        </w:tc>
        <w:tc>
          <w:tcPr>
            <w:tcW w:w="360" w:type="pct"/>
            <w:tcBorders>
              <w:top w:val="nil"/>
              <w:left w:val="nil"/>
              <w:bottom w:val="single" w:sz="8" w:space="0" w:color="auto"/>
              <w:right w:val="single" w:sz="8" w:space="0" w:color="auto"/>
            </w:tcBorders>
            <w:shd w:val="clear" w:color="auto" w:fill="auto"/>
            <w:noWrap/>
            <w:vAlign w:val="center"/>
            <w:hideMark/>
          </w:tcPr>
          <w:p w14:paraId="2FF407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256" w:type="pct"/>
            <w:tcBorders>
              <w:top w:val="nil"/>
              <w:left w:val="nil"/>
              <w:bottom w:val="single" w:sz="8" w:space="0" w:color="auto"/>
              <w:right w:val="single" w:sz="8" w:space="0" w:color="auto"/>
            </w:tcBorders>
            <w:shd w:val="clear" w:color="auto" w:fill="auto"/>
            <w:noWrap/>
            <w:vAlign w:val="center"/>
            <w:hideMark/>
          </w:tcPr>
          <w:p w14:paraId="3FD5607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308" w:type="pct"/>
            <w:tcBorders>
              <w:top w:val="nil"/>
              <w:left w:val="nil"/>
              <w:bottom w:val="single" w:sz="8" w:space="0" w:color="auto"/>
              <w:right w:val="single" w:sz="8" w:space="0" w:color="auto"/>
            </w:tcBorders>
            <w:shd w:val="clear" w:color="auto" w:fill="auto"/>
            <w:noWrap/>
            <w:vAlign w:val="center"/>
            <w:hideMark/>
          </w:tcPr>
          <w:p w14:paraId="77E278D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257" w:type="pct"/>
            <w:tcBorders>
              <w:top w:val="nil"/>
              <w:left w:val="nil"/>
              <w:bottom w:val="single" w:sz="8" w:space="0" w:color="auto"/>
              <w:right w:val="single" w:sz="8" w:space="0" w:color="auto"/>
            </w:tcBorders>
            <w:shd w:val="clear" w:color="000000" w:fill="D3D3D3"/>
            <w:noWrap/>
            <w:vAlign w:val="center"/>
            <w:hideMark/>
          </w:tcPr>
          <w:p w14:paraId="4641BD9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6314528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1DAFEA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00C7E7B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101051A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5D198A8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359" w:type="pct"/>
            <w:tcBorders>
              <w:top w:val="nil"/>
              <w:left w:val="nil"/>
              <w:bottom w:val="single" w:sz="8" w:space="0" w:color="auto"/>
              <w:right w:val="single" w:sz="8" w:space="0" w:color="auto"/>
            </w:tcBorders>
            <w:shd w:val="clear" w:color="auto" w:fill="auto"/>
            <w:noWrap/>
            <w:vAlign w:val="center"/>
            <w:hideMark/>
          </w:tcPr>
          <w:p w14:paraId="37E3282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308" w:type="pct"/>
            <w:tcBorders>
              <w:top w:val="nil"/>
              <w:left w:val="nil"/>
              <w:bottom w:val="single" w:sz="8" w:space="0" w:color="auto"/>
              <w:right w:val="single" w:sz="8" w:space="0" w:color="auto"/>
            </w:tcBorders>
            <w:shd w:val="clear" w:color="auto" w:fill="auto"/>
            <w:noWrap/>
            <w:vAlign w:val="center"/>
            <w:hideMark/>
          </w:tcPr>
          <w:p w14:paraId="208751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c>
          <w:tcPr>
            <w:tcW w:w="280" w:type="pct"/>
            <w:tcBorders>
              <w:top w:val="nil"/>
              <w:left w:val="nil"/>
              <w:bottom w:val="single" w:sz="8" w:space="0" w:color="auto"/>
              <w:right w:val="single" w:sz="8" w:space="0" w:color="auto"/>
            </w:tcBorders>
            <w:shd w:val="clear" w:color="auto" w:fill="auto"/>
            <w:noWrap/>
            <w:vAlign w:val="center"/>
            <w:hideMark/>
          </w:tcPr>
          <w:p w14:paraId="023D627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w:t>
            </w:r>
          </w:p>
        </w:tc>
      </w:tr>
      <w:tr w:rsidR="006B1FB2" w:rsidRPr="00191ACB" w14:paraId="6E8DCE95"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4003E73E"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4 - Waste </w:t>
            </w:r>
          </w:p>
        </w:tc>
        <w:tc>
          <w:tcPr>
            <w:tcW w:w="360" w:type="pct"/>
            <w:tcBorders>
              <w:top w:val="nil"/>
              <w:left w:val="nil"/>
              <w:bottom w:val="single" w:sz="8" w:space="0" w:color="auto"/>
              <w:right w:val="single" w:sz="8" w:space="0" w:color="auto"/>
            </w:tcBorders>
            <w:shd w:val="clear" w:color="000000" w:fill="90EE90"/>
            <w:noWrap/>
            <w:vAlign w:val="center"/>
            <w:hideMark/>
          </w:tcPr>
          <w:p w14:paraId="70CB011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2.266</w:t>
            </w:r>
          </w:p>
        </w:tc>
        <w:tc>
          <w:tcPr>
            <w:tcW w:w="256" w:type="pct"/>
            <w:tcBorders>
              <w:top w:val="nil"/>
              <w:left w:val="nil"/>
              <w:bottom w:val="single" w:sz="8" w:space="0" w:color="auto"/>
              <w:right w:val="single" w:sz="8" w:space="0" w:color="auto"/>
            </w:tcBorders>
            <w:shd w:val="clear" w:color="000000" w:fill="90EE90"/>
            <w:noWrap/>
            <w:vAlign w:val="center"/>
            <w:hideMark/>
          </w:tcPr>
          <w:p w14:paraId="36F6B10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7.382</w:t>
            </w:r>
          </w:p>
        </w:tc>
        <w:tc>
          <w:tcPr>
            <w:tcW w:w="308" w:type="pct"/>
            <w:tcBorders>
              <w:top w:val="nil"/>
              <w:left w:val="nil"/>
              <w:bottom w:val="single" w:sz="8" w:space="0" w:color="auto"/>
              <w:right w:val="single" w:sz="8" w:space="0" w:color="auto"/>
            </w:tcBorders>
            <w:shd w:val="clear" w:color="000000" w:fill="90EE90"/>
            <w:noWrap/>
            <w:vAlign w:val="center"/>
            <w:hideMark/>
          </w:tcPr>
          <w:p w14:paraId="30F1CD7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0.576</w:t>
            </w:r>
          </w:p>
        </w:tc>
        <w:tc>
          <w:tcPr>
            <w:tcW w:w="257" w:type="pct"/>
            <w:tcBorders>
              <w:top w:val="nil"/>
              <w:left w:val="nil"/>
              <w:bottom w:val="single" w:sz="8" w:space="0" w:color="auto"/>
              <w:right w:val="single" w:sz="8" w:space="0" w:color="auto"/>
            </w:tcBorders>
            <w:shd w:val="clear" w:color="000000" w:fill="90EE90"/>
            <w:noWrap/>
            <w:vAlign w:val="center"/>
            <w:hideMark/>
          </w:tcPr>
          <w:p w14:paraId="4764B8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7DF9B38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6F68B8C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1F8489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3AAA0E0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28E9BA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29A964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FFFFFF"/>
            <w:noWrap/>
            <w:vAlign w:val="center"/>
            <w:hideMark/>
          </w:tcPr>
          <w:p w14:paraId="6291483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0.005</w:t>
            </w:r>
          </w:p>
        </w:tc>
        <w:tc>
          <w:tcPr>
            <w:tcW w:w="280" w:type="pct"/>
            <w:tcBorders>
              <w:top w:val="nil"/>
              <w:left w:val="nil"/>
              <w:bottom w:val="single" w:sz="8" w:space="0" w:color="auto"/>
              <w:right w:val="single" w:sz="8" w:space="0" w:color="auto"/>
            </w:tcBorders>
            <w:shd w:val="clear" w:color="000000" w:fill="90EE90"/>
            <w:noWrap/>
            <w:vAlign w:val="center"/>
            <w:hideMark/>
          </w:tcPr>
          <w:p w14:paraId="7A8C2C5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0A0AA31A"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13B2755"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4.A - Solid Waste Disposal </w:t>
            </w:r>
          </w:p>
        </w:tc>
        <w:tc>
          <w:tcPr>
            <w:tcW w:w="360" w:type="pct"/>
            <w:tcBorders>
              <w:top w:val="nil"/>
              <w:left w:val="nil"/>
              <w:bottom w:val="single" w:sz="8" w:space="0" w:color="auto"/>
              <w:right w:val="single" w:sz="8" w:space="0" w:color="auto"/>
            </w:tcBorders>
            <w:shd w:val="clear" w:color="000000" w:fill="90EE90"/>
            <w:noWrap/>
            <w:vAlign w:val="center"/>
            <w:hideMark/>
          </w:tcPr>
          <w:p w14:paraId="6560D5C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90EE90"/>
            <w:noWrap/>
            <w:vAlign w:val="center"/>
            <w:hideMark/>
          </w:tcPr>
          <w:p w14:paraId="4EF6DED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4.424</w:t>
            </w:r>
          </w:p>
        </w:tc>
        <w:tc>
          <w:tcPr>
            <w:tcW w:w="308" w:type="pct"/>
            <w:tcBorders>
              <w:top w:val="nil"/>
              <w:left w:val="nil"/>
              <w:bottom w:val="single" w:sz="8" w:space="0" w:color="auto"/>
              <w:right w:val="single" w:sz="8" w:space="0" w:color="auto"/>
            </w:tcBorders>
            <w:shd w:val="clear" w:color="000000" w:fill="90EE90"/>
            <w:noWrap/>
            <w:vAlign w:val="center"/>
            <w:hideMark/>
          </w:tcPr>
          <w:p w14:paraId="6FD0590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26F4BA8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15A4F4C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7450774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4DFC9C9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6F10E0F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75934AD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2EAAA4D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6381E5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90EE90"/>
            <w:noWrap/>
            <w:vAlign w:val="center"/>
            <w:hideMark/>
          </w:tcPr>
          <w:p w14:paraId="0943D33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00DF6BFC"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51FBFCF"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4.B - Biological Treatment of Solid Waste </w:t>
            </w:r>
          </w:p>
        </w:tc>
        <w:tc>
          <w:tcPr>
            <w:tcW w:w="360" w:type="pct"/>
            <w:tcBorders>
              <w:top w:val="nil"/>
              <w:left w:val="nil"/>
              <w:bottom w:val="single" w:sz="8" w:space="0" w:color="auto"/>
              <w:right w:val="single" w:sz="8" w:space="0" w:color="auto"/>
            </w:tcBorders>
            <w:shd w:val="clear" w:color="000000" w:fill="90EE90"/>
            <w:noWrap/>
            <w:vAlign w:val="center"/>
            <w:hideMark/>
          </w:tcPr>
          <w:p w14:paraId="3E0E5E3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90EE90"/>
            <w:noWrap/>
            <w:vAlign w:val="center"/>
            <w:hideMark/>
          </w:tcPr>
          <w:p w14:paraId="48411AA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04A94F9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6E60220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790691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0C0CB52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5E8EB53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23CBF3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6238FAC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3EF9FDE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178DB38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90EE90"/>
            <w:noWrap/>
            <w:vAlign w:val="center"/>
            <w:hideMark/>
          </w:tcPr>
          <w:p w14:paraId="322CEF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4D5DC712"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163E5A99"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lastRenderedPageBreak/>
              <w:t xml:space="preserve">   4.C - Incineration and Open Burning of Waste </w:t>
            </w:r>
          </w:p>
        </w:tc>
        <w:tc>
          <w:tcPr>
            <w:tcW w:w="360" w:type="pct"/>
            <w:tcBorders>
              <w:top w:val="nil"/>
              <w:left w:val="nil"/>
              <w:bottom w:val="single" w:sz="8" w:space="0" w:color="auto"/>
              <w:right w:val="single" w:sz="8" w:space="0" w:color="auto"/>
            </w:tcBorders>
            <w:shd w:val="clear" w:color="000000" w:fill="90EE90"/>
            <w:noWrap/>
            <w:vAlign w:val="center"/>
            <w:hideMark/>
          </w:tcPr>
          <w:p w14:paraId="71264DF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2.266</w:t>
            </w:r>
          </w:p>
        </w:tc>
        <w:tc>
          <w:tcPr>
            <w:tcW w:w="256" w:type="pct"/>
            <w:tcBorders>
              <w:top w:val="nil"/>
              <w:left w:val="nil"/>
              <w:bottom w:val="single" w:sz="8" w:space="0" w:color="auto"/>
              <w:right w:val="single" w:sz="8" w:space="0" w:color="auto"/>
            </w:tcBorders>
            <w:shd w:val="clear" w:color="000000" w:fill="90EE90"/>
            <w:noWrap/>
            <w:vAlign w:val="center"/>
            <w:hideMark/>
          </w:tcPr>
          <w:p w14:paraId="6589CC6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0.018</w:t>
            </w:r>
          </w:p>
        </w:tc>
        <w:tc>
          <w:tcPr>
            <w:tcW w:w="308" w:type="pct"/>
            <w:tcBorders>
              <w:top w:val="nil"/>
              <w:left w:val="nil"/>
              <w:bottom w:val="single" w:sz="8" w:space="0" w:color="auto"/>
              <w:right w:val="single" w:sz="8" w:space="0" w:color="auto"/>
            </w:tcBorders>
            <w:shd w:val="clear" w:color="000000" w:fill="90EE90"/>
            <w:noWrap/>
            <w:vAlign w:val="center"/>
            <w:hideMark/>
          </w:tcPr>
          <w:p w14:paraId="7273F24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6522334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6C153D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05F5638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31F6D42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6536C8C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01C1022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647CBB8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2032313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90EE90"/>
            <w:noWrap/>
            <w:vAlign w:val="center"/>
            <w:hideMark/>
          </w:tcPr>
          <w:p w14:paraId="4095C97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1E158DC9"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21AAE145"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4.D - Wastewater Treatment and Discharge </w:t>
            </w:r>
          </w:p>
        </w:tc>
        <w:tc>
          <w:tcPr>
            <w:tcW w:w="360" w:type="pct"/>
            <w:tcBorders>
              <w:top w:val="nil"/>
              <w:left w:val="nil"/>
              <w:bottom w:val="single" w:sz="8" w:space="0" w:color="auto"/>
              <w:right w:val="single" w:sz="8" w:space="0" w:color="auto"/>
            </w:tcBorders>
            <w:shd w:val="clear" w:color="000000" w:fill="90EE90"/>
            <w:noWrap/>
            <w:vAlign w:val="center"/>
            <w:hideMark/>
          </w:tcPr>
          <w:p w14:paraId="3390E4D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90EE90"/>
            <w:noWrap/>
            <w:vAlign w:val="center"/>
            <w:hideMark/>
          </w:tcPr>
          <w:p w14:paraId="58A7DE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2.94</w:t>
            </w:r>
          </w:p>
        </w:tc>
        <w:tc>
          <w:tcPr>
            <w:tcW w:w="308" w:type="pct"/>
            <w:tcBorders>
              <w:top w:val="nil"/>
              <w:left w:val="nil"/>
              <w:bottom w:val="single" w:sz="8" w:space="0" w:color="auto"/>
              <w:right w:val="single" w:sz="8" w:space="0" w:color="auto"/>
            </w:tcBorders>
            <w:shd w:val="clear" w:color="000000" w:fill="90EE90"/>
            <w:noWrap/>
            <w:vAlign w:val="center"/>
            <w:hideMark/>
          </w:tcPr>
          <w:p w14:paraId="3B13934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0.576</w:t>
            </w:r>
          </w:p>
        </w:tc>
        <w:tc>
          <w:tcPr>
            <w:tcW w:w="257" w:type="pct"/>
            <w:tcBorders>
              <w:top w:val="nil"/>
              <w:left w:val="nil"/>
              <w:bottom w:val="single" w:sz="8" w:space="0" w:color="auto"/>
              <w:right w:val="single" w:sz="8" w:space="0" w:color="auto"/>
            </w:tcBorders>
            <w:shd w:val="clear" w:color="000000" w:fill="90EE90"/>
            <w:noWrap/>
            <w:vAlign w:val="center"/>
            <w:hideMark/>
          </w:tcPr>
          <w:p w14:paraId="790538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5859157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6C98F54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4305B0F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4C6261A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7549E5F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2F071BF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FFFFFF"/>
            <w:noWrap/>
            <w:vAlign w:val="center"/>
            <w:hideMark/>
          </w:tcPr>
          <w:p w14:paraId="3EC82B8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0.005</w:t>
            </w:r>
          </w:p>
        </w:tc>
        <w:tc>
          <w:tcPr>
            <w:tcW w:w="280" w:type="pct"/>
            <w:tcBorders>
              <w:top w:val="nil"/>
              <w:left w:val="nil"/>
              <w:bottom w:val="single" w:sz="8" w:space="0" w:color="auto"/>
              <w:right w:val="single" w:sz="8" w:space="0" w:color="auto"/>
            </w:tcBorders>
            <w:shd w:val="clear" w:color="000000" w:fill="90EE90"/>
            <w:noWrap/>
            <w:vAlign w:val="center"/>
            <w:hideMark/>
          </w:tcPr>
          <w:p w14:paraId="203B4D6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28A09767"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BED2D4A"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4.E - Other (please specify) </w:t>
            </w:r>
          </w:p>
        </w:tc>
        <w:tc>
          <w:tcPr>
            <w:tcW w:w="360" w:type="pct"/>
            <w:tcBorders>
              <w:top w:val="nil"/>
              <w:left w:val="nil"/>
              <w:bottom w:val="single" w:sz="8" w:space="0" w:color="auto"/>
              <w:right w:val="single" w:sz="8" w:space="0" w:color="auto"/>
            </w:tcBorders>
            <w:shd w:val="clear" w:color="000000" w:fill="90EE90"/>
            <w:noWrap/>
            <w:vAlign w:val="center"/>
            <w:hideMark/>
          </w:tcPr>
          <w:p w14:paraId="14EF3E7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90EE90"/>
            <w:noWrap/>
            <w:vAlign w:val="center"/>
            <w:hideMark/>
          </w:tcPr>
          <w:p w14:paraId="393CE34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6FE7F88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313635C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07BABC8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21DF9D0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1A98C7E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723A9E8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4DE042D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2F70E29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18B15B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90EE90"/>
            <w:noWrap/>
            <w:vAlign w:val="center"/>
            <w:hideMark/>
          </w:tcPr>
          <w:p w14:paraId="6722443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424891FB"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3DD0995"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5 - Other </w:t>
            </w:r>
          </w:p>
        </w:tc>
        <w:tc>
          <w:tcPr>
            <w:tcW w:w="360" w:type="pct"/>
            <w:tcBorders>
              <w:top w:val="nil"/>
              <w:left w:val="nil"/>
              <w:bottom w:val="single" w:sz="8" w:space="0" w:color="auto"/>
              <w:right w:val="single" w:sz="8" w:space="0" w:color="auto"/>
            </w:tcBorders>
            <w:shd w:val="clear" w:color="000000" w:fill="90EE90"/>
            <w:noWrap/>
            <w:vAlign w:val="center"/>
            <w:hideMark/>
          </w:tcPr>
          <w:p w14:paraId="41C577B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90EE90"/>
            <w:noWrap/>
            <w:vAlign w:val="center"/>
            <w:hideMark/>
          </w:tcPr>
          <w:p w14:paraId="4F8D7D9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0218F8B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1309F73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005DF36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2F5012B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2DEA847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18E9BCB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59F9F51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653BBB0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3F82252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90EE90"/>
            <w:noWrap/>
            <w:vAlign w:val="center"/>
            <w:hideMark/>
          </w:tcPr>
          <w:p w14:paraId="7ED8127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093850EF"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751519AE"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5.A - Indirect N2O emissions from the atmospheric deposition of nitrogen in NOx and NH3 </w:t>
            </w:r>
          </w:p>
        </w:tc>
        <w:tc>
          <w:tcPr>
            <w:tcW w:w="360" w:type="pct"/>
            <w:tcBorders>
              <w:top w:val="nil"/>
              <w:left w:val="nil"/>
              <w:bottom w:val="single" w:sz="8" w:space="0" w:color="auto"/>
              <w:right w:val="single" w:sz="8" w:space="0" w:color="auto"/>
            </w:tcBorders>
            <w:shd w:val="clear" w:color="000000" w:fill="90EE90"/>
            <w:noWrap/>
            <w:vAlign w:val="center"/>
            <w:hideMark/>
          </w:tcPr>
          <w:p w14:paraId="45871DB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90EE90"/>
            <w:noWrap/>
            <w:vAlign w:val="center"/>
            <w:hideMark/>
          </w:tcPr>
          <w:p w14:paraId="6B8B2EA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558A63B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392108D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435C653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4AA3AB4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03EF64E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11FF4AD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09E6C7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758C48C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21D01E4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90EE90"/>
            <w:noWrap/>
            <w:vAlign w:val="center"/>
            <w:hideMark/>
          </w:tcPr>
          <w:p w14:paraId="482687E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3FCB1300"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50859426"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   5.B - Other (please specify) </w:t>
            </w:r>
          </w:p>
        </w:tc>
        <w:tc>
          <w:tcPr>
            <w:tcW w:w="360" w:type="pct"/>
            <w:tcBorders>
              <w:top w:val="nil"/>
              <w:left w:val="nil"/>
              <w:bottom w:val="single" w:sz="8" w:space="0" w:color="auto"/>
              <w:right w:val="single" w:sz="8" w:space="0" w:color="auto"/>
            </w:tcBorders>
            <w:shd w:val="clear" w:color="000000" w:fill="90EE90"/>
            <w:noWrap/>
            <w:vAlign w:val="center"/>
            <w:hideMark/>
          </w:tcPr>
          <w:p w14:paraId="2F915FE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6" w:type="pct"/>
            <w:tcBorders>
              <w:top w:val="nil"/>
              <w:left w:val="nil"/>
              <w:bottom w:val="single" w:sz="8" w:space="0" w:color="auto"/>
              <w:right w:val="single" w:sz="8" w:space="0" w:color="auto"/>
            </w:tcBorders>
            <w:shd w:val="clear" w:color="000000" w:fill="90EE90"/>
            <w:noWrap/>
            <w:vAlign w:val="center"/>
            <w:hideMark/>
          </w:tcPr>
          <w:p w14:paraId="7719028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08" w:type="pct"/>
            <w:tcBorders>
              <w:top w:val="nil"/>
              <w:left w:val="nil"/>
              <w:bottom w:val="single" w:sz="8" w:space="0" w:color="auto"/>
              <w:right w:val="single" w:sz="8" w:space="0" w:color="auto"/>
            </w:tcBorders>
            <w:shd w:val="clear" w:color="000000" w:fill="90EE90"/>
            <w:noWrap/>
            <w:vAlign w:val="center"/>
            <w:hideMark/>
          </w:tcPr>
          <w:p w14:paraId="1583A8B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257" w:type="pct"/>
            <w:tcBorders>
              <w:top w:val="nil"/>
              <w:left w:val="nil"/>
              <w:bottom w:val="single" w:sz="8" w:space="0" w:color="auto"/>
              <w:right w:val="single" w:sz="8" w:space="0" w:color="auto"/>
            </w:tcBorders>
            <w:shd w:val="clear" w:color="000000" w:fill="90EE90"/>
            <w:noWrap/>
            <w:vAlign w:val="center"/>
            <w:hideMark/>
          </w:tcPr>
          <w:p w14:paraId="76EBADF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4A7E063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5FC1676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19A8210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6207B7C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5D22038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7CEEB27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6C40E68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90EE90"/>
            <w:noWrap/>
            <w:vAlign w:val="center"/>
            <w:hideMark/>
          </w:tcPr>
          <w:p w14:paraId="10D7BF1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2D7D4E9B"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6CA4B692"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05FCFB8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554905B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6D6DEBE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2CFF679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5D34E22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50D46F5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00BF7A6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4CC689B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779D3CD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D3D3D3"/>
            <w:noWrap/>
            <w:vAlign w:val="center"/>
            <w:hideMark/>
          </w:tcPr>
          <w:p w14:paraId="66330A5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4F20CBE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D3D3D3"/>
            <w:noWrap/>
            <w:vAlign w:val="center"/>
            <w:hideMark/>
          </w:tcPr>
          <w:p w14:paraId="383A3E8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57030311"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3B3D656E"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Memo Items (5)</w:t>
            </w:r>
          </w:p>
        </w:tc>
        <w:tc>
          <w:tcPr>
            <w:tcW w:w="360" w:type="pct"/>
            <w:tcBorders>
              <w:top w:val="nil"/>
              <w:left w:val="nil"/>
              <w:bottom w:val="single" w:sz="8" w:space="0" w:color="auto"/>
              <w:right w:val="single" w:sz="8" w:space="0" w:color="auto"/>
            </w:tcBorders>
            <w:shd w:val="clear" w:color="000000" w:fill="D3D3D3"/>
            <w:noWrap/>
            <w:vAlign w:val="center"/>
            <w:hideMark/>
          </w:tcPr>
          <w:p w14:paraId="3D68ED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D3D3D3"/>
            <w:noWrap/>
            <w:vAlign w:val="center"/>
            <w:hideMark/>
          </w:tcPr>
          <w:p w14:paraId="7D70E39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6ED8419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7958418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49D78B0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6CFD460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4B75A85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7BC79A8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337FD1C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D3D3D3"/>
            <w:noWrap/>
            <w:vAlign w:val="center"/>
            <w:hideMark/>
          </w:tcPr>
          <w:p w14:paraId="499ED99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D3D3D3"/>
            <w:noWrap/>
            <w:vAlign w:val="center"/>
            <w:hideMark/>
          </w:tcPr>
          <w:p w14:paraId="6E0F499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D3D3D3"/>
            <w:noWrap/>
            <w:vAlign w:val="center"/>
            <w:hideMark/>
          </w:tcPr>
          <w:p w14:paraId="5B86A20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0EB033E6"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29998E2D"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International Bunkers </w:t>
            </w:r>
          </w:p>
        </w:tc>
        <w:tc>
          <w:tcPr>
            <w:tcW w:w="360" w:type="pct"/>
            <w:tcBorders>
              <w:top w:val="nil"/>
              <w:left w:val="nil"/>
              <w:bottom w:val="single" w:sz="8" w:space="0" w:color="auto"/>
              <w:right w:val="single" w:sz="8" w:space="0" w:color="auto"/>
            </w:tcBorders>
            <w:shd w:val="clear" w:color="000000" w:fill="90EE90"/>
            <w:noWrap/>
            <w:vAlign w:val="center"/>
            <w:hideMark/>
          </w:tcPr>
          <w:p w14:paraId="02F0168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81.199</w:t>
            </w:r>
          </w:p>
        </w:tc>
        <w:tc>
          <w:tcPr>
            <w:tcW w:w="256" w:type="pct"/>
            <w:tcBorders>
              <w:top w:val="nil"/>
              <w:left w:val="nil"/>
              <w:bottom w:val="single" w:sz="8" w:space="0" w:color="auto"/>
              <w:right w:val="single" w:sz="8" w:space="0" w:color="auto"/>
            </w:tcBorders>
            <w:shd w:val="clear" w:color="000000" w:fill="90EE90"/>
            <w:noWrap/>
            <w:vAlign w:val="center"/>
            <w:hideMark/>
          </w:tcPr>
          <w:p w14:paraId="4F9C61F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0.001</w:t>
            </w:r>
          </w:p>
        </w:tc>
        <w:tc>
          <w:tcPr>
            <w:tcW w:w="308" w:type="pct"/>
            <w:tcBorders>
              <w:top w:val="nil"/>
              <w:left w:val="nil"/>
              <w:bottom w:val="single" w:sz="8" w:space="0" w:color="auto"/>
              <w:right w:val="single" w:sz="8" w:space="0" w:color="auto"/>
            </w:tcBorders>
            <w:shd w:val="clear" w:color="000000" w:fill="90EE90"/>
            <w:noWrap/>
            <w:vAlign w:val="center"/>
            <w:hideMark/>
          </w:tcPr>
          <w:p w14:paraId="3D678B1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0.002</w:t>
            </w:r>
          </w:p>
        </w:tc>
        <w:tc>
          <w:tcPr>
            <w:tcW w:w="257" w:type="pct"/>
            <w:tcBorders>
              <w:top w:val="nil"/>
              <w:left w:val="nil"/>
              <w:bottom w:val="single" w:sz="8" w:space="0" w:color="auto"/>
              <w:right w:val="single" w:sz="8" w:space="0" w:color="auto"/>
            </w:tcBorders>
            <w:shd w:val="clear" w:color="000000" w:fill="90EE90"/>
            <w:noWrap/>
            <w:vAlign w:val="center"/>
            <w:hideMark/>
          </w:tcPr>
          <w:p w14:paraId="4850B97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5BE7F39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6C785D7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60A5885F"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496D99E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0CB6E4C7"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5F736B4D"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69E84DF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90EE90"/>
            <w:noWrap/>
            <w:vAlign w:val="center"/>
            <w:hideMark/>
          </w:tcPr>
          <w:p w14:paraId="100443F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r w:rsidR="006B1FB2" w:rsidRPr="00191ACB" w14:paraId="194F58C7"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18C3B7E1"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 xml:space="preserve">   1.A.3.a.i - International Aviation (International Bunkers) </w:t>
            </w:r>
          </w:p>
        </w:tc>
        <w:tc>
          <w:tcPr>
            <w:tcW w:w="360" w:type="pct"/>
            <w:tcBorders>
              <w:top w:val="nil"/>
              <w:left w:val="nil"/>
              <w:bottom w:val="single" w:sz="8" w:space="0" w:color="auto"/>
              <w:right w:val="single" w:sz="8" w:space="0" w:color="auto"/>
            </w:tcBorders>
            <w:shd w:val="clear" w:color="auto" w:fill="auto"/>
            <w:noWrap/>
            <w:vAlign w:val="center"/>
            <w:hideMark/>
          </w:tcPr>
          <w:p w14:paraId="2771E47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81.199</w:t>
            </w:r>
          </w:p>
        </w:tc>
        <w:tc>
          <w:tcPr>
            <w:tcW w:w="256" w:type="pct"/>
            <w:tcBorders>
              <w:top w:val="nil"/>
              <w:left w:val="nil"/>
              <w:bottom w:val="single" w:sz="8" w:space="0" w:color="auto"/>
              <w:right w:val="single" w:sz="8" w:space="0" w:color="auto"/>
            </w:tcBorders>
            <w:shd w:val="clear" w:color="auto" w:fill="auto"/>
            <w:noWrap/>
            <w:vAlign w:val="center"/>
            <w:hideMark/>
          </w:tcPr>
          <w:p w14:paraId="575780A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0.001</w:t>
            </w:r>
          </w:p>
        </w:tc>
        <w:tc>
          <w:tcPr>
            <w:tcW w:w="308" w:type="pct"/>
            <w:tcBorders>
              <w:top w:val="nil"/>
              <w:left w:val="nil"/>
              <w:bottom w:val="single" w:sz="8" w:space="0" w:color="auto"/>
              <w:right w:val="single" w:sz="8" w:space="0" w:color="auto"/>
            </w:tcBorders>
            <w:shd w:val="clear" w:color="auto" w:fill="auto"/>
            <w:noWrap/>
            <w:vAlign w:val="center"/>
            <w:hideMark/>
          </w:tcPr>
          <w:p w14:paraId="52EE659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0.002</w:t>
            </w:r>
          </w:p>
        </w:tc>
        <w:tc>
          <w:tcPr>
            <w:tcW w:w="257" w:type="pct"/>
            <w:tcBorders>
              <w:top w:val="nil"/>
              <w:left w:val="nil"/>
              <w:bottom w:val="single" w:sz="8" w:space="0" w:color="auto"/>
              <w:right w:val="single" w:sz="8" w:space="0" w:color="auto"/>
            </w:tcBorders>
            <w:shd w:val="clear" w:color="000000" w:fill="D3D3D3"/>
            <w:noWrap/>
            <w:vAlign w:val="center"/>
            <w:hideMark/>
          </w:tcPr>
          <w:p w14:paraId="1EBB7E03"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9DE091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7610771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70B4F01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86A7FD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58B70F7B"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0.03</w:t>
            </w:r>
          </w:p>
        </w:tc>
        <w:tc>
          <w:tcPr>
            <w:tcW w:w="359" w:type="pct"/>
            <w:tcBorders>
              <w:top w:val="nil"/>
              <w:left w:val="nil"/>
              <w:bottom w:val="single" w:sz="8" w:space="0" w:color="auto"/>
              <w:right w:val="single" w:sz="8" w:space="0" w:color="auto"/>
            </w:tcBorders>
            <w:shd w:val="clear" w:color="auto" w:fill="auto"/>
            <w:noWrap/>
            <w:vAlign w:val="center"/>
            <w:hideMark/>
          </w:tcPr>
          <w:p w14:paraId="01D9BA41"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308" w:type="pct"/>
            <w:tcBorders>
              <w:top w:val="nil"/>
              <w:left w:val="nil"/>
              <w:bottom w:val="single" w:sz="8" w:space="0" w:color="auto"/>
              <w:right w:val="single" w:sz="8" w:space="0" w:color="auto"/>
            </w:tcBorders>
            <w:shd w:val="clear" w:color="auto" w:fill="auto"/>
            <w:noWrap/>
            <w:vAlign w:val="center"/>
            <w:hideMark/>
          </w:tcPr>
          <w:p w14:paraId="18CAF78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c>
          <w:tcPr>
            <w:tcW w:w="280" w:type="pct"/>
            <w:tcBorders>
              <w:top w:val="nil"/>
              <w:left w:val="nil"/>
              <w:bottom w:val="single" w:sz="8" w:space="0" w:color="auto"/>
              <w:right w:val="single" w:sz="8" w:space="0" w:color="auto"/>
            </w:tcBorders>
            <w:shd w:val="clear" w:color="auto" w:fill="auto"/>
            <w:noWrap/>
            <w:vAlign w:val="center"/>
            <w:hideMark/>
          </w:tcPr>
          <w:p w14:paraId="3D87AEF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w:t>
            </w:r>
          </w:p>
        </w:tc>
      </w:tr>
      <w:tr w:rsidR="006B1FB2" w:rsidRPr="00191ACB" w14:paraId="695891B1"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140D7C20" w14:textId="77777777" w:rsidR="006B1FB2" w:rsidRPr="00191ACB" w:rsidRDefault="006B1FB2" w:rsidP="006B1FB2">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   1.A.3.d.i - International water-borne navigation (International bunkers) </w:t>
            </w:r>
          </w:p>
        </w:tc>
        <w:tc>
          <w:tcPr>
            <w:tcW w:w="360" w:type="pct"/>
            <w:tcBorders>
              <w:top w:val="nil"/>
              <w:left w:val="nil"/>
              <w:bottom w:val="single" w:sz="8" w:space="0" w:color="auto"/>
              <w:right w:val="single" w:sz="8" w:space="0" w:color="auto"/>
            </w:tcBorders>
            <w:shd w:val="clear" w:color="auto" w:fill="auto"/>
            <w:noWrap/>
            <w:vAlign w:val="center"/>
            <w:hideMark/>
          </w:tcPr>
          <w:p w14:paraId="645F831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6" w:type="pct"/>
            <w:tcBorders>
              <w:top w:val="nil"/>
              <w:left w:val="nil"/>
              <w:bottom w:val="single" w:sz="8" w:space="0" w:color="auto"/>
              <w:right w:val="single" w:sz="8" w:space="0" w:color="auto"/>
            </w:tcBorders>
            <w:shd w:val="clear" w:color="auto" w:fill="auto"/>
            <w:noWrap/>
            <w:vAlign w:val="center"/>
            <w:hideMark/>
          </w:tcPr>
          <w:p w14:paraId="3F34A3F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6182B3F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57" w:type="pct"/>
            <w:tcBorders>
              <w:top w:val="nil"/>
              <w:left w:val="nil"/>
              <w:bottom w:val="single" w:sz="8" w:space="0" w:color="auto"/>
              <w:right w:val="single" w:sz="8" w:space="0" w:color="auto"/>
            </w:tcBorders>
            <w:shd w:val="clear" w:color="000000" w:fill="D3D3D3"/>
            <w:noWrap/>
            <w:vAlign w:val="center"/>
            <w:hideMark/>
          </w:tcPr>
          <w:p w14:paraId="6E3FBD6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D3D3D3"/>
            <w:noWrap/>
            <w:vAlign w:val="center"/>
            <w:hideMark/>
          </w:tcPr>
          <w:p w14:paraId="1E52507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D3D3D3"/>
            <w:noWrap/>
            <w:vAlign w:val="center"/>
            <w:hideMark/>
          </w:tcPr>
          <w:p w14:paraId="56E4DD1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D3D3D3"/>
            <w:noWrap/>
            <w:vAlign w:val="center"/>
            <w:hideMark/>
          </w:tcPr>
          <w:p w14:paraId="25026D4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D3D3D3"/>
            <w:noWrap/>
            <w:vAlign w:val="center"/>
            <w:hideMark/>
          </w:tcPr>
          <w:p w14:paraId="692655C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auto" w:fill="auto"/>
            <w:noWrap/>
            <w:vAlign w:val="center"/>
            <w:hideMark/>
          </w:tcPr>
          <w:p w14:paraId="7EB5236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59" w:type="pct"/>
            <w:tcBorders>
              <w:top w:val="nil"/>
              <w:left w:val="nil"/>
              <w:bottom w:val="single" w:sz="8" w:space="0" w:color="auto"/>
              <w:right w:val="single" w:sz="8" w:space="0" w:color="auto"/>
            </w:tcBorders>
            <w:shd w:val="clear" w:color="auto" w:fill="auto"/>
            <w:noWrap/>
            <w:vAlign w:val="center"/>
            <w:hideMark/>
          </w:tcPr>
          <w:p w14:paraId="061C398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308" w:type="pct"/>
            <w:tcBorders>
              <w:top w:val="nil"/>
              <w:left w:val="nil"/>
              <w:bottom w:val="single" w:sz="8" w:space="0" w:color="auto"/>
              <w:right w:val="single" w:sz="8" w:space="0" w:color="auto"/>
            </w:tcBorders>
            <w:shd w:val="clear" w:color="auto" w:fill="auto"/>
            <w:noWrap/>
            <w:vAlign w:val="center"/>
            <w:hideMark/>
          </w:tcPr>
          <w:p w14:paraId="03D6D2EC"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c>
          <w:tcPr>
            <w:tcW w:w="280" w:type="pct"/>
            <w:tcBorders>
              <w:top w:val="nil"/>
              <w:left w:val="nil"/>
              <w:bottom w:val="single" w:sz="8" w:space="0" w:color="auto"/>
              <w:right w:val="single" w:sz="8" w:space="0" w:color="auto"/>
            </w:tcBorders>
            <w:shd w:val="clear" w:color="auto" w:fill="auto"/>
            <w:noWrap/>
            <w:vAlign w:val="center"/>
            <w:hideMark/>
          </w:tcPr>
          <w:p w14:paraId="63665F0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w:t>
            </w:r>
          </w:p>
        </w:tc>
      </w:tr>
      <w:tr w:rsidR="006B1FB2" w:rsidRPr="00191ACB" w14:paraId="48444BA4" w14:textId="77777777" w:rsidTr="006B1FB2">
        <w:trPr>
          <w:trHeight w:val="300"/>
        </w:trPr>
        <w:tc>
          <w:tcPr>
            <w:tcW w:w="1331" w:type="pct"/>
            <w:tcBorders>
              <w:top w:val="nil"/>
              <w:left w:val="single" w:sz="8" w:space="0" w:color="auto"/>
              <w:bottom w:val="single" w:sz="8" w:space="0" w:color="auto"/>
              <w:right w:val="single" w:sz="8" w:space="0" w:color="auto"/>
            </w:tcBorders>
            <w:shd w:val="clear" w:color="000000" w:fill="D3D3D3"/>
            <w:noWrap/>
            <w:vAlign w:val="center"/>
            <w:hideMark/>
          </w:tcPr>
          <w:p w14:paraId="05DA20B3" w14:textId="77777777" w:rsidR="006B1FB2" w:rsidRPr="00191ACB" w:rsidRDefault="006B1FB2" w:rsidP="006B1FB2">
            <w:pPr>
              <w:spacing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 xml:space="preserve">1.A.5.c - Multilateral Operations </w:t>
            </w:r>
          </w:p>
        </w:tc>
        <w:tc>
          <w:tcPr>
            <w:tcW w:w="360" w:type="pct"/>
            <w:tcBorders>
              <w:top w:val="nil"/>
              <w:left w:val="nil"/>
              <w:bottom w:val="single" w:sz="8" w:space="0" w:color="auto"/>
              <w:right w:val="single" w:sz="8" w:space="0" w:color="auto"/>
            </w:tcBorders>
            <w:shd w:val="clear" w:color="000000" w:fill="90EE90"/>
            <w:noWrap/>
            <w:vAlign w:val="center"/>
            <w:hideMark/>
          </w:tcPr>
          <w:p w14:paraId="1C252E0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6" w:type="pct"/>
            <w:tcBorders>
              <w:top w:val="nil"/>
              <w:left w:val="nil"/>
              <w:bottom w:val="single" w:sz="8" w:space="0" w:color="auto"/>
              <w:right w:val="single" w:sz="8" w:space="0" w:color="auto"/>
            </w:tcBorders>
            <w:shd w:val="clear" w:color="000000" w:fill="90EE90"/>
            <w:noWrap/>
            <w:vAlign w:val="center"/>
            <w:hideMark/>
          </w:tcPr>
          <w:p w14:paraId="5962679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2F2D623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7B1E1865"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57" w:type="pct"/>
            <w:tcBorders>
              <w:top w:val="nil"/>
              <w:left w:val="nil"/>
              <w:bottom w:val="single" w:sz="8" w:space="0" w:color="auto"/>
              <w:right w:val="single" w:sz="8" w:space="0" w:color="auto"/>
            </w:tcBorders>
            <w:shd w:val="clear" w:color="000000" w:fill="90EE90"/>
            <w:noWrap/>
            <w:vAlign w:val="center"/>
            <w:hideMark/>
          </w:tcPr>
          <w:p w14:paraId="4C9AC5EA"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05" w:type="pct"/>
            <w:tcBorders>
              <w:top w:val="nil"/>
              <w:left w:val="nil"/>
              <w:bottom w:val="single" w:sz="8" w:space="0" w:color="auto"/>
              <w:right w:val="single" w:sz="8" w:space="0" w:color="auto"/>
            </w:tcBorders>
            <w:shd w:val="clear" w:color="000000" w:fill="90EE90"/>
            <w:noWrap/>
            <w:vAlign w:val="center"/>
            <w:hideMark/>
          </w:tcPr>
          <w:p w14:paraId="68A77926"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0" w:type="pct"/>
            <w:tcBorders>
              <w:top w:val="nil"/>
              <w:left w:val="nil"/>
              <w:bottom w:val="single" w:sz="8" w:space="0" w:color="auto"/>
              <w:right w:val="single" w:sz="8" w:space="0" w:color="auto"/>
            </w:tcBorders>
            <w:shd w:val="clear" w:color="000000" w:fill="90EE90"/>
            <w:noWrap/>
            <w:vAlign w:val="center"/>
            <w:hideMark/>
          </w:tcPr>
          <w:p w14:paraId="7BDF8A28"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11" w:type="pct"/>
            <w:tcBorders>
              <w:top w:val="nil"/>
              <w:left w:val="nil"/>
              <w:bottom w:val="single" w:sz="8" w:space="0" w:color="auto"/>
              <w:right w:val="single" w:sz="8" w:space="0" w:color="auto"/>
            </w:tcBorders>
            <w:shd w:val="clear" w:color="000000" w:fill="90EE90"/>
            <w:noWrap/>
            <w:vAlign w:val="center"/>
            <w:hideMark/>
          </w:tcPr>
          <w:p w14:paraId="49C41B30"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0353E79E"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59" w:type="pct"/>
            <w:tcBorders>
              <w:top w:val="nil"/>
              <w:left w:val="nil"/>
              <w:bottom w:val="single" w:sz="8" w:space="0" w:color="auto"/>
              <w:right w:val="single" w:sz="8" w:space="0" w:color="auto"/>
            </w:tcBorders>
            <w:shd w:val="clear" w:color="000000" w:fill="90EE90"/>
            <w:noWrap/>
            <w:vAlign w:val="center"/>
            <w:hideMark/>
          </w:tcPr>
          <w:p w14:paraId="44E95072"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08" w:type="pct"/>
            <w:tcBorders>
              <w:top w:val="nil"/>
              <w:left w:val="nil"/>
              <w:bottom w:val="single" w:sz="8" w:space="0" w:color="auto"/>
              <w:right w:val="single" w:sz="8" w:space="0" w:color="auto"/>
            </w:tcBorders>
            <w:shd w:val="clear" w:color="000000" w:fill="90EE90"/>
            <w:noWrap/>
            <w:vAlign w:val="center"/>
            <w:hideMark/>
          </w:tcPr>
          <w:p w14:paraId="45BFFA29"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80" w:type="pct"/>
            <w:tcBorders>
              <w:top w:val="nil"/>
              <w:left w:val="nil"/>
              <w:bottom w:val="single" w:sz="8" w:space="0" w:color="auto"/>
              <w:right w:val="single" w:sz="8" w:space="0" w:color="auto"/>
            </w:tcBorders>
            <w:shd w:val="clear" w:color="000000" w:fill="90EE90"/>
            <w:noWrap/>
            <w:vAlign w:val="center"/>
            <w:hideMark/>
          </w:tcPr>
          <w:p w14:paraId="70ECD214" w14:textId="77777777" w:rsidR="006B1FB2" w:rsidRPr="00191ACB" w:rsidRDefault="006B1FB2" w:rsidP="006B1FB2">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r>
    </w:tbl>
    <w:p w14:paraId="7F16AE83" w14:textId="22813E7A" w:rsidR="006B1FB2" w:rsidRPr="00191ACB" w:rsidRDefault="003B1D26" w:rsidP="006B1FB2">
      <w:pPr>
        <w:jc w:val="both"/>
        <w:rPr>
          <w:rFonts w:ascii="Times New Roman" w:hAnsi="Times New Roman" w:cs="Times New Roman"/>
          <w:i/>
          <w:iCs/>
          <w:color w:val="000000" w:themeColor="text1"/>
          <w:sz w:val="24"/>
          <w:szCs w:val="24"/>
        </w:rPr>
      </w:pPr>
      <w:r w:rsidRPr="00191ACB">
        <w:rPr>
          <w:rFonts w:ascii="Times New Roman" w:hAnsi="Times New Roman" w:cs="Times New Roman"/>
          <w:i/>
          <w:iCs/>
          <w:color w:val="000000" w:themeColor="text1"/>
          <w:sz w:val="24"/>
          <w:szCs w:val="24"/>
        </w:rPr>
        <w:t>Notation</w:t>
      </w:r>
      <w:r w:rsidRPr="00191ACB">
        <w:rPr>
          <w:rStyle w:val="FootnoteReference"/>
          <w:rFonts w:ascii="Times New Roman" w:hAnsi="Times New Roman" w:cs="Times New Roman"/>
          <w:i/>
          <w:iCs/>
          <w:color w:val="000000" w:themeColor="text1"/>
          <w:sz w:val="24"/>
          <w:szCs w:val="24"/>
        </w:rPr>
        <w:footnoteReference w:id="3"/>
      </w:r>
      <w:r w:rsidRPr="00191ACB">
        <w:rPr>
          <w:rFonts w:ascii="Times New Roman" w:hAnsi="Times New Roman" w:cs="Times New Roman"/>
          <w:i/>
          <w:iCs/>
          <w:color w:val="000000" w:themeColor="text1"/>
          <w:sz w:val="24"/>
          <w:szCs w:val="24"/>
        </w:rPr>
        <w:t>: NA= Not applicable, NE= Not estimated, NO= Not occurring,</w:t>
      </w:r>
    </w:p>
    <w:p w14:paraId="19687BE7" w14:textId="77777777" w:rsidR="003B1D26" w:rsidRPr="00191ACB" w:rsidRDefault="003B1D26" w:rsidP="006B1FB2">
      <w:pPr>
        <w:jc w:val="both"/>
        <w:rPr>
          <w:rFonts w:ascii="Times New Roman" w:hAnsi="Times New Roman" w:cs="Times New Roman"/>
          <w:color w:val="000000" w:themeColor="text1"/>
          <w:sz w:val="24"/>
          <w:szCs w:val="24"/>
        </w:rPr>
      </w:pPr>
    </w:p>
    <w:p w14:paraId="2431D2ED" w14:textId="77777777" w:rsidR="006B1FB2" w:rsidRPr="00191ACB" w:rsidRDefault="006B1FB2" w:rsidP="006B1FB2">
      <w:pPr>
        <w:jc w:val="both"/>
        <w:rPr>
          <w:rFonts w:ascii="Times New Roman" w:hAnsi="Times New Roman" w:cs="Times New Roman"/>
          <w:color w:val="000000" w:themeColor="text1"/>
          <w:sz w:val="24"/>
          <w:szCs w:val="24"/>
        </w:rPr>
        <w:sectPr w:rsidR="006B1FB2" w:rsidRPr="00191ACB" w:rsidSect="006C1D45">
          <w:pgSz w:w="15840" w:h="12240" w:orient="landscape"/>
          <w:pgMar w:top="1009" w:right="1009" w:bottom="1440" w:left="1009" w:header="720" w:footer="720" w:gutter="0"/>
          <w:cols w:space="720"/>
        </w:sectPr>
      </w:pPr>
    </w:p>
    <w:p w14:paraId="3BE15093" w14:textId="4F17CF9C" w:rsidR="00C41CC1" w:rsidRPr="00191ACB" w:rsidRDefault="00C41CC1" w:rsidP="00E435F6">
      <w:pPr>
        <w:pStyle w:val="Heading2"/>
        <w:numPr>
          <w:ilvl w:val="1"/>
          <w:numId w:val="36"/>
        </w:numPr>
        <w:spacing w:after="120" w:line="240" w:lineRule="auto"/>
        <w:ind w:left="993" w:hanging="993"/>
        <w:rPr>
          <w:rFonts w:ascii="Times New Roman" w:hAnsi="Times New Roman" w:cs="Times New Roman"/>
          <w:b/>
          <w:color w:val="000000" w:themeColor="text1"/>
          <w:sz w:val="24"/>
          <w:szCs w:val="24"/>
        </w:rPr>
      </w:pPr>
      <w:bookmarkStart w:id="107" w:name="_Toc48427291"/>
      <w:bookmarkStart w:id="108" w:name="_Toc57902819"/>
      <w:r w:rsidRPr="00191ACB">
        <w:rPr>
          <w:rFonts w:ascii="Times New Roman" w:hAnsi="Times New Roman" w:cs="Times New Roman"/>
          <w:b/>
          <w:color w:val="000000" w:themeColor="text1"/>
          <w:sz w:val="24"/>
          <w:szCs w:val="24"/>
        </w:rPr>
        <w:lastRenderedPageBreak/>
        <w:t xml:space="preserve">Key </w:t>
      </w:r>
      <w:r w:rsidR="009B1D99" w:rsidRPr="00191ACB">
        <w:rPr>
          <w:rFonts w:ascii="Times New Roman" w:hAnsi="Times New Roman" w:cs="Times New Roman"/>
          <w:b/>
          <w:bCs/>
          <w:color w:val="auto"/>
          <w:sz w:val="24"/>
          <w:szCs w:val="24"/>
        </w:rPr>
        <w:t>Category</w:t>
      </w:r>
      <w:r w:rsidR="009B1D99" w:rsidRPr="00191ACB">
        <w:rPr>
          <w:rFonts w:ascii="Times New Roman" w:hAnsi="Times New Roman" w:cs="Times New Roman"/>
          <w:b/>
          <w:color w:val="000000" w:themeColor="text1"/>
          <w:sz w:val="24"/>
          <w:szCs w:val="24"/>
        </w:rPr>
        <w:t xml:space="preserve"> Analysis</w:t>
      </w:r>
      <w:bookmarkEnd w:id="107"/>
      <w:bookmarkEnd w:id="108"/>
      <w:r w:rsidR="009B1D99" w:rsidRPr="00191ACB">
        <w:rPr>
          <w:rFonts w:ascii="Times New Roman" w:hAnsi="Times New Roman" w:cs="Times New Roman"/>
          <w:b/>
          <w:color w:val="000000" w:themeColor="text1"/>
          <w:sz w:val="24"/>
          <w:szCs w:val="24"/>
        </w:rPr>
        <w:t xml:space="preserve">  </w:t>
      </w:r>
    </w:p>
    <w:p w14:paraId="7A2467DE" w14:textId="702A75B7" w:rsidR="00522293"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According to Approach 1 Level Assessment the Key Categories were </w:t>
      </w:r>
      <w:r w:rsidRPr="00191ACB">
        <w:rPr>
          <w:rFonts w:ascii="Times New Roman" w:hAnsi="Times New Roman" w:cs="Times New Roman"/>
          <w:bCs/>
          <w:color w:val="000000" w:themeColor="text1"/>
          <w:sz w:val="24"/>
          <w:szCs w:val="24"/>
        </w:rPr>
        <w:t xml:space="preserve">Forest land Remaining Forest land, Land Converted to Cropland, Land Converted to Settlements, Emissions from biomass burning, Enteric Fermentation, </w:t>
      </w:r>
      <w:r w:rsidRPr="00191ACB">
        <w:rPr>
          <w:rFonts w:ascii="Times New Roman" w:eastAsia="Times New Roman" w:hAnsi="Times New Roman" w:cs="Times New Roman"/>
          <w:color w:val="000000" w:themeColor="text1"/>
          <w:sz w:val="24"/>
          <w:szCs w:val="24"/>
        </w:rPr>
        <w:t>Manufacturing Industries and Construction - Liquid Fuels</w:t>
      </w:r>
      <w:r w:rsidRPr="00191ACB">
        <w:rPr>
          <w:rFonts w:ascii="Times New Roman" w:hAnsi="Times New Roman" w:cs="Times New Roman"/>
          <w:bCs/>
          <w:color w:val="000000" w:themeColor="text1"/>
          <w:sz w:val="24"/>
          <w:szCs w:val="24"/>
        </w:rPr>
        <w:t xml:space="preserve">. </w:t>
      </w:r>
      <w:r w:rsidRPr="00191ACB">
        <w:rPr>
          <w:rFonts w:ascii="Times New Roman" w:hAnsi="Times New Roman" w:cs="Times New Roman"/>
          <w:color w:val="000000" w:themeColor="text1"/>
          <w:sz w:val="24"/>
          <w:szCs w:val="24"/>
        </w:rPr>
        <w:t xml:space="preserve">For 2016 ten key categories were identified (six with both the level and trend assessment, two with the level assessment and two with the trend assessment). Most of the </w:t>
      </w:r>
      <w:r w:rsidRPr="00191ACB">
        <w:rPr>
          <w:rFonts w:ascii="Times New Roman" w:hAnsi="Times New Roman" w:cs="Times New Roman"/>
          <w:iCs/>
          <w:color w:val="000000" w:themeColor="text1"/>
          <w:sz w:val="24"/>
          <w:szCs w:val="24"/>
        </w:rPr>
        <w:t xml:space="preserve">categories identified as key are from the AFOLU sector, which reflects the importance of this sector in the country's inventory (Table </w:t>
      </w:r>
      <w:r w:rsidR="00522293" w:rsidRPr="00191ACB">
        <w:rPr>
          <w:rFonts w:ascii="Times New Roman" w:hAnsi="Times New Roman" w:cs="Times New Roman"/>
          <w:iCs/>
          <w:color w:val="000000" w:themeColor="text1"/>
          <w:sz w:val="24"/>
          <w:szCs w:val="24"/>
        </w:rPr>
        <w:t>3.6</w:t>
      </w:r>
      <w:r w:rsidRPr="00191ACB">
        <w:rPr>
          <w:rFonts w:ascii="Times New Roman" w:hAnsi="Times New Roman" w:cs="Times New Roman"/>
          <w:iCs/>
          <w:color w:val="000000" w:themeColor="text1"/>
          <w:sz w:val="24"/>
          <w:szCs w:val="24"/>
        </w:rPr>
        <w:t>). Direct N</w:t>
      </w:r>
      <w:r w:rsidRPr="00191ACB">
        <w:rPr>
          <w:rFonts w:ascii="Times New Roman" w:hAnsi="Times New Roman" w:cs="Times New Roman"/>
          <w:iCs/>
          <w:color w:val="000000" w:themeColor="text1"/>
          <w:sz w:val="24"/>
          <w:szCs w:val="24"/>
          <w:vertAlign w:val="subscript"/>
        </w:rPr>
        <w:t>2</w:t>
      </w:r>
      <w:r w:rsidRPr="00191ACB">
        <w:rPr>
          <w:rFonts w:ascii="Times New Roman" w:hAnsi="Times New Roman" w:cs="Times New Roman"/>
          <w:iCs/>
          <w:color w:val="000000" w:themeColor="text1"/>
          <w:sz w:val="24"/>
          <w:szCs w:val="24"/>
        </w:rPr>
        <w:t xml:space="preserve">O </w:t>
      </w:r>
      <w:r w:rsidR="00355D77" w:rsidRPr="00191ACB">
        <w:rPr>
          <w:rFonts w:ascii="Times New Roman" w:hAnsi="Times New Roman" w:cs="Times New Roman"/>
          <w:iCs/>
          <w:color w:val="000000" w:themeColor="text1"/>
          <w:sz w:val="24"/>
          <w:szCs w:val="24"/>
        </w:rPr>
        <w:t>e</w:t>
      </w:r>
      <w:r w:rsidRPr="00191ACB">
        <w:rPr>
          <w:rFonts w:ascii="Times New Roman" w:hAnsi="Times New Roman" w:cs="Times New Roman"/>
          <w:iCs/>
          <w:color w:val="000000" w:themeColor="text1"/>
          <w:sz w:val="24"/>
          <w:szCs w:val="24"/>
        </w:rPr>
        <w:t>missions from managed soils (3.C.4) and Cement production (2.A.1) with 96.2% and 97.1% sit at the threshold and qualitatively could be considered as Key categories under trend assessment.</w:t>
      </w:r>
      <w:r w:rsidRPr="00191ACB">
        <w:rPr>
          <w:rFonts w:ascii="Times New Roman" w:hAnsi="Times New Roman" w:cs="Times New Roman"/>
          <w:color w:val="000000" w:themeColor="text1"/>
          <w:sz w:val="24"/>
          <w:szCs w:val="24"/>
        </w:rPr>
        <w:t xml:space="preserve"> </w:t>
      </w:r>
      <w:bookmarkStart w:id="109" w:name="_Toc15311541"/>
      <w:bookmarkStart w:id="110" w:name="_Toc48427370"/>
    </w:p>
    <w:p w14:paraId="78D3AE97" w14:textId="77777777" w:rsidR="00522293" w:rsidRPr="00191ACB" w:rsidRDefault="00522293" w:rsidP="00522293">
      <w:pPr>
        <w:spacing w:after="120" w:line="240" w:lineRule="auto"/>
        <w:jc w:val="both"/>
        <w:rPr>
          <w:rFonts w:ascii="Times New Roman" w:hAnsi="Times New Roman" w:cs="Times New Roman"/>
          <w:i/>
          <w:sz w:val="24"/>
          <w:szCs w:val="24"/>
        </w:rPr>
      </w:pPr>
    </w:p>
    <w:p w14:paraId="7129EB1C" w14:textId="61879A1D" w:rsidR="00C41CC1" w:rsidRPr="00191ACB" w:rsidRDefault="00522293" w:rsidP="00522293">
      <w:pPr>
        <w:pStyle w:val="Caption"/>
        <w:rPr>
          <w:i w:val="0"/>
          <w:color w:val="000000" w:themeColor="text1"/>
          <w:sz w:val="24"/>
          <w:szCs w:val="24"/>
        </w:rPr>
      </w:pPr>
      <w:bookmarkStart w:id="111" w:name="_Toc56583767"/>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6</w:t>
      </w:r>
      <w:r w:rsidR="00875942">
        <w:rPr>
          <w:sz w:val="24"/>
          <w:szCs w:val="24"/>
        </w:rPr>
        <w:fldChar w:fldCharType="end"/>
      </w:r>
      <w:r w:rsidRPr="00191ACB">
        <w:rPr>
          <w:sz w:val="24"/>
          <w:szCs w:val="24"/>
        </w:rPr>
        <w:t>:Summary of key category analysis for inventory year 2016</w:t>
      </w:r>
      <w:r w:rsidR="00C41CC1" w:rsidRPr="00191ACB">
        <w:rPr>
          <w:i w:val="0"/>
          <w:sz w:val="24"/>
          <w:szCs w:val="24"/>
        </w:rPr>
        <w:t>.</w:t>
      </w:r>
      <w:bookmarkEnd w:id="109"/>
      <w:bookmarkEnd w:id="110"/>
      <w:bookmarkEnd w:id="111"/>
    </w:p>
    <w:tbl>
      <w:tblPr>
        <w:tblW w:w="9525" w:type="dxa"/>
        <w:tblInd w:w="5" w:type="dxa"/>
        <w:tblLook w:val="04A0" w:firstRow="1" w:lastRow="0" w:firstColumn="1" w:lastColumn="0" w:noHBand="0" w:noVBand="1"/>
      </w:tblPr>
      <w:tblGrid>
        <w:gridCol w:w="2230"/>
        <w:gridCol w:w="5244"/>
        <w:gridCol w:w="1118"/>
        <w:gridCol w:w="950"/>
      </w:tblGrid>
      <w:tr w:rsidR="00C359C5" w:rsidRPr="00191ACB" w14:paraId="4F1BFC25" w14:textId="77777777" w:rsidTr="00FB59E0">
        <w:trPr>
          <w:trHeight w:val="181"/>
        </w:trPr>
        <w:tc>
          <w:tcPr>
            <w:tcW w:w="2230" w:type="dxa"/>
            <w:tcBorders>
              <w:top w:val="single" w:sz="4" w:space="0" w:color="auto"/>
              <w:left w:val="single" w:sz="4" w:space="0" w:color="auto"/>
              <w:bottom w:val="single" w:sz="4" w:space="0" w:color="auto"/>
              <w:right w:val="single" w:sz="4" w:space="0" w:color="auto"/>
            </w:tcBorders>
            <w:shd w:val="clear" w:color="FFFFFF" w:fill="5987D6"/>
            <w:noWrap/>
            <w:vAlign w:val="center"/>
          </w:tcPr>
          <w:p w14:paraId="702D95A4" w14:textId="77777777" w:rsidR="00C41CC1" w:rsidRPr="00191ACB" w:rsidRDefault="00C41CC1" w:rsidP="00FB59E0">
            <w:pPr>
              <w:pStyle w:val="NoSpacing"/>
              <w:rPr>
                <w:rFonts w:ascii="Times New Roman" w:hAnsi="Times New Roman" w:cs="Times New Roman"/>
                <w:sz w:val="24"/>
                <w:szCs w:val="24"/>
              </w:rPr>
            </w:pPr>
            <w:r w:rsidRPr="00191ACB">
              <w:rPr>
                <w:rFonts w:ascii="Times New Roman" w:hAnsi="Times New Roman" w:cs="Times New Roman"/>
                <w:sz w:val="24"/>
                <w:szCs w:val="24"/>
              </w:rPr>
              <w:t>IPCC Category code</w:t>
            </w:r>
          </w:p>
        </w:tc>
        <w:tc>
          <w:tcPr>
            <w:tcW w:w="5244" w:type="dxa"/>
            <w:tcBorders>
              <w:top w:val="single" w:sz="4" w:space="0" w:color="auto"/>
              <w:left w:val="single" w:sz="4" w:space="0" w:color="auto"/>
              <w:bottom w:val="single" w:sz="4" w:space="0" w:color="auto"/>
              <w:right w:val="single" w:sz="4" w:space="0" w:color="auto"/>
            </w:tcBorders>
            <w:shd w:val="clear" w:color="FFFFFF" w:fill="5987D6"/>
            <w:noWrap/>
            <w:vAlign w:val="center"/>
          </w:tcPr>
          <w:p w14:paraId="1FD2BA2D" w14:textId="77777777" w:rsidR="00C41CC1" w:rsidRPr="00191ACB" w:rsidRDefault="00C41CC1" w:rsidP="00FB59E0">
            <w:pPr>
              <w:pStyle w:val="NoSpacing"/>
              <w:rPr>
                <w:rFonts w:ascii="Times New Roman" w:hAnsi="Times New Roman" w:cs="Times New Roman"/>
                <w:sz w:val="24"/>
                <w:szCs w:val="24"/>
              </w:rPr>
            </w:pPr>
            <w:r w:rsidRPr="00191ACB">
              <w:rPr>
                <w:rFonts w:ascii="Times New Roman" w:hAnsi="Times New Roman" w:cs="Times New Roman"/>
                <w:sz w:val="24"/>
                <w:szCs w:val="24"/>
              </w:rPr>
              <w:t>IPCC Category</w:t>
            </w:r>
          </w:p>
        </w:tc>
        <w:tc>
          <w:tcPr>
            <w:tcW w:w="1118" w:type="dxa"/>
            <w:tcBorders>
              <w:top w:val="single" w:sz="4" w:space="0" w:color="auto"/>
              <w:left w:val="single" w:sz="4" w:space="0" w:color="auto"/>
              <w:bottom w:val="single" w:sz="4" w:space="0" w:color="auto"/>
              <w:right w:val="single" w:sz="4" w:space="0" w:color="auto"/>
            </w:tcBorders>
            <w:shd w:val="clear" w:color="FFFFFF" w:fill="5987D6"/>
            <w:noWrap/>
            <w:vAlign w:val="center"/>
          </w:tcPr>
          <w:p w14:paraId="723D2517" w14:textId="499F9EDD" w:rsidR="00C41CC1" w:rsidRPr="00191ACB" w:rsidRDefault="00C41CC1" w:rsidP="00FB59E0">
            <w:pPr>
              <w:pStyle w:val="NoSpacing"/>
              <w:rPr>
                <w:rFonts w:ascii="Times New Roman" w:hAnsi="Times New Roman" w:cs="Times New Roman"/>
                <w:sz w:val="24"/>
                <w:szCs w:val="24"/>
              </w:rPr>
            </w:pPr>
            <w:r w:rsidRPr="00191ACB">
              <w:rPr>
                <w:rFonts w:ascii="Times New Roman" w:hAnsi="Times New Roman" w:cs="Times New Roman"/>
                <w:sz w:val="24"/>
                <w:szCs w:val="24"/>
              </w:rPr>
              <w:t>G</w:t>
            </w:r>
            <w:r w:rsidR="00C359C5" w:rsidRPr="00191ACB">
              <w:rPr>
                <w:rFonts w:ascii="Times New Roman" w:hAnsi="Times New Roman" w:cs="Times New Roman"/>
                <w:sz w:val="24"/>
                <w:szCs w:val="24"/>
              </w:rPr>
              <w:t>HG</w:t>
            </w:r>
          </w:p>
        </w:tc>
        <w:tc>
          <w:tcPr>
            <w:tcW w:w="933" w:type="dxa"/>
            <w:tcBorders>
              <w:top w:val="single" w:sz="4" w:space="0" w:color="auto"/>
              <w:left w:val="single" w:sz="4" w:space="0" w:color="auto"/>
              <w:bottom w:val="single" w:sz="4" w:space="0" w:color="auto"/>
              <w:right w:val="single" w:sz="4" w:space="0" w:color="auto"/>
            </w:tcBorders>
            <w:shd w:val="clear" w:color="FFFFFF" w:fill="5987D6"/>
            <w:noWrap/>
            <w:vAlign w:val="center"/>
          </w:tcPr>
          <w:p w14:paraId="2EC4CDE8" w14:textId="77777777" w:rsidR="00C41CC1" w:rsidRPr="00191ACB" w:rsidRDefault="00C41CC1" w:rsidP="00FB59E0">
            <w:pPr>
              <w:pStyle w:val="NoSpacing"/>
              <w:rPr>
                <w:rFonts w:ascii="Times New Roman" w:hAnsi="Times New Roman" w:cs="Times New Roman"/>
                <w:sz w:val="24"/>
                <w:szCs w:val="24"/>
              </w:rPr>
            </w:pPr>
            <w:r w:rsidRPr="00191ACB">
              <w:rPr>
                <w:rFonts w:ascii="Times New Roman" w:hAnsi="Times New Roman" w:cs="Times New Roman"/>
                <w:sz w:val="24"/>
                <w:szCs w:val="24"/>
              </w:rPr>
              <w:t>Criteria</w:t>
            </w:r>
          </w:p>
        </w:tc>
      </w:tr>
      <w:tr w:rsidR="00C359C5" w:rsidRPr="00191ACB" w14:paraId="6FE55425" w14:textId="77777777" w:rsidTr="00FB59E0">
        <w:trPr>
          <w:trHeight w:val="58"/>
        </w:trPr>
        <w:tc>
          <w:tcPr>
            <w:tcW w:w="22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A5007D"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3.B.1.a</w:t>
            </w:r>
          </w:p>
        </w:tc>
        <w:tc>
          <w:tcPr>
            <w:tcW w:w="5244" w:type="dxa"/>
            <w:tcBorders>
              <w:top w:val="single" w:sz="4" w:space="0" w:color="auto"/>
              <w:left w:val="nil"/>
              <w:bottom w:val="single" w:sz="4" w:space="0" w:color="auto"/>
              <w:right w:val="single" w:sz="4" w:space="0" w:color="auto"/>
            </w:tcBorders>
            <w:shd w:val="clear" w:color="auto" w:fill="auto"/>
            <w:noWrap/>
            <w:vAlign w:val="bottom"/>
            <w:hideMark/>
          </w:tcPr>
          <w:p w14:paraId="7810AE92"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Forest land Remaining Forest land</w:t>
            </w:r>
          </w:p>
        </w:tc>
        <w:tc>
          <w:tcPr>
            <w:tcW w:w="1118" w:type="dxa"/>
            <w:tcBorders>
              <w:top w:val="single" w:sz="4" w:space="0" w:color="auto"/>
              <w:left w:val="nil"/>
              <w:bottom w:val="single" w:sz="4" w:space="0" w:color="auto"/>
              <w:right w:val="single" w:sz="4" w:space="0" w:color="auto"/>
            </w:tcBorders>
            <w:shd w:val="clear" w:color="auto" w:fill="auto"/>
            <w:noWrap/>
            <w:vAlign w:val="bottom"/>
            <w:hideMark/>
          </w:tcPr>
          <w:p w14:paraId="33061E49"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CO</w:t>
            </w:r>
            <w:r w:rsidRPr="00191ACB">
              <w:rPr>
                <w:rFonts w:ascii="Times New Roman" w:eastAsia="Times New Roman" w:hAnsi="Times New Roman" w:cs="Times New Roman"/>
                <w:sz w:val="24"/>
                <w:szCs w:val="24"/>
                <w:vertAlign w:val="subscript"/>
              </w:rPr>
              <w:t>2</w:t>
            </w:r>
          </w:p>
        </w:tc>
        <w:tc>
          <w:tcPr>
            <w:tcW w:w="933" w:type="dxa"/>
            <w:tcBorders>
              <w:top w:val="single" w:sz="4" w:space="0" w:color="auto"/>
              <w:left w:val="nil"/>
              <w:bottom w:val="single" w:sz="4" w:space="0" w:color="auto"/>
              <w:right w:val="single" w:sz="4" w:space="0" w:color="auto"/>
            </w:tcBorders>
            <w:shd w:val="clear" w:color="auto" w:fill="auto"/>
            <w:noWrap/>
            <w:vAlign w:val="bottom"/>
            <w:hideMark/>
          </w:tcPr>
          <w:p w14:paraId="0CC4AB1E"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T1, L1</w:t>
            </w:r>
          </w:p>
        </w:tc>
      </w:tr>
      <w:tr w:rsidR="00C359C5" w:rsidRPr="00191ACB" w14:paraId="05BEC6A0" w14:textId="77777777" w:rsidTr="00C359C5">
        <w:trPr>
          <w:trHeight w:val="264"/>
        </w:trPr>
        <w:tc>
          <w:tcPr>
            <w:tcW w:w="2230" w:type="dxa"/>
            <w:tcBorders>
              <w:top w:val="nil"/>
              <w:left w:val="single" w:sz="4" w:space="0" w:color="auto"/>
              <w:bottom w:val="single" w:sz="4" w:space="0" w:color="auto"/>
              <w:right w:val="single" w:sz="4" w:space="0" w:color="auto"/>
            </w:tcBorders>
            <w:shd w:val="clear" w:color="auto" w:fill="auto"/>
            <w:noWrap/>
            <w:vAlign w:val="bottom"/>
            <w:hideMark/>
          </w:tcPr>
          <w:p w14:paraId="4BD9FCC3"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3.B.5.b</w:t>
            </w:r>
          </w:p>
        </w:tc>
        <w:tc>
          <w:tcPr>
            <w:tcW w:w="5244" w:type="dxa"/>
            <w:tcBorders>
              <w:top w:val="nil"/>
              <w:left w:val="nil"/>
              <w:bottom w:val="single" w:sz="4" w:space="0" w:color="auto"/>
              <w:right w:val="single" w:sz="4" w:space="0" w:color="auto"/>
            </w:tcBorders>
            <w:shd w:val="clear" w:color="auto" w:fill="auto"/>
            <w:noWrap/>
            <w:vAlign w:val="bottom"/>
            <w:hideMark/>
          </w:tcPr>
          <w:p w14:paraId="04C29F48"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Land Converted to Settlements</w:t>
            </w:r>
          </w:p>
        </w:tc>
        <w:tc>
          <w:tcPr>
            <w:tcW w:w="1118" w:type="dxa"/>
            <w:tcBorders>
              <w:top w:val="nil"/>
              <w:left w:val="nil"/>
              <w:bottom w:val="single" w:sz="4" w:space="0" w:color="auto"/>
              <w:right w:val="single" w:sz="4" w:space="0" w:color="auto"/>
            </w:tcBorders>
            <w:shd w:val="clear" w:color="auto" w:fill="auto"/>
            <w:noWrap/>
            <w:vAlign w:val="bottom"/>
            <w:hideMark/>
          </w:tcPr>
          <w:p w14:paraId="396549D9"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CO</w:t>
            </w:r>
            <w:r w:rsidRPr="00191ACB">
              <w:rPr>
                <w:rFonts w:ascii="Times New Roman" w:eastAsia="Times New Roman" w:hAnsi="Times New Roman" w:cs="Times New Roman"/>
                <w:sz w:val="24"/>
                <w:szCs w:val="24"/>
                <w:vertAlign w:val="subscript"/>
              </w:rPr>
              <w:t>2</w:t>
            </w:r>
          </w:p>
        </w:tc>
        <w:tc>
          <w:tcPr>
            <w:tcW w:w="933" w:type="dxa"/>
            <w:tcBorders>
              <w:top w:val="nil"/>
              <w:left w:val="nil"/>
              <w:bottom w:val="single" w:sz="4" w:space="0" w:color="auto"/>
              <w:right w:val="single" w:sz="4" w:space="0" w:color="auto"/>
            </w:tcBorders>
            <w:shd w:val="clear" w:color="auto" w:fill="auto"/>
            <w:noWrap/>
            <w:vAlign w:val="bottom"/>
            <w:hideMark/>
          </w:tcPr>
          <w:p w14:paraId="7DCEE89D"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T1, L1</w:t>
            </w:r>
          </w:p>
        </w:tc>
      </w:tr>
      <w:tr w:rsidR="00C359C5" w:rsidRPr="00191ACB" w14:paraId="252B0689" w14:textId="77777777" w:rsidTr="00C359C5">
        <w:trPr>
          <w:trHeight w:val="264"/>
        </w:trPr>
        <w:tc>
          <w:tcPr>
            <w:tcW w:w="2230" w:type="dxa"/>
            <w:tcBorders>
              <w:top w:val="nil"/>
              <w:left w:val="single" w:sz="4" w:space="0" w:color="auto"/>
              <w:bottom w:val="single" w:sz="4" w:space="0" w:color="auto"/>
              <w:right w:val="single" w:sz="4" w:space="0" w:color="auto"/>
            </w:tcBorders>
            <w:shd w:val="clear" w:color="auto" w:fill="auto"/>
            <w:noWrap/>
            <w:vAlign w:val="bottom"/>
            <w:hideMark/>
          </w:tcPr>
          <w:p w14:paraId="02D697B5"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3.C.1</w:t>
            </w:r>
          </w:p>
        </w:tc>
        <w:tc>
          <w:tcPr>
            <w:tcW w:w="5244" w:type="dxa"/>
            <w:tcBorders>
              <w:top w:val="nil"/>
              <w:left w:val="nil"/>
              <w:bottom w:val="single" w:sz="4" w:space="0" w:color="auto"/>
              <w:right w:val="single" w:sz="4" w:space="0" w:color="auto"/>
            </w:tcBorders>
            <w:shd w:val="clear" w:color="auto" w:fill="auto"/>
            <w:noWrap/>
            <w:vAlign w:val="bottom"/>
            <w:hideMark/>
          </w:tcPr>
          <w:p w14:paraId="7D86BB57"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Emissions from biomass burning</w:t>
            </w:r>
          </w:p>
        </w:tc>
        <w:tc>
          <w:tcPr>
            <w:tcW w:w="1118" w:type="dxa"/>
            <w:tcBorders>
              <w:top w:val="nil"/>
              <w:left w:val="nil"/>
              <w:bottom w:val="single" w:sz="4" w:space="0" w:color="auto"/>
              <w:right w:val="single" w:sz="4" w:space="0" w:color="auto"/>
            </w:tcBorders>
            <w:shd w:val="clear" w:color="auto" w:fill="auto"/>
            <w:noWrap/>
            <w:vAlign w:val="bottom"/>
            <w:hideMark/>
          </w:tcPr>
          <w:p w14:paraId="34CDE87A"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CH</w:t>
            </w:r>
            <w:r w:rsidRPr="00191ACB">
              <w:rPr>
                <w:rFonts w:ascii="Times New Roman" w:eastAsia="Times New Roman" w:hAnsi="Times New Roman" w:cs="Times New Roman"/>
                <w:sz w:val="24"/>
                <w:szCs w:val="24"/>
                <w:vertAlign w:val="subscript"/>
              </w:rPr>
              <w:t>4</w:t>
            </w:r>
          </w:p>
        </w:tc>
        <w:tc>
          <w:tcPr>
            <w:tcW w:w="933" w:type="dxa"/>
            <w:tcBorders>
              <w:top w:val="nil"/>
              <w:left w:val="nil"/>
              <w:bottom w:val="single" w:sz="4" w:space="0" w:color="auto"/>
              <w:right w:val="single" w:sz="4" w:space="0" w:color="auto"/>
            </w:tcBorders>
            <w:shd w:val="clear" w:color="auto" w:fill="auto"/>
            <w:noWrap/>
            <w:vAlign w:val="bottom"/>
            <w:hideMark/>
          </w:tcPr>
          <w:p w14:paraId="5A5C6211"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T1, L1</w:t>
            </w:r>
          </w:p>
        </w:tc>
      </w:tr>
      <w:tr w:rsidR="00C359C5" w:rsidRPr="00191ACB" w14:paraId="7BA6A5B7" w14:textId="77777777" w:rsidTr="00C359C5">
        <w:trPr>
          <w:trHeight w:val="264"/>
        </w:trPr>
        <w:tc>
          <w:tcPr>
            <w:tcW w:w="2230" w:type="dxa"/>
            <w:tcBorders>
              <w:top w:val="nil"/>
              <w:left w:val="single" w:sz="4" w:space="0" w:color="auto"/>
              <w:bottom w:val="single" w:sz="4" w:space="0" w:color="auto"/>
              <w:right w:val="single" w:sz="4" w:space="0" w:color="auto"/>
            </w:tcBorders>
            <w:shd w:val="clear" w:color="auto" w:fill="auto"/>
            <w:noWrap/>
            <w:vAlign w:val="bottom"/>
            <w:hideMark/>
          </w:tcPr>
          <w:p w14:paraId="7EA67FDF"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3.B.2.b</w:t>
            </w:r>
          </w:p>
        </w:tc>
        <w:tc>
          <w:tcPr>
            <w:tcW w:w="5244" w:type="dxa"/>
            <w:tcBorders>
              <w:top w:val="nil"/>
              <w:left w:val="nil"/>
              <w:bottom w:val="single" w:sz="4" w:space="0" w:color="auto"/>
              <w:right w:val="single" w:sz="4" w:space="0" w:color="auto"/>
            </w:tcBorders>
            <w:shd w:val="clear" w:color="auto" w:fill="auto"/>
            <w:noWrap/>
            <w:vAlign w:val="bottom"/>
            <w:hideMark/>
          </w:tcPr>
          <w:p w14:paraId="54848080"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Land Converted to Cropland</w:t>
            </w:r>
          </w:p>
        </w:tc>
        <w:tc>
          <w:tcPr>
            <w:tcW w:w="1118" w:type="dxa"/>
            <w:tcBorders>
              <w:top w:val="nil"/>
              <w:left w:val="nil"/>
              <w:bottom w:val="single" w:sz="4" w:space="0" w:color="auto"/>
              <w:right w:val="single" w:sz="4" w:space="0" w:color="auto"/>
            </w:tcBorders>
            <w:shd w:val="clear" w:color="auto" w:fill="auto"/>
            <w:noWrap/>
            <w:vAlign w:val="bottom"/>
            <w:hideMark/>
          </w:tcPr>
          <w:p w14:paraId="7A429D51"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CO</w:t>
            </w:r>
            <w:r w:rsidRPr="00191ACB">
              <w:rPr>
                <w:rFonts w:ascii="Times New Roman" w:eastAsia="Times New Roman" w:hAnsi="Times New Roman" w:cs="Times New Roman"/>
                <w:sz w:val="24"/>
                <w:szCs w:val="24"/>
                <w:vertAlign w:val="subscript"/>
              </w:rPr>
              <w:t>2</w:t>
            </w:r>
          </w:p>
        </w:tc>
        <w:tc>
          <w:tcPr>
            <w:tcW w:w="933" w:type="dxa"/>
            <w:tcBorders>
              <w:top w:val="nil"/>
              <w:left w:val="nil"/>
              <w:bottom w:val="single" w:sz="4" w:space="0" w:color="auto"/>
              <w:right w:val="single" w:sz="4" w:space="0" w:color="auto"/>
            </w:tcBorders>
            <w:shd w:val="clear" w:color="auto" w:fill="auto"/>
            <w:noWrap/>
            <w:vAlign w:val="bottom"/>
            <w:hideMark/>
          </w:tcPr>
          <w:p w14:paraId="689A1F10"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T1, L1</w:t>
            </w:r>
          </w:p>
        </w:tc>
      </w:tr>
      <w:tr w:rsidR="00C359C5" w:rsidRPr="00191ACB" w14:paraId="34827E3B" w14:textId="77777777" w:rsidTr="00C359C5">
        <w:trPr>
          <w:trHeight w:val="264"/>
        </w:trPr>
        <w:tc>
          <w:tcPr>
            <w:tcW w:w="2230" w:type="dxa"/>
            <w:tcBorders>
              <w:top w:val="nil"/>
              <w:left w:val="single" w:sz="4" w:space="0" w:color="auto"/>
              <w:bottom w:val="single" w:sz="4" w:space="0" w:color="auto"/>
              <w:right w:val="single" w:sz="4" w:space="0" w:color="auto"/>
            </w:tcBorders>
            <w:shd w:val="clear" w:color="auto" w:fill="auto"/>
            <w:noWrap/>
            <w:vAlign w:val="bottom"/>
            <w:hideMark/>
          </w:tcPr>
          <w:p w14:paraId="433055D1"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3.C.1</w:t>
            </w:r>
          </w:p>
        </w:tc>
        <w:tc>
          <w:tcPr>
            <w:tcW w:w="5244" w:type="dxa"/>
            <w:tcBorders>
              <w:top w:val="nil"/>
              <w:left w:val="nil"/>
              <w:bottom w:val="single" w:sz="4" w:space="0" w:color="auto"/>
              <w:right w:val="single" w:sz="4" w:space="0" w:color="auto"/>
            </w:tcBorders>
            <w:shd w:val="clear" w:color="auto" w:fill="auto"/>
            <w:noWrap/>
            <w:vAlign w:val="bottom"/>
            <w:hideMark/>
          </w:tcPr>
          <w:p w14:paraId="305901FA"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Emissions from biomass burning</w:t>
            </w:r>
          </w:p>
        </w:tc>
        <w:tc>
          <w:tcPr>
            <w:tcW w:w="1118" w:type="dxa"/>
            <w:tcBorders>
              <w:top w:val="nil"/>
              <w:left w:val="nil"/>
              <w:bottom w:val="single" w:sz="4" w:space="0" w:color="auto"/>
              <w:right w:val="single" w:sz="4" w:space="0" w:color="auto"/>
            </w:tcBorders>
            <w:shd w:val="clear" w:color="auto" w:fill="auto"/>
            <w:noWrap/>
            <w:vAlign w:val="bottom"/>
            <w:hideMark/>
          </w:tcPr>
          <w:p w14:paraId="61AD9F7F"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N</w:t>
            </w:r>
            <w:r w:rsidRPr="00191ACB">
              <w:rPr>
                <w:rFonts w:ascii="Times New Roman" w:eastAsia="Times New Roman" w:hAnsi="Times New Roman" w:cs="Times New Roman"/>
                <w:sz w:val="24"/>
                <w:szCs w:val="24"/>
                <w:vertAlign w:val="subscript"/>
              </w:rPr>
              <w:t>2</w:t>
            </w:r>
            <w:r w:rsidRPr="00191ACB">
              <w:rPr>
                <w:rFonts w:ascii="Times New Roman" w:eastAsia="Times New Roman" w:hAnsi="Times New Roman" w:cs="Times New Roman"/>
                <w:sz w:val="24"/>
                <w:szCs w:val="24"/>
              </w:rPr>
              <w:t>O</w:t>
            </w:r>
          </w:p>
        </w:tc>
        <w:tc>
          <w:tcPr>
            <w:tcW w:w="933" w:type="dxa"/>
            <w:tcBorders>
              <w:top w:val="nil"/>
              <w:left w:val="nil"/>
              <w:bottom w:val="single" w:sz="4" w:space="0" w:color="auto"/>
              <w:right w:val="single" w:sz="4" w:space="0" w:color="auto"/>
            </w:tcBorders>
            <w:shd w:val="clear" w:color="auto" w:fill="auto"/>
            <w:noWrap/>
            <w:vAlign w:val="bottom"/>
            <w:hideMark/>
          </w:tcPr>
          <w:p w14:paraId="5CCCB682"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T1, L1</w:t>
            </w:r>
          </w:p>
        </w:tc>
      </w:tr>
      <w:tr w:rsidR="00C359C5" w:rsidRPr="00191ACB" w14:paraId="70B3E8CD" w14:textId="77777777" w:rsidTr="00C359C5">
        <w:trPr>
          <w:trHeight w:val="264"/>
        </w:trPr>
        <w:tc>
          <w:tcPr>
            <w:tcW w:w="2230" w:type="dxa"/>
            <w:tcBorders>
              <w:top w:val="nil"/>
              <w:left w:val="single" w:sz="4" w:space="0" w:color="auto"/>
              <w:bottom w:val="single" w:sz="4" w:space="0" w:color="auto"/>
              <w:right w:val="single" w:sz="4" w:space="0" w:color="auto"/>
            </w:tcBorders>
            <w:shd w:val="clear" w:color="auto" w:fill="auto"/>
            <w:noWrap/>
            <w:vAlign w:val="bottom"/>
            <w:hideMark/>
          </w:tcPr>
          <w:p w14:paraId="0D317195"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1.A.4</w:t>
            </w:r>
          </w:p>
        </w:tc>
        <w:tc>
          <w:tcPr>
            <w:tcW w:w="5244" w:type="dxa"/>
            <w:tcBorders>
              <w:top w:val="nil"/>
              <w:left w:val="nil"/>
              <w:bottom w:val="single" w:sz="4" w:space="0" w:color="auto"/>
              <w:right w:val="single" w:sz="4" w:space="0" w:color="auto"/>
            </w:tcBorders>
            <w:shd w:val="clear" w:color="auto" w:fill="auto"/>
            <w:noWrap/>
            <w:vAlign w:val="bottom"/>
            <w:hideMark/>
          </w:tcPr>
          <w:p w14:paraId="3CDF13EE"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Other Sectors - Liquid Fuels</w:t>
            </w:r>
          </w:p>
        </w:tc>
        <w:tc>
          <w:tcPr>
            <w:tcW w:w="1118" w:type="dxa"/>
            <w:tcBorders>
              <w:top w:val="nil"/>
              <w:left w:val="nil"/>
              <w:bottom w:val="single" w:sz="4" w:space="0" w:color="auto"/>
              <w:right w:val="single" w:sz="4" w:space="0" w:color="auto"/>
            </w:tcBorders>
            <w:shd w:val="clear" w:color="auto" w:fill="auto"/>
            <w:noWrap/>
            <w:hideMark/>
          </w:tcPr>
          <w:p w14:paraId="550C7125" w14:textId="77777777" w:rsidR="00C41CC1" w:rsidRPr="00191ACB" w:rsidRDefault="00C41CC1" w:rsidP="00FB59E0">
            <w:pPr>
              <w:pStyle w:val="NoSpacing"/>
              <w:rPr>
                <w:rFonts w:ascii="Times New Roman" w:hAnsi="Times New Roman" w:cs="Times New Roman"/>
                <w:sz w:val="24"/>
                <w:szCs w:val="24"/>
              </w:rPr>
            </w:pPr>
            <w:r w:rsidRPr="00191ACB">
              <w:rPr>
                <w:rFonts w:ascii="Times New Roman" w:eastAsia="Times New Roman" w:hAnsi="Times New Roman" w:cs="Times New Roman"/>
                <w:sz w:val="24"/>
                <w:szCs w:val="24"/>
              </w:rPr>
              <w:t>CO</w:t>
            </w:r>
            <w:r w:rsidRPr="00191ACB">
              <w:rPr>
                <w:rFonts w:ascii="Times New Roman" w:eastAsia="Times New Roman" w:hAnsi="Times New Roman" w:cs="Times New Roman"/>
                <w:sz w:val="24"/>
                <w:szCs w:val="24"/>
                <w:vertAlign w:val="subscript"/>
              </w:rPr>
              <w:t>2</w:t>
            </w:r>
          </w:p>
        </w:tc>
        <w:tc>
          <w:tcPr>
            <w:tcW w:w="933" w:type="dxa"/>
            <w:tcBorders>
              <w:top w:val="nil"/>
              <w:left w:val="nil"/>
              <w:bottom w:val="single" w:sz="4" w:space="0" w:color="auto"/>
              <w:right w:val="single" w:sz="4" w:space="0" w:color="auto"/>
            </w:tcBorders>
            <w:shd w:val="clear" w:color="auto" w:fill="auto"/>
            <w:noWrap/>
            <w:vAlign w:val="bottom"/>
            <w:hideMark/>
          </w:tcPr>
          <w:p w14:paraId="595D708E"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 xml:space="preserve">T1 </w:t>
            </w:r>
          </w:p>
        </w:tc>
      </w:tr>
      <w:tr w:rsidR="00C359C5" w:rsidRPr="00191ACB" w14:paraId="09F10E22" w14:textId="77777777" w:rsidTr="00C359C5">
        <w:trPr>
          <w:trHeight w:val="264"/>
        </w:trPr>
        <w:tc>
          <w:tcPr>
            <w:tcW w:w="2230" w:type="dxa"/>
            <w:tcBorders>
              <w:top w:val="nil"/>
              <w:left w:val="single" w:sz="4" w:space="0" w:color="auto"/>
              <w:bottom w:val="single" w:sz="4" w:space="0" w:color="auto"/>
              <w:right w:val="single" w:sz="4" w:space="0" w:color="auto"/>
            </w:tcBorders>
            <w:shd w:val="clear" w:color="auto" w:fill="auto"/>
            <w:noWrap/>
            <w:vAlign w:val="bottom"/>
            <w:hideMark/>
          </w:tcPr>
          <w:p w14:paraId="40F6EBEC"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2.A.2</w:t>
            </w:r>
          </w:p>
        </w:tc>
        <w:tc>
          <w:tcPr>
            <w:tcW w:w="5244" w:type="dxa"/>
            <w:tcBorders>
              <w:top w:val="nil"/>
              <w:left w:val="nil"/>
              <w:bottom w:val="single" w:sz="4" w:space="0" w:color="auto"/>
              <w:right w:val="single" w:sz="4" w:space="0" w:color="auto"/>
            </w:tcBorders>
            <w:shd w:val="clear" w:color="auto" w:fill="auto"/>
            <w:noWrap/>
            <w:vAlign w:val="bottom"/>
            <w:hideMark/>
          </w:tcPr>
          <w:p w14:paraId="5BC5827E"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Lime production</w:t>
            </w:r>
          </w:p>
        </w:tc>
        <w:tc>
          <w:tcPr>
            <w:tcW w:w="1118" w:type="dxa"/>
            <w:tcBorders>
              <w:top w:val="nil"/>
              <w:left w:val="nil"/>
              <w:bottom w:val="single" w:sz="4" w:space="0" w:color="auto"/>
              <w:right w:val="single" w:sz="4" w:space="0" w:color="auto"/>
            </w:tcBorders>
            <w:shd w:val="clear" w:color="auto" w:fill="auto"/>
            <w:noWrap/>
            <w:hideMark/>
          </w:tcPr>
          <w:p w14:paraId="432BF9BC" w14:textId="77777777" w:rsidR="00C41CC1" w:rsidRPr="00191ACB" w:rsidRDefault="00C41CC1" w:rsidP="00FB59E0">
            <w:pPr>
              <w:pStyle w:val="NoSpacing"/>
              <w:rPr>
                <w:rFonts w:ascii="Times New Roman" w:hAnsi="Times New Roman" w:cs="Times New Roman"/>
                <w:sz w:val="24"/>
                <w:szCs w:val="24"/>
              </w:rPr>
            </w:pPr>
            <w:r w:rsidRPr="00191ACB">
              <w:rPr>
                <w:rFonts w:ascii="Times New Roman" w:eastAsia="Times New Roman" w:hAnsi="Times New Roman" w:cs="Times New Roman"/>
                <w:sz w:val="24"/>
                <w:szCs w:val="24"/>
              </w:rPr>
              <w:t>CO</w:t>
            </w:r>
            <w:r w:rsidRPr="00191ACB">
              <w:rPr>
                <w:rFonts w:ascii="Times New Roman" w:eastAsia="Times New Roman" w:hAnsi="Times New Roman" w:cs="Times New Roman"/>
                <w:sz w:val="24"/>
                <w:szCs w:val="24"/>
                <w:vertAlign w:val="subscript"/>
              </w:rPr>
              <w:t>2</w:t>
            </w:r>
          </w:p>
        </w:tc>
        <w:tc>
          <w:tcPr>
            <w:tcW w:w="933" w:type="dxa"/>
            <w:tcBorders>
              <w:top w:val="nil"/>
              <w:left w:val="nil"/>
              <w:bottom w:val="single" w:sz="4" w:space="0" w:color="auto"/>
              <w:right w:val="single" w:sz="4" w:space="0" w:color="auto"/>
            </w:tcBorders>
            <w:shd w:val="clear" w:color="auto" w:fill="auto"/>
            <w:noWrap/>
            <w:vAlign w:val="bottom"/>
            <w:hideMark/>
          </w:tcPr>
          <w:p w14:paraId="09187299"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T1</w:t>
            </w:r>
          </w:p>
        </w:tc>
      </w:tr>
      <w:tr w:rsidR="00C359C5" w:rsidRPr="00191ACB" w14:paraId="5DC1C0D6" w14:textId="77777777" w:rsidTr="00C359C5">
        <w:trPr>
          <w:trHeight w:val="264"/>
        </w:trPr>
        <w:tc>
          <w:tcPr>
            <w:tcW w:w="2230" w:type="dxa"/>
            <w:tcBorders>
              <w:top w:val="nil"/>
              <w:left w:val="single" w:sz="4" w:space="0" w:color="auto"/>
              <w:bottom w:val="single" w:sz="4" w:space="0" w:color="auto"/>
              <w:right w:val="single" w:sz="4" w:space="0" w:color="auto"/>
            </w:tcBorders>
            <w:shd w:val="clear" w:color="auto" w:fill="auto"/>
            <w:noWrap/>
            <w:vAlign w:val="bottom"/>
            <w:hideMark/>
          </w:tcPr>
          <w:p w14:paraId="7FB7EAD1"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1.A.1</w:t>
            </w:r>
          </w:p>
        </w:tc>
        <w:tc>
          <w:tcPr>
            <w:tcW w:w="5244" w:type="dxa"/>
            <w:tcBorders>
              <w:top w:val="nil"/>
              <w:left w:val="nil"/>
              <w:bottom w:val="single" w:sz="4" w:space="0" w:color="auto"/>
              <w:right w:val="single" w:sz="4" w:space="0" w:color="auto"/>
            </w:tcBorders>
            <w:shd w:val="clear" w:color="auto" w:fill="auto"/>
            <w:noWrap/>
            <w:vAlign w:val="bottom"/>
            <w:hideMark/>
          </w:tcPr>
          <w:p w14:paraId="4DB8442B"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Energy Industries - Solid Fuels</w:t>
            </w:r>
          </w:p>
        </w:tc>
        <w:tc>
          <w:tcPr>
            <w:tcW w:w="1118" w:type="dxa"/>
            <w:tcBorders>
              <w:top w:val="nil"/>
              <w:left w:val="nil"/>
              <w:bottom w:val="single" w:sz="4" w:space="0" w:color="auto"/>
              <w:right w:val="single" w:sz="4" w:space="0" w:color="auto"/>
            </w:tcBorders>
            <w:shd w:val="clear" w:color="auto" w:fill="auto"/>
            <w:noWrap/>
            <w:hideMark/>
          </w:tcPr>
          <w:p w14:paraId="311C035C" w14:textId="77777777" w:rsidR="00C41CC1" w:rsidRPr="00191ACB" w:rsidRDefault="00C41CC1" w:rsidP="00FB59E0">
            <w:pPr>
              <w:pStyle w:val="NoSpacing"/>
              <w:rPr>
                <w:rFonts w:ascii="Times New Roman" w:hAnsi="Times New Roman" w:cs="Times New Roman"/>
                <w:sz w:val="24"/>
                <w:szCs w:val="24"/>
              </w:rPr>
            </w:pPr>
            <w:r w:rsidRPr="00191ACB">
              <w:rPr>
                <w:rFonts w:ascii="Times New Roman" w:eastAsia="Times New Roman" w:hAnsi="Times New Roman" w:cs="Times New Roman"/>
                <w:sz w:val="24"/>
                <w:szCs w:val="24"/>
              </w:rPr>
              <w:t>CO</w:t>
            </w:r>
            <w:r w:rsidRPr="00191ACB">
              <w:rPr>
                <w:rFonts w:ascii="Times New Roman" w:eastAsia="Times New Roman" w:hAnsi="Times New Roman" w:cs="Times New Roman"/>
                <w:sz w:val="24"/>
                <w:szCs w:val="24"/>
                <w:vertAlign w:val="subscript"/>
              </w:rPr>
              <w:t>2</w:t>
            </w:r>
          </w:p>
        </w:tc>
        <w:tc>
          <w:tcPr>
            <w:tcW w:w="933" w:type="dxa"/>
            <w:tcBorders>
              <w:top w:val="nil"/>
              <w:left w:val="nil"/>
              <w:bottom w:val="single" w:sz="4" w:space="0" w:color="auto"/>
              <w:right w:val="single" w:sz="4" w:space="0" w:color="auto"/>
            </w:tcBorders>
            <w:shd w:val="clear" w:color="auto" w:fill="auto"/>
            <w:noWrap/>
            <w:vAlign w:val="bottom"/>
            <w:hideMark/>
          </w:tcPr>
          <w:p w14:paraId="1AB99CD1"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T1, L1</w:t>
            </w:r>
          </w:p>
        </w:tc>
      </w:tr>
      <w:tr w:rsidR="00C359C5" w:rsidRPr="00191ACB" w14:paraId="538715FA" w14:textId="77777777" w:rsidTr="00C359C5">
        <w:trPr>
          <w:trHeight w:val="264"/>
        </w:trPr>
        <w:tc>
          <w:tcPr>
            <w:tcW w:w="2230" w:type="dxa"/>
            <w:tcBorders>
              <w:top w:val="nil"/>
              <w:left w:val="single" w:sz="4" w:space="0" w:color="auto"/>
              <w:bottom w:val="single" w:sz="4" w:space="0" w:color="auto"/>
              <w:right w:val="single" w:sz="4" w:space="0" w:color="auto"/>
            </w:tcBorders>
            <w:shd w:val="clear" w:color="auto" w:fill="auto"/>
            <w:noWrap/>
            <w:vAlign w:val="bottom"/>
            <w:hideMark/>
          </w:tcPr>
          <w:p w14:paraId="6D0FB372"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3.A.1</w:t>
            </w:r>
          </w:p>
        </w:tc>
        <w:tc>
          <w:tcPr>
            <w:tcW w:w="5244" w:type="dxa"/>
            <w:tcBorders>
              <w:top w:val="nil"/>
              <w:left w:val="nil"/>
              <w:bottom w:val="single" w:sz="4" w:space="0" w:color="auto"/>
              <w:right w:val="single" w:sz="4" w:space="0" w:color="auto"/>
            </w:tcBorders>
            <w:shd w:val="clear" w:color="auto" w:fill="auto"/>
            <w:noWrap/>
            <w:vAlign w:val="bottom"/>
            <w:hideMark/>
          </w:tcPr>
          <w:p w14:paraId="0E64173A"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Enteric Fermentation</w:t>
            </w:r>
          </w:p>
        </w:tc>
        <w:tc>
          <w:tcPr>
            <w:tcW w:w="1118" w:type="dxa"/>
            <w:tcBorders>
              <w:top w:val="nil"/>
              <w:left w:val="nil"/>
              <w:bottom w:val="single" w:sz="4" w:space="0" w:color="auto"/>
              <w:right w:val="single" w:sz="4" w:space="0" w:color="auto"/>
            </w:tcBorders>
            <w:shd w:val="clear" w:color="auto" w:fill="auto"/>
            <w:noWrap/>
            <w:vAlign w:val="bottom"/>
            <w:hideMark/>
          </w:tcPr>
          <w:p w14:paraId="30DBB475"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CH</w:t>
            </w:r>
            <w:r w:rsidRPr="00191ACB">
              <w:rPr>
                <w:rFonts w:ascii="Times New Roman" w:eastAsia="Times New Roman" w:hAnsi="Times New Roman" w:cs="Times New Roman"/>
                <w:sz w:val="24"/>
                <w:szCs w:val="24"/>
                <w:vertAlign w:val="subscript"/>
              </w:rPr>
              <w:t>4</w:t>
            </w:r>
          </w:p>
        </w:tc>
        <w:tc>
          <w:tcPr>
            <w:tcW w:w="933" w:type="dxa"/>
            <w:tcBorders>
              <w:top w:val="nil"/>
              <w:left w:val="nil"/>
              <w:bottom w:val="single" w:sz="4" w:space="0" w:color="auto"/>
              <w:right w:val="single" w:sz="4" w:space="0" w:color="auto"/>
            </w:tcBorders>
            <w:shd w:val="clear" w:color="auto" w:fill="auto"/>
            <w:noWrap/>
            <w:vAlign w:val="bottom"/>
            <w:hideMark/>
          </w:tcPr>
          <w:p w14:paraId="77A6C2AB"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L1</w:t>
            </w:r>
          </w:p>
        </w:tc>
      </w:tr>
      <w:tr w:rsidR="00C359C5" w:rsidRPr="00191ACB" w14:paraId="01CEBDAF" w14:textId="77777777" w:rsidTr="00C359C5">
        <w:trPr>
          <w:trHeight w:val="264"/>
        </w:trPr>
        <w:tc>
          <w:tcPr>
            <w:tcW w:w="2230" w:type="dxa"/>
            <w:tcBorders>
              <w:top w:val="nil"/>
              <w:left w:val="single" w:sz="4" w:space="0" w:color="auto"/>
              <w:bottom w:val="single" w:sz="4" w:space="0" w:color="auto"/>
              <w:right w:val="single" w:sz="4" w:space="0" w:color="auto"/>
            </w:tcBorders>
            <w:shd w:val="clear" w:color="auto" w:fill="auto"/>
            <w:noWrap/>
            <w:vAlign w:val="bottom"/>
            <w:hideMark/>
          </w:tcPr>
          <w:p w14:paraId="0062FB67"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1.A.2</w:t>
            </w:r>
          </w:p>
        </w:tc>
        <w:tc>
          <w:tcPr>
            <w:tcW w:w="5244" w:type="dxa"/>
            <w:tcBorders>
              <w:top w:val="nil"/>
              <w:left w:val="nil"/>
              <w:bottom w:val="single" w:sz="4" w:space="0" w:color="auto"/>
              <w:right w:val="single" w:sz="4" w:space="0" w:color="auto"/>
            </w:tcBorders>
            <w:shd w:val="clear" w:color="auto" w:fill="auto"/>
            <w:noWrap/>
            <w:vAlign w:val="bottom"/>
            <w:hideMark/>
          </w:tcPr>
          <w:p w14:paraId="70536140"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Manufacturing Industries and Construction - Liquid Fuels</w:t>
            </w:r>
          </w:p>
        </w:tc>
        <w:tc>
          <w:tcPr>
            <w:tcW w:w="1118" w:type="dxa"/>
            <w:tcBorders>
              <w:top w:val="nil"/>
              <w:left w:val="nil"/>
              <w:bottom w:val="single" w:sz="4" w:space="0" w:color="auto"/>
              <w:right w:val="single" w:sz="4" w:space="0" w:color="auto"/>
            </w:tcBorders>
            <w:shd w:val="clear" w:color="auto" w:fill="auto"/>
            <w:noWrap/>
            <w:vAlign w:val="bottom"/>
            <w:hideMark/>
          </w:tcPr>
          <w:p w14:paraId="49C6D55A"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CO</w:t>
            </w:r>
            <w:r w:rsidRPr="00191ACB">
              <w:rPr>
                <w:rFonts w:ascii="Times New Roman" w:eastAsia="Times New Roman" w:hAnsi="Times New Roman" w:cs="Times New Roman"/>
                <w:sz w:val="24"/>
                <w:szCs w:val="24"/>
                <w:vertAlign w:val="subscript"/>
              </w:rPr>
              <w:t>2</w:t>
            </w:r>
          </w:p>
        </w:tc>
        <w:tc>
          <w:tcPr>
            <w:tcW w:w="933" w:type="dxa"/>
            <w:tcBorders>
              <w:top w:val="nil"/>
              <w:left w:val="nil"/>
              <w:bottom w:val="single" w:sz="4" w:space="0" w:color="auto"/>
              <w:right w:val="single" w:sz="4" w:space="0" w:color="auto"/>
            </w:tcBorders>
            <w:shd w:val="clear" w:color="auto" w:fill="auto"/>
            <w:noWrap/>
            <w:vAlign w:val="bottom"/>
            <w:hideMark/>
          </w:tcPr>
          <w:p w14:paraId="6BF3C4B8"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L1</w:t>
            </w:r>
          </w:p>
        </w:tc>
      </w:tr>
      <w:tr w:rsidR="00C359C5" w:rsidRPr="00191ACB" w14:paraId="1A2974E0" w14:textId="77777777" w:rsidTr="00C359C5">
        <w:trPr>
          <w:trHeight w:val="264"/>
        </w:trPr>
        <w:tc>
          <w:tcPr>
            <w:tcW w:w="22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4F9958"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hAnsi="Times New Roman" w:cs="Times New Roman"/>
                <w:iCs/>
                <w:sz w:val="24"/>
                <w:szCs w:val="24"/>
              </w:rPr>
              <w:t>3.C.4</w:t>
            </w:r>
          </w:p>
        </w:tc>
        <w:tc>
          <w:tcPr>
            <w:tcW w:w="5244" w:type="dxa"/>
            <w:tcBorders>
              <w:top w:val="single" w:sz="4" w:space="0" w:color="auto"/>
              <w:left w:val="nil"/>
              <w:bottom w:val="single" w:sz="4" w:space="0" w:color="auto"/>
              <w:right w:val="single" w:sz="4" w:space="0" w:color="auto"/>
            </w:tcBorders>
            <w:shd w:val="clear" w:color="auto" w:fill="auto"/>
            <w:noWrap/>
            <w:vAlign w:val="bottom"/>
          </w:tcPr>
          <w:p w14:paraId="4FBABCB5"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hAnsi="Times New Roman" w:cs="Times New Roman"/>
                <w:iCs/>
                <w:sz w:val="24"/>
                <w:szCs w:val="24"/>
              </w:rPr>
              <w:t>Direct N2O Emissions from managed soils</w:t>
            </w:r>
          </w:p>
        </w:tc>
        <w:tc>
          <w:tcPr>
            <w:tcW w:w="1118" w:type="dxa"/>
            <w:tcBorders>
              <w:top w:val="single" w:sz="4" w:space="0" w:color="auto"/>
              <w:left w:val="nil"/>
              <w:bottom w:val="single" w:sz="4" w:space="0" w:color="auto"/>
              <w:right w:val="single" w:sz="4" w:space="0" w:color="auto"/>
            </w:tcBorders>
            <w:shd w:val="clear" w:color="auto" w:fill="auto"/>
            <w:noWrap/>
            <w:vAlign w:val="bottom"/>
          </w:tcPr>
          <w:p w14:paraId="49E64059"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N</w:t>
            </w:r>
            <w:r w:rsidRPr="00191ACB">
              <w:rPr>
                <w:rFonts w:ascii="Times New Roman" w:eastAsia="Times New Roman" w:hAnsi="Times New Roman" w:cs="Times New Roman"/>
                <w:sz w:val="24"/>
                <w:szCs w:val="24"/>
                <w:vertAlign w:val="subscript"/>
              </w:rPr>
              <w:t>2</w:t>
            </w:r>
            <w:r w:rsidRPr="00191ACB">
              <w:rPr>
                <w:rFonts w:ascii="Times New Roman" w:eastAsia="Times New Roman" w:hAnsi="Times New Roman" w:cs="Times New Roman"/>
                <w:sz w:val="24"/>
                <w:szCs w:val="24"/>
              </w:rPr>
              <w:t>O</w:t>
            </w:r>
          </w:p>
        </w:tc>
        <w:tc>
          <w:tcPr>
            <w:tcW w:w="933" w:type="dxa"/>
            <w:tcBorders>
              <w:top w:val="single" w:sz="4" w:space="0" w:color="auto"/>
              <w:left w:val="nil"/>
              <w:bottom w:val="single" w:sz="4" w:space="0" w:color="auto"/>
              <w:right w:val="single" w:sz="4" w:space="0" w:color="auto"/>
            </w:tcBorders>
            <w:shd w:val="clear" w:color="auto" w:fill="auto"/>
            <w:noWrap/>
            <w:vAlign w:val="bottom"/>
          </w:tcPr>
          <w:p w14:paraId="213F72F2"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Q</w:t>
            </w:r>
          </w:p>
        </w:tc>
      </w:tr>
      <w:tr w:rsidR="00C359C5" w:rsidRPr="00191ACB" w14:paraId="17048256" w14:textId="77777777" w:rsidTr="00C359C5">
        <w:trPr>
          <w:trHeight w:val="131"/>
        </w:trPr>
        <w:tc>
          <w:tcPr>
            <w:tcW w:w="22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756960"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hAnsi="Times New Roman" w:cs="Times New Roman"/>
                <w:iCs/>
                <w:sz w:val="24"/>
                <w:szCs w:val="24"/>
              </w:rPr>
              <w:t>2.A.1</w:t>
            </w:r>
          </w:p>
        </w:tc>
        <w:tc>
          <w:tcPr>
            <w:tcW w:w="5244" w:type="dxa"/>
            <w:tcBorders>
              <w:top w:val="single" w:sz="4" w:space="0" w:color="auto"/>
              <w:left w:val="nil"/>
              <w:bottom w:val="single" w:sz="4" w:space="0" w:color="auto"/>
              <w:right w:val="single" w:sz="4" w:space="0" w:color="auto"/>
            </w:tcBorders>
            <w:shd w:val="clear" w:color="auto" w:fill="auto"/>
            <w:noWrap/>
            <w:vAlign w:val="bottom"/>
          </w:tcPr>
          <w:p w14:paraId="0A5863F7"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hAnsi="Times New Roman" w:cs="Times New Roman"/>
                <w:iCs/>
                <w:sz w:val="24"/>
                <w:szCs w:val="24"/>
              </w:rPr>
              <w:t>Cement production</w:t>
            </w:r>
          </w:p>
        </w:tc>
        <w:tc>
          <w:tcPr>
            <w:tcW w:w="1118" w:type="dxa"/>
            <w:tcBorders>
              <w:top w:val="single" w:sz="4" w:space="0" w:color="auto"/>
              <w:left w:val="nil"/>
              <w:bottom w:val="single" w:sz="4" w:space="0" w:color="auto"/>
              <w:right w:val="single" w:sz="4" w:space="0" w:color="auto"/>
            </w:tcBorders>
            <w:shd w:val="clear" w:color="auto" w:fill="auto"/>
            <w:noWrap/>
            <w:vAlign w:val="bottom"/>
          </w:tcPr>
          <w:p w14:paraId="7BFFB745"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CO</w:t>
            </w:r>
            <w:r w:rsidRPr="00191ACB">
              <w:rPr>
                <w:rFonts w:ascii="Times New Roman" w:eastAsia="Times New Roman" w:hAnsi="Times New Roman" w:cs="Times New Roman"/>
                <w:sz w:val="24"/>
                <w:szCs w:val="24"/>
                <w:vertAlign w:val="subscript"/>
              </w:rPr>
              <w:t>2</w:t>
            </w:r>
          </w:p>
        </w:tc>
        <w:tc>
          <w:tcPr>
            <w:tcW w:w="933" w:type="dxa"/>
            <w:tcBorders>
              <w:top w:val="single" w:sz="4" w:space="0" w:color="auto"/>
              <w:left w:val="nil"/>
              <w:bottom w:val="single" w:sz="4" w:space="0" w:color="auto"/>
              <w:right w:val="single" w:sz="4" w:space="0" w:color="auto"/>
            </w:tcBorders>
            <w:shd w:val="clear" w:color="auto" w:fill="auto"/>
            <w:noWrap/>
            <w:vAlign w:val="bottom"/>
          </w:tcPr>
          <w:p w14:paraId="1C26C948" w14:textId="77777777" w:rsidR="00C41CC1" w:rsidRPr="00191ACB" w:rsidRDefault="00C41CC1" w:rsidP="00FB59E0">
            <w:pPr>
              <w:pStyle w:val="NoSpacing"/>
              <w:rPr>
                <w:rFonts w:ascii="Times New Roman" w:eastAsia="Times New Roman" w:hAnsi="Times New Roman" w:cs="Times New Roman"/>
                <w:sz w:val="24"/>
                <w:szCs w:val="24"/>
              </w:rPr>
            </w:pPr>
            <w:r w:rsidRPr="00191ACB">
              <w:rPr>
                <w:rFonts w:ascii="Times New Roman" w:eastAsia="Times New Roman" w:hAnsi="Times New Roman" w:cs="Times New Roman"/>
                <w:sz w:val="24"/>
                <w:szCs w:val="24"/>
              </w:rPr>
              <w:t>Q</w:t>
            </w:r>
          </w:p>
        </w:tc>
      </w:tr>
    </w:tbl>
    <w:p w14:paraId="2308D30B" w14:textId="77777777" w:rsidR="00C41CC1" w:rsidRPr="00191ACB" w:rsidRDefault="00C41CC1" w:rsidP="00C41CC1">
      <w:pPr>
        <w:jc w:val="both"/>
        <w:rPr>
          <w:rFonts w:ascii="Times New Roman" w:hAnsi="Times New Roman" w:cs="Times New Roman"/>
          <w:i/>
          <w:color w:val="000000" w:themeColor="text1"/>
          <w:sz w:val="24"/>
          <w:szCs w:val="24"/>
        </w:rPr>
      </w:pPr>
      <w:r w:rsidRPr="00191ACB">
        <w:rPr>
          <w:rFonts w:ascii="Times New Roman" w:hAnsi="Times New Roman" w:cs="Times New Roman"/>
          <w:i/>
          <w:color w:val="000000" w:themeColor="text1"/>
          <w:sz w:val="24"/>
          <w:szCs w:val="24"/>
        </w:rPr>
        <w:t xml:space="preserve">1) The notation keys: L = key category according to level assessment; T = key category according to trend assessment; and Q = key category according to qualitative criteria; should be used to describe the assessment method used. </w:t>
      </w:r>
    </w:p>
    <w:p w14:paraId="24951082" w14:textId="72879677" w:rsidR="00C41CC1" w:rsidRPr="00191ACB" w:rsidRDefault="00C41CC1" w:rsidP="00033860">
      <w:pPr>
        <w:pStyle w:val="Heading2"/>
        <w:numPr>
          <w:ilvl w:val="1"/>
          <w:numId w:val="36"/>
        </w:numPr>
        <w:spacing w:after="120" w:line="240" w:lineRule="auto"/>
        <w:ind w:left="709" w:hanging="709"/>
        <w:rPr>
          <w:rFonts w:ascii="Times New Roman" w:hAnsi="Times New Roman" w:cs="Times New Roman"/>
          <w:b/>
          <w:color w:val="000000" w:themeColor="text1"/>
          <w:sz w:val="24"/>
          <w:szCs w:val="24"/>
        </w:rPr>
      </w:pPr>
      <w:bookmarkStart w:id="112" w:name="_Toc48427292"/>
      <w:bookmarkStart w:id="113" w:name="_Toc57902820"/>
      <w:r w:rsidRPr="00191ACB">
        <w:rPr>
          <w:rFonts w:ascii="Times New Roman" w:hAnsi="Times New Roman" w:cs="Times New Roman"/>
          <w:b/>
          <w:color w:val="000000" w:themeColor="text1"/>
          <w:sz w:val="24"/>
          <w:szCs w:val="24"/>
        </w:rPr>
        <w:t>Recalculations</w:t>
      </w:r>
      <w:bookmarkEnd w:id="112"/>
      <w:bookmarkEnd w:id="113"/>
      <w:r w:rsidRPr="00191ACB">
        <w:rPr>
          <w:rFonts w:ascii="Times New Roman" w:hAnsi="Times New Roman" w:cs="Times New Roman"/>
          <w:b/>
          <w:color w:val="000000" w:themeColor="text1"/>
          <w:sz w:val="24"/>
          <w:szCs w:val="24"/>
        </w:rPr>
        <w:t xml:space="preserve">  </w:t>
      </w:r>
    </w:p>
    <w:p w14:paraId="05A717F5" w14:textId="47386F12"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Recalculations were made for the years 1994, 2000, 2005 and 2010 for IPPU, as a result of improved activity data on SF</w:t>
      </w:r>
      <w:r w:rsidRPr="00191ACB">
        <w:rPr>
          <w:rFonts w:ascii="Times New Roman" w:hAnsi="Times New Roman" w:cs="Times New Roman"/>
          <w:color w:val="000000" w:themeColor="text1"/>
          <w:sz w:val="24"/>
          <w:szCs w:val="24"/>
          <w:vertAlign w:val="subscript"/>
        </w:rPr>
        <w:t>6</w:t>
      </w:r>
      <w:r w:rsidRPr="00191ACB">
        <w:rPr>
          <w:rFonts w:ascii="Times New Roman" w:hAnsi="Times New Roman" w:cs="Times New Roman"/>
          <w:color w:val="000000" w:themeColor="text1"/>
          <w:sz w:val="24"/>
          <w:szCs w:val="24"/>
        </w:rPr>
        <w:t xml:space="preserve"> (2.G.1.b - Use of Electrical Equipment). The recalculated figures for 1994, 200</w:t>
      </w:r>
      <w:r w:rsidR="00DD740E" w:rsidRPr="00191ACB">
        <w:rPr>
          <w:rFonts w:ascii="Times New Roman" w:hAnsi="Times New Roman" w:cs="Times New Roman"/>
          <w:color w:val="000000" w:themeColor="text1"/>
          <w:sz w:val="24"/>
          <w:szCs w:val="24"/>
        </w:rPr>
        <w:t>0</w:t>
      </w:r>
      <w:r w:rsidRPr="00191ACB">
        <w:rPr>
          <w:rFonts w:ascii="Times New Roman" w:hAnsi="Times New Roman" w:cs="Times New Roman"/>
          <w:color w:val="000000" w:themeColor="text1"/>
          <w:sz w:val="24"/>
          <w:szCs w:val="24"/>
        </w:rPr>
        <w:t xml:space="preserve">, 2005 and 2010 were slightly lower than those submitted in the Third National Communication as shown in (Table </w:t>
      </w:r>
      <w:r w:rsidR="009B1D99" w:rsidRPr="00191ACB">
        <w:rPr>
          <w:rFonts w:ascii="Times New Roman" w:hAnsi="Times New Roman" w:cs="Times New Roman"/>
          <w:color w:val="000000" w:themeColor="text1"/>
          <w:sz w:val="24"/>
          <w:szCs w:val="24"/>
        </w:rPr>
        <w:t>3.</w:t>
      </w:r>
      <w:r w:rsidR="00026F01" w:rsidRPr="00191ACB">
        <w:rPr>
          <w:rFonts w:ascii="Times New Roman" w:hAnsi="Times New Roman" w:cs="Times New Roman"/>
          <w:color w:val="000000" w:themeColor="text1"/>
          <w:sz w:val="24"/>
          <w:szCs w:val="24"/>
        </w:rPr>
        <w:t>7</w:t>
      </w:r>
      <w:r w:rsidR="009B1D99"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w:t>
      </w:r>
    </w:p>
    <w:p w14:paraId="1AD0E43C" w14:textId="1F9CA402" w:rsidR="009B1D99" w:rsidRPr="00191ACB" w:rsidRDefault="009B1D99" w:rsidP="009B1D99">
      <w:pPr>
        <w:pStyle w:val="Caption"/>
        <w:rPr>
          <w:color w:val="000000" w:themeColor="text1"/>
          <w:sz w:val="24"/>
          <w:szCs w:val="24"/>
        </w:rPr>
      </w:pPr>
      <w:bookmarkStart w:id="114" w:name="_Toc56583768"/>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7</w:t>
      </w:r>
      <w:r w:rsidR="00875942">
        <w:rPr>
          <w:sz w:val="24"/>
          <w:szCs w:val="24"/>
        </w:rPr>
        <w:fldChar w:fldCharType="end"/>
      </w:r>
      <w:r w:rsidRPr="00191ACB">
        <w:rPr>
          <w:sz w:val="24"/>
          <w:szCs w:val="24"/>
        </w:rPr>
        <w:t>:IPPU Sector recalculations of total emissions CO2 eq.</w:t>
      </w:r>
      <w:bookmarkEnd w:id="114"/>
    </w:p>
    <w:tbl>
      <w:tblPr>
        <w:tblW w:w="9526" w:type="dxa"/>
        <w:tblInd w:w="108" w:type="dxa"/>
        <w:tblLook w:val="04A0" w:firstRow="1" w:lastRow="0" w:firstColumn="1" w:lastColumn="0" w:noHBand="0" w:noVBand="1"/>
      </w:tblPr>
      <w:tblGrid>
        <w:gridCol w:w="708"/>
        <w:gridCol w:w="3685"/>
        <w:gridCol w:w="3401"/>
        <w:gridCol w:w="1242"/>
        <w:gridCol w:w="595"/>
      </w:tblGrid>
      <w:tr w:rsidR="00C359C5" w:rsidRPr="00191ACB" w14:paraId="4F213F17" w14:textId="77777777" w:rsidTr="00C359C5">
        <w:trPr>
          <w:trHeight w:val="404"/>
        </w:trPr>
        <w:tc>
          <w:tcPr>
            <w:tcW w:w="709" w:type="dxa"/>
            <w:vMerge w:val="restart"/>
            <w:tcBorders>
              <w:top w:val="single" w:sz="4" w:space="0" w:color="auto"/>
              <w:left w:val="single" w:sz="4" w:space="0" w:color="auto"/>
              <w:right w:val="single" w:sz="4" w:space="0" w:color="auto"/>
            </w:tcBorders>
            <w:shd w:val="clear" w:color="auto" w:fill="auto"/>
            <w:vAlign w:val="center"/>
            <w:hideMark/>
          </w:tcPr>
          <w:p w14:paraId="1F3E699A"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Year</w:t>
            </w:r>
          </w:p>
          <w:p w14:paraId="3865EEBF"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w:t>
            </w:r>
          </w:p>
        </w:tc>
        <w:tc>
          <w:tcPr>
            <w:tcW w:w="3686" w:type="dxa"/>
            <w:vMerge w:val="restart"/>
            <w:tcBorders>
              <w:top w:val="single" w:sz="4" w:space="0" w:color="auto"/>
              <w:left w:val="nil"/>
              <w:right w:val="single" w:sz="4" w:space="0" w:color="auto"/>
            </w:tcBorders>
            <w:shd w:val="clear" w:color="auto" w:fill="auto"/>
            <w:vAlign w:val="center"/>
            <w:hideMark/>
          </w:tcPr>
          <w:p w14:paraId="3984D8E6" w14:textId="412657F1" w:rsidR="00C41CC1" w:rsidRPr="00191ACB" w:rsidRDefault="00C41CC1" w:rsidP="00C359C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Third National Communication</w:t>
            </w:r>
            <w:r w:rsidR="00B512FB"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(TNC)</w:t>
            </w:r>
          </w:p>
        </w:tc>
        <w:tc>
          <w:tcPr>
            <w:tcW w:w="3402" w:type="dxa"/>
            <w:vMerge w:val="restart"/>
            <w:tcBorders>
              <w:top w:val="single" w:sz="4" w:space="0" w:color="auto"/>
              <w:left w:val="nil"/>
              <w:right w:val="single" w:sz="4" w:space="0" w:color="auto"/>
            </w:tcBorders>
            <w:shd w:val="clear" w:color="auto" w:fill="auto"/>
            <w:vAlign w:val="center"/>
            <w:hideMark/>
          </w:tcPr>
          <w:p w14:paraId="3881BC48" w14:textId="7DAB6A02" w:rsidR="00C41CC1" w:rsidRPr="00191ACB" w:rsidRDefault="00C41CC1" w:rsidP="00C359C5">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Biennial Update Report (BUR)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20EFFE"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Difference</w:t>
            </w:r>
          </w:p>
        </w:tc>
        <w:tc>
          <w:tcPr>
            <w:tcW w:w="595" w:type="dxa"/>
            <w:tcBorders>
              <w:top w:val="single" w:sz="4" w:space="0" w:color="auto"/>
              <w:left w:val="nil"/>
              <w:bottom w:val="single" w:sz="4" w:space="0" w:color="auto"/>
              <w:right w:val="single" w:sz="4" w:space="0" w:color="auto"/>
            </w:tcBorders>
            <w:shd w:val="clear" w:color="auto" w:fill="auto"/>
            <w:vAlign w:val="center"/>
            <w:hideMark/>
          </w:tcPr>
          <w:p w14:paraId="5EA3DB4F"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w:t>
            </w:r>
          </w:p>
        </w:tc>
      </w:tr>
      <w:tr w:rsidR="00C359C5" w:rsidRPr="00191ACB" w14:paraId="01E7DBCD" w14:textId="77777777" w:rsidTr="00C359C5">
        <w:trPr>
          <w:trHeight w:val="58"/>
        </w:trPr>
        <w:tc>
          <w:tcPr>
            <w:tcW w:w="709" w:type="dxa"/>
            <w:vMerge/>
            <w:tcBorders>
              <w:left w:val="single" w:sz="4" w:space="0" w:color="auto"/>
              <w:bottom w:val="single" w:sz="4" w:space="0" w:color="auto"/>
              <w:right w:val="single" w:sz="4" w:space="0" w:color="auto"/>
            </w:tcBorders>
            <w:shd w:val="clear" w:color="auto" w:fill="auto"/>
            <w:noWrap/>
            <w:vAlign w:val="center"/>
            <w:hideMark/>
          </w:tcPr>
          <w:p w14:paraId="497E2395" w14:textId="77777777" w:rsidR="00C41CC1" w:rsidRPr="00191ACB" w:rsidRDefault="00C41CC1" w:rsidP="007C135A">
            <w:pPr>
              <w:pStyle w:val="NoSpacing"/>
              <w:rPr>
                <w:rFonts w:ascii="Times New Roman" w:hAnsi="Times New Roman" w:cs="Times New Roman"/>
                <w:color w:val="000000" w:themeColor="text1"/>
                <w:sz w:val="24"/>
                <w:szCs w:val="24"/>
              </w:rPr>
            </w:pPr>
          </w:p>
        </w:tc>
        <w:tc>
          <w:tcPr>
            <w:tcW w:w="3686" w:type="dxa"/>
            <w:vMerge/>
            <w:tcBorders>
              <w:left w:val="nil"/>
              <w:bottom w:val="single" w:sz="4" w:space="0" w:color="auto"/>
              <w:right w:val="single" w:sz="4" w:space="0" w:color="auto"/>
            </w:tcBorders>
            <w:shd w:val="clear" w:color="auto" w:fill="auto"/>
            <w:noWrap/>
            <w:hideMark/>
          </w:tcPr>
          <w:p w14:paraId="0727D6E3" w14:textId="77777777" w:rsidR="00C41CC1" w:rsidRPr="00191ACB" w:rsidRDefault="00C41CC1" w:rsidP="007C135A">
            <w:pPr>
              <w:pStyle w:val="NoSpacing"/>
              <w:rPr>
                <w:rFonts w:ascii="Times New Roman" w:hAnsi="Times New Roman" w:cs="Times New Roman"/>
                <w:color w:val="000000" w:themeColor="text1"/>
                <w:sz w:val="24"/>
                <w:szCs w:val="24"/>
              </w:rPr>
            </w:pPr>
          </w:p>
        </w:tc>
        <w:tc>
          <w:tcPr>
            <w:tcW w:w="3402" w:type="dxa"/>
            <w:vMerge/>
            <w:tcBorders>
              <w:left w:val="nil"/>
              <w:bottom w:val="single" w:sz="4" w:space="0" w:color="auto"/>
              <w:right w:val="single" w:sz="4" w:space="0" w:color="auto"/>
            </w:tcBorders>
            <w:shd w:val="clear" w:color="auto" w:fill="auto"/>
            <w:noWrap/>
            <w:vAlign w:val="center"/>
            <w:hideMark/>
          </w:tcPr>
          <w:p w14:paraId="1E6B6815" w14:textId="77777777" w:rsidR="00C41CC1" w:rsidRPr="00191ACB" w:rsidRDefault="00C41CC1" w:rsidP="007C135A">
            <w:pPr>
              <w:pStyle w:val="NoSpacing"/>
              <w:rPr>
                <w:rFonts w:ascii="Times New Roman" w:hAnsi="Times New Roman" w:cs="Times New Roman"/>
                <w:color w:val="000000" w:themeColor="text1"/>
                <w:sz w:val="24"/>
                <w:szCs w:val="24"/>
              </w:rPr>
            </w:pPr>
          </w:p>
        </w:tc>
        <w:tc>
          <w:tcPr>
            <w:tcW w:w="1134" w:type="dxa"/>
            <w:tcBorders>
              <w:top w:val="nil"/>
              <w:left w:val="nil"/>
              <w:bottom w:val="single" w:sz="4" w:space="0" w:color="auto"/>
              <w:right w:val="single" w:sz="4" w:space="0" w:color="auto"/>
            </w:tcBorders>
            <w:shd w:val="clear" w:color="auto" w:fill="auto"/>
            <w:noWrap/>
            <w:vAlign w:val="center"/>
            <w:hideMark/>
          </w:tcPr>
          <w:p w14:paraId="1984A827"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w:t>
            </w:r>
          </w:p>
        </w:tc>
        <w:tc>
          <w:tcPr>
            <w:tcW w:w="595" w:type="dxa"/>
            <w:tcBorders>
              <w:top w:val="nil"/>
              <w:left w:val="nil"/>
              <w:bottom w:val="single" w:sz="4" w:space="0" w:color="auto"/>
              <w:right w:val="single" w:sz="4" w:space="0" w:color="auto"/>
            </w:tcBorders>
            <w:shd w:val="clear" w:color="auto" w:fill="auto"/>
            <w:noWrap/>
            <w:vAlign w:val="center"/>
            <w:hideMark/>
          </w:tcPr>
          <w:p w14:paraId="11338E54"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w:t>
            </w:r>
          </w:p>
        </w:tc>
      </w:tr>
      <w:tr w:rsidR="00C359C5" w:rsidRPr="00191ACB" w14:paraId="7EACD789" w14:textId="77777777" w:rsidTr="00C359C5">
        <w:trPr>
          <w:trHeight w:val="312"/>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6E7EC30"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1994</w:t>
            </w:r>
          </w:p>
        </w:tc>
        <w:tc>
          <w:tcPr>
            <w:tcW w:w="3686" w:type="dxa"/>
            <w:tcBorders>
              <w:top w:val="nil"/>
              <w:left w:val="nil"/>
              <w:bottom w:val="single" w:sz="4" w:space="0" w:color="auto"/>
              <w:right w:val="single" w:sz="4" w:space="0" w:color="auto"/>
            </w:tcBorders>
            <w:shd w:val="clear" w:color="auto" w:fill="auto"/>
            <w:noWrap/>
            <w:vAlign w:val="bottom"/>
            <w:hideMark/>
          </w:tcPr>
          <w:p w14:paraId="7A5CC76D"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431.2</w:t>
            </w:r>
          </w:p>
        </w:tc>
        <w:tc>
          <w:tcPr>
            <w:tcW w:w="3402" w:type="dxa"/>
            <w:tcBorders>
              <w:top w:val="nil"/>
              <w:left w:val="nil"/>
              <w:bottom w:val="single" w:sz="4" w:space="0" w:color="auto"/>
              <w:right w:val="single" w:sz="4" w:space="0" w:color="auto"/>
            </w:tcBorders>
            <w:shd w:val="clear" w:color="auto" w:fill="auto"/>
            <w:noWrap/>
            <w:vAlign w:val="center"/>
            <w:hideMark/>
          </w:tcPr>
          <w:p w14:paraId="545B9735"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428.5</w:t>
            </w:r>
          </w:p>
        </w:tc>
        <w:tc>
          <w:tcPr>
            <w:tcW w:w="1134" w:type="dxa"/>
            <w:tcBorders>
              <w:top w:val="nil"/>
              <w:left w:val="nil"/>
              <w:bottom w:val="single" w:sz="4" w:space="0" w:color="auto"/>
              <w:right w:val="single" w:sz="4" w:space="0" w:color="auto"/>
            </w:tcBorders>
            <w:shd w:val="clear" w:color="auto" w:fill="auto"/>
            <w:noWrap/>
            <w:vAlign w:val="center"/>
            <w:hideMark/>
          </w:tcPr>
          <w:p w14:paraId="58C4BAC6"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-2.7</w:t>
            </w:r>
          </w:p>
        </w:tc>
        <w:tc>
          <w:tcPr>
            <w:tcW w:w="595" w:type="dxa"/>
            <w:tcBorders>
              <w:top w:val="nil"/>
              <w:left w:val="nil"/>
              <w:bottom w:val="single" w:sz="4" w:space="0" w:color="auto"/>
              <w:right w:val="single" w:sz="4" w:space="0" w:color="auto"/>
            </w:tcBorders>
            <w:shd w:val="clear" w:color="auto" w:fill="auto"/>
            <w:noWrap/>
            <w:vAlign w:val="center"/>
            <w:hideMark/>
          </w:tcPr>
          <w:p w14:paraId="0E3E14B3"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-0.6</w:t>
            </w:r>
          </w:p>
        </w:tc>
      </w:tr>
      <w:tr w:rsidR="00C359C5" w:rsidRPr="00191ACB" w14:paraId="74EAED5E" w14:textId="77777777" w:rsidTr="00C359C5">
        <w:trPr>
          <w:trHeight w:val="312"/>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7D5B208"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2000</w:t>
            </w:r>
          </w:p>
        </w:tc>
        <w:tc>
          <w:tcPr>
            <w:tcW w:w="3686" w:type="dxa"/>
            <w:tcBorders>
              <w:top w:val="nil"/>
              <w:left w:val="nil"/>
              <w:bottom w:val="single" w:sz="4" w:space="0" w:color="auto"/>
              <w:right w:val="single" w:sz="4" w:space="0" w:color="auto"/>
            </w:tcBorders>
            <w:shd w:val="clear" w:color="auto" w:fill="auto"/>
            <w:noWrap/>
            <w:vAlign w:val="bottom"/>
            <w:hideMark/>
          </w:tcPr>
          <w:p w14:paraId="6C1BC222"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1091.0</w:t>
            </w:r>
          </w:p>
        </w:tc>
        <w:tc>
          <w:tcPr>
            <w:tcW w:w="3402" w:type="dxa"/>
            <w:tcBorders>
              <w:top w:val="nil"/>
              <w:left w:val="nil"/>
              <w:bottom w:val="single" w:sz="4" w:space="0" w:color="auto"/>
              <w:right w:val="single" w:sz="4" w:space="0" w:color="auto"/>
            </w:tcBorders>
            <w:shd w:val="clear" w:color="auto" w:fill="auto"/>
            <w:noWrap/>
            <w:vAlign w:val="center"/>
            <w:hideMark/>
          </w:tcPr>
          <w:p w14:paraId="7FF37B66"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1086</w:t>
            </w:r>
          </w:p>
        </w:tc>
        <w:tc>
          <w:tcPr>
            <w:tcW w:w="1134" w:type="dxa"/>
            <w:tcBorders>
              <w:top w:val="nil"/>
              <w:left w:val="nil"/>
              <w:bottom w:val="single" w:sz="4" w:space="0" w:color="auto"/>
              <w:right w:val="single" w:sz="4" w:space="0" w:color="auto"/>
            </w:tcBorders>
            <w:shd w:val="clear" w:color="auto" w:fill="auto"/>
            <w:noWrap/>
            <w:vAlign w:val="center"/>
            <w:hideMark/>
          </w:tcPr>
          <w:p w14:paraId="3AD1EB5F"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-5.0</w:t>
            </w:r>
          </w:p>
        </w:tc>
        <w:tc>
          <w:tcPr>
            <w:tcW w:w="595" w:type="dxa"/>
            <w:tcBorders>
              <w:top w:val="nil"/>
              <w:left w:val="nil"/>
              <w:bottom w:val="single" w:sz="4" w:space="0" w:color="auto"/>
              <w:right w:val="single" w:sz="4" w:space="0" w:color="auto"/>
            </w:tcBorders>
            <w:shd w:val="clear" w:color="auto" w:fill="auto"/>
            <w:noWrap/>
            <w:vAlign w:val="center"/>
            <w:hideMark/>
          </w:tcPr>
          <w:p w14:paraId="223F63F8"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-0.5</w:t>
            </w:r>
          </w:p>
        </w:tc>
      </w:tr>
      <w:tr w:rsidR="00C359C5" w:rsidRPr="00191ACB" w14:paraId="59140533" w14:textId="77777777" w:rsidTr="00C359C5">
        <w:trPr>
          <w:trHeight w:val="312"/>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3A12BE7"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2005</w:t>
            </w:r>
          </w:p>
        </w:tc>
        <w:tc>
          <w:tcPr>
            <w:tcW w:w="3686" w:type="dxa"/>
            <w:tcBorders>
              <w:top w:val="nil"/>
              <w:left w:val="nil"/>
              <w:bottom w:val="single" w:sz="4" w:space="0" w:color="auto"/>
              <w:right w:val="single" w:sz="4" w:space="0" w:color="auto"/>
            </w:tcBorders>
            <w:shd w:val="clear" w:color="auto" w:fill="auto"/>
            <w:noWrap/>
            <w:vAlign w:val="bottom"/>
            <w:hideMark/>
          </w:tcPr>
          <w:p w14:paraId="091E2765"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1375.6</w:t>
            </w:r>
          </w:p>
        </w:tc>
        <w:tc>
          <w:tcPr>
            <w:tcW w:w="3402" w:type="dxa"/>
            <w:tcBorders>
              <w:top w:val="nil"/>
              <w:left w:val="nil"/>
              <w:bottom w:val="single" w:sz="4" w:space="0" w:color="auto"/>
              <w:right w:val="single" w:sz="4" w:space="0" w:color="auto"/>
            </w:tcBorders>
            <w:shd w:val="clear" w:color="auto" w:fill="auto"/>
            <w:noWrap/>
            <w:vAlign w:val="center"/>
            <w:hideMark/>
          </w:tcPr>
          <w:p w14:paraId="64DA0583"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1318</w:t>
            </w:r>
          </w:p>
        </w:tc>
        <w:tc>
          <w:tcPr>
            <w:tcW w:w="1134" w:type="dxa"/>
            <w:tcBorders>
              <w:top w:val="nil"/>
              <w:left w:val="nil"/>
              <w:bottom w:val="single" w:sz="4" w:space="0" w:color="auto"/>
              <w:right w:val="single" w:sz="4" w:space="0" w:color="auto"/>
            </w:tcBorders>
            <w:shd w:val="clear" w:color="auto" w:fill="auto"/>
            <w:noWrap/>
            <w:vAlign w:val="center"/>
            <w:hideMark/>
          </w:tcPr>
          <w:p w14:paraId="1B1258CB"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-57.6</w:t>
            </w:r>
          </w:p>
        </w:tc>
        <w:tc>
          <w:tcPr>
            <w:tcW w:w="595" w:type="dxa"/>
            <w:tcBorders>
              <w:top w:val="nil"/>
              <w:left w:val="nil"/>
              <w:bottom w:val="single" w:sz="4" w:space="0" w:color="auto"/>
              <w:right w:val="single" w:sz="4" w:space="0" w:color="auto"/>
            </w:tcBorders>
            <w:shd w:val="clear" w:color="auto" w:fill="auto"/>
            <w:noWrap/>
            <w:vAlign w:val="center"/>
            <w:hideMark/>
          </w:tcPr>
          <w:p w14:paraId="29E5344C"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-4.2</w:t>
            </w:r>
          </w:p>
        </w:tc>
      </w:tr>
      <w:tr w:rsidR="00C359C5" w:rsidRPr="00191ACB" w14:paraId="6B6E2C22" w14:textId="77777777" w:rsidTr="00C359C5">
        <w:trPr>
          <w:trHeight w:val="312"/>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0185B34"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2010</w:t>
            </w:r>
          </w:p>
        </w:tc>
        <w:tc>
          <w:tcPr>
            <w:tcW w:w="3686" w:type="dxa"/>
            <w:tcBorders>
              <w:top w:val="nil"/>
              <w:left w:val="nil"/>
              <w:bottom w:val="single" w:sz="4" w:space="0" w:color="auto"/>
              <w:right w:val="single" w:sz="4" w:space="0" w:color="auto"/>
            </w:tcBorders>
            <w:shd w:val="clear" w:color="auto" w:fill="auto"/>
            <w:noWrap/>
            <w:vAlign w:val="bottom"/>
            <w:hideMark/>
          </w:tcPr>
          <w:p w14:paraId="716FC662"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1621.0</w:t>
            </w:r>
          </w:p>
        </w:tc>
        <w:tc>
          <w:tcPr>
            <w:tcW w:w="3402" w:type="dxa"/>
            <w:tcBorders>
              <w:top w:val="nil"/>
              <w:left w:val="nil"/>
              <w:bottom w:val="single" w:sz="4" w:space="0" w:color="auto"/>
              <w:right w:val="single" w:sz="4" w:space="0" w:color="auto"/>
            </w:tcBorders>
            <w:shd w:val="clear" w:color="auto" w:fill="auto"/>
            <w:noWrap/>
            <w:vAlign w:val="center"/>
            <w:hideMark/>
          </w:tcPr>
          <w:p w14:paraId="681A9E67"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1559</w:t>
            </w:r>
          </w:p>
        </w:tc>
        <w:tc>
          <w:tcPr>
            <w:tcW w:w="1134" w:type="dxa"/>
            <w:tcBorders>
              <w:top w:val="nil"/>
              <w:left w:val="nil"/>
              <w:bottom w:val="single" w:sz="4" w:space="0" w:color="auto"/>
              <w:right w:val="single" w:sz="4" w:space="0" w:color="auto"/>
            </w:tcBorders>
            <w:shd w:val="clear" w:color="auto" w:fill="auto"/>
            <w:noWrap/>
            <w:vAlign w:val="center"/>
            <w:hideMark/>
          </w:tcPr>
          <w:p w14:paraId="603BB88C"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-62.0</w:t>
            </w:r>
          </w:p>
        </w:tc>
        <w:tc>
          <w:tcPr>
            <w:tcW w:w="595" w:type="dxa"/>
            <w:tcBorders>
              <w:top w:val="nil"/>
              <w:left w:val="nil"/>
              <w:bottom w:val="single" w:sz="4" w:space="0" w:color="auto"/>
              <w:right w:val="single" w:sz="4" w:space="0" w:color="auto"/>
            </w:tcBorders>
            <w:shd w:val="clear" w:color="auto" w:fill="auto"/>
            <w:noWrap/>
            <w:vAlign w:val="center"/>
            <w:hideMark/>
          </w:tcPr>
          <w:p w14:paraId="6E23B89C" w14:textId="77777777" w:rsidR="00C41CC1" w:rsidRPr="00191ACB" w:rsidRDefault="00C41CC1"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-3.8</w:t>
            </w:r>
          </w:p>
        </w:tc>
      </w:tr>
    </w:tbl>
    <w:p w14:paraId="23BD2349" w14:textId="095A8BA4" w:rsidR="00C41CC1" w:rsidRPr="00191ACB" w:rsidRDefault="00C41CC1" w:rsidP="00033860">
      <w:pPr>
        <w:pStyle w:val="Heading2"/>
        <w:numPr>
          <w:ilvl w:val="1"/>
          <w:numId w:val="36"/>
        </w:numPr>
        <w:spacing w:after="120" w:line="240" w:lineRule="auto"/>
        <w:ind w:left="851" w:hanging="851"/>
        <w:rPr>
          <w:rFonts w:ascii="Times New Roman" w:hAnsi="Times New Roman" w:cs="Times New Roman"/>
          <w:b/>
          <w:color w:val="000000" w:themeColor="text1"/>
          <w:sz w:val="24"/>
          <w:szCs w:val="24"/>
        </w:rPr>
      </w:pPr>
      <w:r w:rsidRPr="00191ACB">
        <w:rPr>
          <w:rFonts w:ascii="Times New Roman" w:hAnsi="Times New Roman" w:cs="Times New Roman"/>
          <w:color w:val="000000" w:themeColor="text1"/>
          <w:sz w:val="24"/>
          <w:szCs w:val="24"/>
        </w:rPr>
        <w:br w:type="page"/>
      </w:r>
      <w:bookmarkStart w:id="115" w:name="_Toc48427293"/>
      <w:bookmarkStart w:id="116" w:name="_Toc57902821"/>
      <w:r w:rsidR="00FD2421" w:rsidRPr="00191ACB">
        <w:rPr>
          <w:rFonts w:ascii="Times New Roman" w:hAnsi="Times New Roman" w:cs="Times New Roman"/>
          <w:b/>
          <w:color w:val="000000" w:themeColor="text1"/>
          <w:sz w:val="24"/>
          <w:szCs w:val="24"/>
        </w:rPr>
        <w:lastRenderedPageBreak/>
        <w:t>Energy</w:t>
      </w:r>
      <w:bookmarkEnd w:id="115"/>
      <w:bookmarkEnd w:id="116"/>
      <w:r w:rsidRPr="00191ACB">
        <w:rPr>
          <w:rFonts w:ascii="Times New Roman" w:hAnsi="Times New Roman" w:cs="Times New Roman"/>
          <w:b/>
          <w:color w:val="000000" w:themeColor="text1"/>
          <w:sz w:val="24"/>
          <w:szCs w:val="24"/>
        </w:rPr>
        <w:t xml:space="preserve">           </w:t>
      </w:r>
      <w:r w:rsidRPr="00191ACB">
        <w:rPr>
          <w:rFonts w:ascii="Times New Roman" w:hAnsi="Times New Roman" w:cs="Times New Roman"/>
          <w:b/>
          <w:color w:val="000000" w:themeColor="text1"/>
          <w:sz w:val="24"/>
          <w:szCs w:val="24"/>
        </w:rPr>
        <w:tab/>
      </w:r>
    </w:p>
    <w:p w14:paraId="29FF5F58" w14:textId="0E0C77D1" w:rsidR="00C41CC1" w:rsidRPr="00191ACB" w:rsidRDefault="00C41CC1" w:rsidP="0040323D">
      <w:pPr>
        <w:pStyle w:val="Heading3"/>
        <w:numPr>
          <w:ilvl w:val="2"/>
          <w:numId w:val="36"/>
        </w:numPr>
        <w:ind w:left="851" w:hanging="851"/>
      </w:pPr>
      <w:bookmarkStart w:id="117" w:name="_Toc48427294"/>
      <w:bookmarkStart w:id="118" w:name="_Toc57902822"/>
      <w:r w:rsidRPr="00191ACB">
        <w:t>Overview</w:t>
      </w:r>
      <w:bookmarkEnd w:id="117"/>
      <w:bookmarkEnd w:id="118"/>
      <w:r w:rsidRPr="00191ACB">
        <w:t xml:space="preserve"> </w:t>
      </w:r>
    </w:p>
    <w:p w14:paraId="44F972CF" w14:textId="1992E477" w:rsidR="00C41CC1" w:rsidRPr="00191ACB" w:rsidRDefault="00C41CC1" w:rsidP="007917EC">
      <w:pPr>
        <w:spacing w:after="120" w:line="276" w:lineRule="auto"/>
        <w:jc w:val="both"/>
        <w:rPr>
          <w:rFonts w:ascii="Times New Roman" w:eastAsia="Garamond" w:hAnsi="Times New Roman" w:cs="Times New Roman"/>
          <w:color w:val="000000" w:themeColor="text1"/>
          <w:sz w:val="24"/>
          <w:szCs w:val="24"/>
          <w:highlight w:val="white"/>
        </w:rPr>
      </w:pPr>
      <w:r w:rsidRPr="00191ACB">
        <w:rPr>
          <w:rFonts w:ascii="Times New Roman" w:eastAsia="Garamond" w:hAnsi="Times New Roman" w:cs="Times New Roman"/>
          <w:color w:val="000000" w:themeColor="text1"/>
          <w:sz w:val="24"/>
          <w:szCs w:val="24"/>
          <w:highlight w:val="white"/>
        </w:rPr>
        <w:t xml:space="preserve">Zambia is endowed with various sources of energy such as wood fuel, hydropower, coal and renewable energy. </w:t>
      </w:r>
      <w:r w:rsidRPr="00191ACB">
        <w:rPr>
          <w:rFonts w:ascii="Times New Roman" w:eastAsia="Garamond" w:hAnsi="Times New Roman" w:cs="Times New Roman"/>
          <w:color w:val="000000" w:themeColor="text1"/>
          <w:sz w:val="24"/>
          <w:szCs w:val="24"/>
        </w:rPr>
        <w:t xml:space="preserve">Zambia has abundant hydroelectric resources and meets most of its electricity energy needs from its own hydroelectric stations. Installed electricity generation capacity as at 2013 was about 2,000 MW out of which about 1,900 MW was hydropower (ERB, 2013). In 2016, the total installed capacity was 2,827 MW, while the available capacity was 2,730 MW </w:t>
      </w:r>
      <w:r w:rsidR="00792189" w:rsidRPr="00191ACB">
        <w:rPr>
          <w:rFonts w:ascii="Times New Roman" w:eastAsia="Garamond" w:hAnsi="Times New Roman" w:cs="Times New Roman"/>
          <w:color w:val="000000" w:themeColor="text1"/>
          <w:sz w:val="24"/>
          <w:szCs w:val="24"/>
        </w:rPr>
        <w:t>with Hydropower generation accounting for 84.5 percent</w:t>
      </w:r>
      <w:r w:rsidRPr="00191ACB">
        <w:rPr>
          <w:rFonts w:ascii="Times New Roman" w:eastAsia="Garamond" w:hAnsi="Times New Roman" w:cs="Times New Roman"/>
          <w:color w:val="000000" w:themeColor="text1"/>
          <w:sz w:val="24"/>
          <w:szCs w:val="24"/>
        </w:rPr>
        <w:t xml:space="preserve">.  In 2016, national electricity consumption reduced by 5.2 percent; from 11,449.9 GWh in 2015 to 10,857.5 GWh in 2016. In 2013, the national power consumption stood at 10,845 GWh compared to 10,317.4 GWh in 2012, depicting an increase of 5 percent. For the period 2011 to 2012, national consumption increased by 28 percent from 8,037 GWh to 10,317.4 GWh </w:t>
      </w:r>
      <w:r w:rsidR="00204024" w:rsidRPr="00191ACB">
        <w:rPr>
          <w:rFonts w:ascii="Times New Roman" w:eastAsia="Garamond" w:hAnsi="Times New Roman" w:cs="Times New Roman"/>
          <w:color w:val="000000" w:themeColor="text1"/>
          <w:sz w:val="24"/>
          <w:szCs w:val="24"/>
        </w:rPr>
        <w:t>respectively</w:t>
      </w:r>
      <w:r w:rsidRPr="00191ACB">
        <w:rPr>
          <w:rFonts w:ascii="Times New Roman" w:eastAsia="Garamond" w:hAnsi="Times New Roman" w:cs="Times New Roman"/>
          <w:color w:val="000000" w:themeColor="text1"/>
          <w:sz w:val="24"/>
          <w:szCs w:val="24"/>
        </w:rPr>
        <w:t xml:space="preserve">. </w:t>
      </w:r>
    </w:p>
    <w:p w14:paraId="30B63FC0" w14:textId="77777777" w:rsidR="00C41CC1" w:rsidRPr="00191ACB" w:rsidRDefault="00C41CC1" w:rsidP="007917EC">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Cardo" w:hAnsi="Times New Roman" w:cs="Times New Roman"/>
          <w:color w:val="000000" w:themeColor="text1"/>
          <w:sz w:val="24"/>
          <w:szCs w:val="24"/>
        </w:rPr>
        <w:t>In 2015, Zambia experienced low power generation mainly due to the low rainfall experienced during the 2014/2015 rainy season. The resultant deﬁcit rose from about 560 MW in April 2015 to 1,000 MW in December 2015. The power supply improved in mid-2016 owing to the commissioning of new generation power plants (300 MW Maamba Coal power plant and the 120 MW Itezhi-Tezhi hydropower plant), increased power imports and an increase in hydropower generation as a result of better rains experienced in 2016/2017 rainy season. By the end of 2016 the deﬁcit had reduced to 526 MW (ERB, 2016).</w:t>
      </w:r>
    </w:p>
    <w:p w14:paraId="5AB86657" w14:textId="27D9B09A" w:rsidR="00C41CC1" w:rsidRPr="00191ACB" w:rsidRDefault="00C41CC1" w:rsidP="007917EC">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The consumption of fuel at national level, between the periods 2007 to 2013, generally increased. Specifically, between 2012 and 2013, consumption increased by 3 percent, from 1,035,006MT to 1,067,460MT. Annual consumption of diesel, petrol and kerosene for the year 2012 was as follows: diesel (675,756 MT); petrol (234,224 MT); and kerosene (14,669 MT). Similarly</w:t>
      </w:r>
      <w:r w:rsidR="000C24F2" w:rsidRPr="00191ACB">
        <w:rPr>
          <w:rFonts w:ascii="Times New Roman" w:eastAsia="Garamond" w:hAnsi="Times New Roman" w:cs="Times New Roman"/>
          <w:color w:val="000000" w:themeColor="text1"/>
          <w:sz w:val="24"/>
          <w:szCs w:val="24"/>
        </w:rPr>
        <w:t>,</w:t>
      </w:r>
      <w:r w:rsidRPr="00191ACB">
        <w:rPr>
          <w:rFonts w:ascii="Times New Roman" w:eastAsia="Garamond" w:hAnsi="Times New Roman" w:cs="Times New Roman"/>
          <w:color w:val="000000" w:themeColor="text1"/>
          <w:sz w:val="24"/>
          <w:szCs w:val="24"/>
        </w:rPr>
        <w:t xml:space="preserve"> in 2013 consumption was: diesel (676,078 MT); petrol (275,604 MT); and kerosene (12,315 MT). </w:t>
      </w:r>
      <w:r w:rsidR="00204024" w:rsidRPr="00191ACB">
        <w:rPr>
          <w:rFonts w:ascii="Times New Roman" w:eastAsia="Garamond" w:hAnsi="Times New Roman" w:cs="Times New Roman"/>
          <w:color w:val="000000" w:themeColor="text1"/>
          <w:sz w:val="24"/>
          <w:szCs w:val="24"/>
        </w:rPr>
        <w:t xml:space="preserve">During the same period, </w:t>
      </w:r>
      <w:r w:rsidRPr="00191ACB">
        <w:rPr>
          <w:rFonts w:ascii="Times New Roman" w:eastAsia="Garamond" w:hAnsi="Times New Roman" w:cs="Times New Roman"/>
          <w:color w:val="000000" w:themeColor="text1"/>
          <w:sz w:val="24"/>
          <w:szCs w:val="24"/>
        </w:rPr>
        <w:t>annual consumption for diesel</w:t>
      </w:r>
      <w:r w:rsidR="00204024" w:rsidRPr="00191ACB">
        <w:rPr>
          <w:rFonts w:ascii="Times New Roman" w:eastAsia="Garamond" w:hAnsi="Times New Roman" w:cs="Times New Roman"/>
          <w:color w:val="000000" w:themeColor="text1"/>
          <w:sz w:val="24"/>
          <w:szCs w:val="24"/>
        </w:rPr>
        <w:t>,</w:t>
      </w:r>
      <w:r w:rsidRPr="00191ACB">
        <w:rPr>
          <w:rFonts w:ascii="Times New Roman" w:eastAsia="Garamond" w:hAnsi="Times New Roman" w:cs="Times New Roman"/>
          <w:color w:val="000000" w:themeColor="text1"/>
          <w:sz w:val="24"/>
          <w:szCs w:val="24"/>
        </w:rPr>
        <w:t xml:space="preserve"> petrol</w:t>
      </w:r>
      <w:r w:rsidR="00204024" w:rsidRPr="00191ACB">
        <w:rPr>
          <w:rFonts w:ascii="Times New Roman" w:eastAsia="Garamond" w:hAnsi="Times New Roman" w:cs="Times New Roman"/>
          <w:color w:val="000000" w:themeColor="text1"/>
          <w:sz w:val="24"/>
          <w:szCs w:val="24"/>
        </w:rPr>
        <w:t xml:space="preserve"> and Jet A1</w:t>
      </w:r>
      <w:r w:rsidRPr="00191ACB">
        <w:rPr>
          <w:rFonts w:ascii="Times New Roman" w:eastAsia="Garamond" w:hAnsi="Times New Roman" w:cs="Times New Roman"/>
          <w:color w:val="000000" w:themeColor="text1"/>
          <w:sz w:val="24"/>
          <w:szCs w:val="24"/>
        </w:rPr>
        <w:t xml:space="preserve"> </w:t>
      </w:r>
      <w:r w:rsidR="00204024" w:rsidRPr="00191ACB">
        <w:rPr>
          <w:rFonts w:ascii="Times New Roman" w:eastAsia="Garamond" w:hAnsi="Times New Roman" w:cs="Times New Roman"/>
          <w:color w:val="000000" w:themeColor="text1"/>
          <w:sz w:val="24"/>
          <w:szCs w:val="24"/>
        </w:rPr>
        <w:t xml:space="preserve">increased by </w:t>
      </w:r>
      <w:r w:rsidRPr="00191ACB">
        <w:rPr>
          <w:rFonts w:ascii="Times New Roman" w:eastAsia="Garamond" w:hAnsi="Times New Roman" w:cs="Times New Roman"/>
          <w:color w:val="000000" w:themeColor="text1"/>
          <w:sz w:val="24"/>
          <w:szCs w:val="24"/>
        </w:rPr>
        <w:t>0.05</w:t>
      </w:r>
      <w:r w:rsidR="00204024" w:rsidRPr="00191ACB">
        <w:rPr>
          <w:rFonts w:ascii="Times New Roman" w:eastAsia="Garamond" w:hAnsi="Times New Roman" w:cs="Times New Roman"/>
          <w:color w:val="000000" w:themeColor="text1"/>
          <w:sz w:val="24"/>
          <w:szCs w:val="24"/>
        </w:rPr>
        <w:t>,</w:t>
      </w:r>
      <w:r w:rsidRPr="00191ACB">
        <w:rPr>
          <w:rFonts w:ascii="Times New Roman" w:eastAsia="Garamond" w:hAnsi="Times New Roman" w:cs="Times New Roman"/>
          <w:color w:val="000000" w:themeColor="text1"/>
          <w:sz w:val="24"/>
          <w:szCs w:val="24"/>
        </w:rPr>
        <w:t xml:space="preserve"> 17.7</w:t>
      </w:r>
      <w:r w:rsidR="00204024" w:rsidRPr="00191ACB">
        <w:rPr>
          <w:rFonts w:ascii="Times New Roman" w:eastAsia="Garamond" w:hAnsi="Times New Roman" w:cs="Times New Roman"/>
          <w:color w:val="000000" w:themeColor="text1"/>
          <w:sz w:val="24"/>
          <w:szCs w:val="24"/>
        </w:rPr>
        <w:t xml:space="preserve"> and 0.3 percent respectively </w:t>
      </w:r>
      <w:r w:rsidRPr="00191ACB">
        <w:rPr>
          <w:rFonts w:ascii="Times New Roman" w:eastAsia="Garamond" w:hAnsi="Times New Roman" w:cs="Times New Roman"/>
          <w:color w:val="000000" w:themeColor="text1"/>
          <w:sz w:val="24"/>
          <w:szCs w:val="24"/>
        </w:rPr>
        <w:t>while the consumption of kerosene</w:t>
      </w:r>
      <w:r w:rsidR="00204024" w:rsidRPr="00191ACB">
        <w:rPr>
          <w:rFonts w:ascii="Times New Roman" w:eastAsia="Garamond" w:hAnsi="Times New Roman" w:cs="Times New Roman"/>
          <w:color w:val="000000" w:themeColor="text1"/>
          <w:sz w:val="24"/>
          <w:szCs w:val="24"/>
        </w:rPr>
        <w:t xml:space="preserve"> and HFO </w:t>
      </w:r>
      <w:r w:rsidRPr="00191ACB">
        <w:rPr>
          <w:rFonts w:ascii="Times New Roman" w:eastAsia="Garamond" w:hAnsi="Times New Roman" w:cs="Times New Roman"/>
          <w:color w:val="000000" w:themeColor="text1"/>
          <w:sz w:val="24"/>
          <w:szCs w:val="24"/>
        </w:rPr>
        <w:t>d</w:t>
      </w:r>
      <w:r w:rsidR="00204024" w:rsidRPr="00191ACB">
        <w:rPr>
          <w:rFonts w:ascii="Times New Roman" w:eastAsia="Garamond" w:hAnsi="Times New Roman" w:cs="Times New Roman"/>
          <w:color w:val="000000" w:themeColor="text1"/>
          <w:sz w:val="24"/>
          <w:szCs w:val="24"/>
        </w:rPr>
        <w:t xml:space="preserve">ecreased by </w:t>
      </w:r>
      <w:r w:rsidRPr="00191ACB">
        <w:rPr>
          <w:rFonts w:ascii="Times New Roman" w:eastAsia="Garamond" w:hAnsi="Times New Roman" w:cs="Times New Roman"/>
          <w:color w:val="000000" w:themeColor="text1"/>
          <w:sz w:val="24"/>
          <w:szCs w:val="24"/>
        </w:rPr>
        <w:t>15.8</w:t>
      </w:r>
      <w:r w:rsidR="00204024" w:rsidRPr="00191ACB">
        <w:rPr>
          <w:rFonts w:ascii="Times New Roman" w:eastAsia="Garamond" w:hAnsi="Times New Roman" w:cs="Times New Roman"/>
          <w:color w:val="000000" w:themeColor="text1"/>
          <w:sz w:val="24"/>
          <w:szCs w:val="24"/>
        </w:rPr>
        <w:t xml:space="preserve">1 percent and </w:t>
      </w:r>
      <w:r w:rsidRPr="00191ACB">
        <w:rPr>
          <w:rFonts w:ascii="Times New Roman" w:eastAsia="Garamond" w:hAnsi="Times New Roman" w:cs="Times New Roman"/>
          <w:color w:val="000000" w:themeColor="text1"/>
          <w:sz w:val="24"/>
          <w:szCs w:val="24"/>
        </w:rPr>
        <w:t>HFO recorded a 15.7 percent</w:t>
      </w:r>
      <w:r w:rsidR="00204024" w:rsidRPr="00191ACB">
        <w:rPr>
          <w:rFonts w:ascii="Times New Roman" w:eastAsia="Garamond" w:hAnsi="Times New Roman" w:cs="Times New Roman"/>
          <w:color w:val="000000" w:themeColor="text1"/>
          <w:sz w:val="24"/>
          <w:szCs w:val="24"/>
        </w:rPr>
        <w:t xml:space="preserve"> respectively</w:t>
      </w:r>
      <w:r w:rsidRPr="00191ACB">
        <w:rPr>
          <w:rFonts w:ascii="Times New Roman" w:eastAsia="Garamond" w:hAnsi="Times New Roman" w:cs="Times New Roman"/>
          <w:color w:val="000000" w:themeColor="text1"/>
          <w:sz w:val="24"/>
          <w:szCs w:val="24"/>
        </w:rPr>
        <w:t xml:space="preserve"> (ERB, 2013). </w:t>
      </w:r>
    </w:p>
    <w:p w14:paraId="48863B66" w14:textId="77777777" w:rsidR="00FB59E0" w:rsidRPr="00191ACB" w:rsidRDefault="00FB59E0" w:rsidP="005E626A">
      <w:pPr>
        <w:spacing w:after="120" w:line="240" w:lineRule="auto"/>
        <w:jc w:val="both"/>
        <w:rPr>
          <w:rFonts w:ascii="Times New Roman" w:eastAsia="Garamond" w:hAnsi="Times New Roman" w:cs="Times New Roman"/>
          <w:color w:val="000000" w:themeColor="text1"/>
          <w:sz w:val="24"/>
          <w:szCs w:val="24"/>
        </w:rPr>
      </w:pPr>
    </w:p>
    <w:p w14:paraId="6F3AFD48" w14:textId="7A63AC1D" w:rsidR="00C41CC1" w:rsidRPr="00191ACB" w:rsidRDefault="00C41CC1" w:rsidP="0040323D">
      <w:pPr>
        <w:pStyle w:val="Heading3"/>
        <w:numPr>
          <w:ilvl w:val="2"/>
          <w:numId w:val="36"/>
        </w:numPr>
        <w:ind w:left="851" w:hanging="851"/>
        <w:rPr>
          <w:rFonts w:cs="Times New Roman"/>
          <w:b w:val="0"/>
          <w:color w:val="000000" w:themeColor="text1"/>
          <w:szCs w:val="24"/>
        </w:rPr>
      </w:pPr>
      <w:bookmarkStart w:id="119" w:name="_1mrcu09" w:colFirst="0" w:colLast="0"/>
      <w:bookmarkStart w:id="120" w:name="_Toc48427295"/>
      <w:bookmarkStart w:id="121" w:name="_Toc57902823"/>
      <w:bookmarkEnd w:id="119"/>
      <w:r w:rsidRPr="0040323D">
        <w:t>Emissions</w:t>
      </w:r>
      <w:r w:rsidRPr="00191ACB">
        <w:rPr>
          <w:rFonts w:cs="Times New Roman"/>
          <w:b w:val="0"/>
          <w:color w:val="000000" w:themeColor="text1"/>
          <w:szCs w:val="24"/>
        </w:rPr>
        <w:t xml:space="preserve"> </w:t>
      </w:r>
      <w:r w:rsidR="003E52C4" w:rsidRPr="0040323D">
        <w:t>Based</w:t>
      </w:r>
      <w:r w:rsidR="003E52C4" w:rsidRPr="00191ACB">
        <w:rPr>
          <w:rFonts w:cs="Times New Roman"/>
          <w:b w:val="0"/>
          <w:color w:val="000000" w:themeColor="text1"/>
          <w:szCs w:val="24"/>
        </w:rPr>
        <w:t xml:space="preserve"> </w:t>
      </w:r>
      <w:r w:rsidR="003E52C4" w:rsidRPr="0040323D">
        <w:t>on</w:t>
      </w:r>
      <w:r w:rsidR="003E52C4" w:rsidRPr="00191ACB">
        <w:rPr>
          <w:rFonts w:cs="Times New Roman"/>
          <w:b w:val="0"/>
          <w:color w:val="000000" w:themeColor="text1"/>
          <w:szCs w:val="24"/>
        </w:rPr>
        <w:t xml:space="preserve"> </w:t>
      </w:r>
      <w:r w:rsidRPr="0040323D">
        <w:t>Reference</w:t>
      </w:r>
      <w:r w:rsidRPr="00191ACB">
        <w:rPr>
          <w:rFonts w:cs="Times New Roman"/>
          <w:b w:val="0"/>
          <w:color w:val="000000" w:themeColor="text1"/>
          <w:szCs w:val="24"/>
        </w:rPr>
        <w:t xml:space="preserve"> </w:t>
      </w:r>
      <w:r w:rsidR="003E52C4" w:rsidRPr="0040323D">
        <w:t>Approach</w:t>
      </w:r>
      <w:bookmarkEnd w:id="120"/>
      <w:bookmarkEnd w:id="121"/>
    </w:p>
    <w:p w14:paraId="45139FA7" w14:textId="518017EF" w:rsidR="00C41CC1" w:rsidRPr="00191ACB" w:rsidRDefault="00C41CC1" w:rsidP="007917EC">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Reference approach was used to estimate the CO</w:t>
      </w:r>
      <w:r w:rsidRPr="00191ACB">
        <w:rPr>
          <w:rFonts w:ascii="Times New Roman" w:eastAsia="Garamond" w:hAnsi="Times New Roman" w:cs="Times New Roman"/>
          <w:color w:val="000000" w:themeColor="text1"/>
          <w:sz w:val="24"/>
          <w:szCs w:val="24"/>
          <w:vertAlign w:val="subscript"/>
        </w:rPr>
        <w:t>2</w:t>
      </w:r>
      <w:r w:rsidRPr="00191ACB">
        <w:rPr>
          <w:rFonts w:ascii="Times New Roman" w:eastAsia="Garamond" w:hAnsi="Times New Roman" w:cs="Times New Roman"/>
          <w:color w:val="000000" w:themeColor="text1"/>
          <w:sz w:val="24"/>
          <w:szCs w:val="24"/>
        </w:rPr>
        <w:t xml:space="preserve"> emissions of the energy sector for the years 1994, 2000, 2005, 2010 and 2011 to 2016. Table </w:t>
      </w:r>
      <w:r w:rsidR="00C34ED5" w:rsidRPr="00191ACB">
        <w:rPr>
          <w:rFonts w:ascii="Times New Roman" w:eastAsia="Garamond" w:hAnsi="Times New Roman" w:cs="Times New Roman"/>
          <w:color w:val="000000" w:themeColor="text1"/>
          <w:sz w:val="24"/>
          <w:szCs w:val="24"/>
        </w:rPr>
        <w:t>3.8</w:t>
      </w:r>
      <w:r w:rsidRPr="00191ACB">
        <w:rPr>
          <w:rFonts w:ascii="Times New Roman" w:eastAsia="Garamond" w:hAnsi="Times New Roman" w:cs="Times New Roman"/>
          <w:color w:val="000000" w:themeColor="text1"/>
          <w:sz w:val="24"/>
          <w:szCs w:val="24"/>
        </w:rPr>
        <w:t xml:space="preserve"> provides is a comparison of CO</w:t>
      </w:r>
      <w:r w:rsidRPr="00191ACB">
        <w:rPr>
          <w:rFonts w:ascii="Times New Roman" w:eastAsia="Garamond" w:hAnsi="Times New Roman" w:cs="Times New Roman"/>
          <w:color w:val="000000" w:themeColor="text1"/>
          <w:sz w:val="24"/>
          <w:szCs w:val="24"/>
          <w:vertAlign w:val="subscript"/>
        </w:rPr>
        <w:t>2</w:t>
      </w:r>
      <w:r w:rsidRPr="00191ACB">
        <w:rPr>
          <w:rFonts w:ascii="Times New Roman" w:eastAsia="Garamond" w:hAnsi="Times New Roman" w:cs="Times New Roman"/>
          <w:color w:val="000000" w:themeColor="text1"/>
          <w:sz w:val="24"/>
          <w:szCs w:val="24"/>
        </w:rPr>
        <w:t xml:space="preserve"> emissions between Sectoral and Reference approach for 2016.</w:t>
      </w:r>
    </w:p>
    <w:p w14:paraId="4559FF38" w14:textId="1DC0E345" w:rsidR="00DD4253" w:rsidRPr="00191ACB" w:rsidRDefault="00DD4253">
      <w:pPr>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br w:type="page"/>
      </w:r>
    </w:p>
    <w:p w14:paraId="710482DC" w14:textId="7E316C9D" w:rsidR="00C41CC1" w:rsidRPr="00191ACB" w:rsidRDefault="00C34ED5" w:rsidP="00C34ED5">
      <w:pPr>
        <w:pStyle w:val="Caption"/>
        <w:rPr>
          <w:sz w:val="24"/>
          <w:szCs w:val="24"/>
        </w:rPr>
      </w:pPr>
      <w:bookmarkStart w:id="122" w:name="_46r0co2" w:colFirst="0" w:colLast="0"/>
      <w:bookmarkStart w:id="123" w:name="_Toc56583769"/>
      <w:bookmarkEnd w:id="122"/>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8</w:t>
      </w:r>
      <w:r w:rsidR="00875942">
        <w:rPr>
          <w:sz w:val="24"/>
          <w:szCs w:val="24"/>
        </w:rPr>
        <w:fldChar w:fldCharType="end"/>
      </w:r>
      <w:r w:rsidRPr="00191ACB">
        <w:rPr>
          <w:sz w:val="24"/>
          <w:szCs w:val="24"/>
        </w:rPr>
        <w:t>:Comparison of CO2 emissions between Sectoral and Reference approach for 2016</w:t>
      </w:r>
      <w:bookmarkEnd w:id="123"/>
    </w:p>
    <w:tbl>
      <w:tblPr>
        <w:tblW w:w="9776" w:type="dxa"/>
        <w:tblLayout w:type="fixed"/>
        <w:tblLook w:val="0400" w:firstRow="0" w:lastRow="0" w:firstColumn="0" w:lastColumn="0" w:noHBand="0" w:noVBand="1"/>
      </w:tblPr>
      <w:tblGrid>
        <w:gridCol w:w="1883"/>
        <w:gridCol w:w="900"/>
        <w:gridCol w:w="804"/>
        <w:gridCol w:w="1275"/>
        <w:gridCol w:w="855"/>
        <w:gridCol w:w="991"/>
        <w:gridCol w:w="1180"/>
        <w:gridCol w:w="979"/>
        <w:gridCol w:w="909"/>
      </w:tblGrid>
      <w:tr w:rsidR="00C41CC1" w:rsidRPr="00A53502" w14:paraId="6918F161" w14:textId="77777777" w:rsidTr="00A53502">
        <w:trPr>
          <w:trHeight w:val="264"/>
        </w:trPr>
        <w:tc>
          <w:tcPr>
            <w:tcW w:w="1883" w:type="dxa"/>
            <w:tcBorders>
              <w:top w:val="single" w:sz="4" w:space="0" w:color="000000"/>
              <w:left w:val="single" w:sz="4" w:space="0" w:color="000000"/>
              <w:bottom w:val="single" w:sz="4" w:space="0" w:color="000000"/>
              <w:right w:val="single" w:sz="4" w:space="0" w:color="000000"/>
            </w:tcBorders>
            <w:shd w:val="clear" w:color="auto" w:fill="A9A9A9"/>
            <w:vAlign w:val="bottom"/>
          </w:tcPr>
          <w:p w14:paraId="551D3712" w14:textId="77777777" w:rsidR="00C41CC1" w:rsidRPr="00A53502" w:rsidRDefault="00C41CC1" w:rsidP="005C7EBE">
            <w:pPr>
              <w:spacing w:line="240" w:lineRule="auto"/>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 </w:t>
            </w:r>
          </w:p>
        </w:tc>
        <w:tc>
          <w:tcPr>
            <w:tcW w:w="3834" w:type="dxa"/>
            <w:gridSpan w:val="4"/>
            <w:tcBorders>
              <w:top w:val="single" w:sz="4" w:space="0" w:color="000000"/>
              <w:left w:val="nil"/>
              <w:bottom w:val="single" w:sz="4" w:space="0" w:color="000000"/>
              <w:right w:val="single" w:sz="4" w:space="0" w:color="000000"/>
            </w:tcBorders>
            <w:shd w:val="clear" w:color="auto" w:fill="A9A9A9"/>
            <w:vAlign w:val="center"/>
          </w:tcPr>
          <w:p w14:paraId="5CD67ED6" w14:textId="77777777" w:rsidR="00C41CC1" w:rsidRPr="00A53502" w:rsidRDefault="00C41CC1" w:rsidP="005C7EBE">
            <w:pPr>
              <w:spacing w:line="240" w:lineRule="auto"/>
              <w:jc w:val="center"/>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Reference Approach</w:t>
            </w:r>
          </w:p>
        </w:tc>
        <w:tc>
          <w:tcPr>
            <w:tcW w:w="2171" w:type="dxa"/>
            <w:gridSpan w:val="2"/>
            <w:tcBorders>
              <w:top w:val="single" w:sz="4" w:space="0" w:color="000000"/>
              <w:left w:val="nil"/>
              <w:bottom w:val="single" w:sz="4" w:space="0" w:color="000000"/>
              <w:right w:val="single" w:sz="4" w:space="0" w:color="000000"/>
            </w:tcBorders>
            <w:shd w:val="clear" w:color="auto" w:fill="A9A9A9"/>
            <w:vAlign w:val="center"/>
          </w:tcPr>
          <w:p w14:paraId="2BCCB4A8" w14:textId="77777777" w:rsidR="00C41CC1" w:rsidRPr="00A53502" w:rsidRDefault="00C41CC1" w:rsidP="005C7EBE">
            <w:pPr>
              <w:spacing w:line="240" w:lineRule="auto"/>
              <w:jc w:val="center"/>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Sectoral Approach</w:t>
            </w:r>
          </w:p>
        </w:tc>
        <w:tc>
          <w:tcPr>
            <w:tcW w:w="1888" w:type="dxa"/>
            <w:gridSpan w:val="2"/>
            <w:tcBorders>
              <w:top w:val="single" w:sz="4" w:space="0" w:color="000000"/>
              <w:left w:val="nil"/>
              <w:bottom w:val="single" w:sz="4" w:space="0" w:color="000000"/>
              <w:right w:val="single" w:sz="4" w:space="0" w:color="000000"/>
            </w:tcBorders>
            <w:shd w:val="clear" w:color="auto" w:fill="A9A9A9"/>
            <w:vAlign w:val="center"/>
          </w:tcPr>
          <w:p w14:paraId="673B4D7F" w14:textId="77777777" w:rsidR="00C41CC1" w:rsidRPr="00A53502" w:rsidRDefault="00C41CC1" w:rsidP="005C7EBE">
            <w:pPr>
              <w:spacing w:line="240" w:lineRule="auto"/>
              <w:jc w:val="center"/>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Difference</w:t>
            </w:r>
          </w:p>
        </w:tc>
      </w:tr>
      <w:tr w:rsidR="00C41CC1" w:rsidRPr="00A53502" w14:paraId="19BA3595" w14:textId="77777777" w:rsidTr="00A53502">
        <w:trPr>
          <w:cantSplit/>
          <w:trHeight w:val="1795"/>
        </w:trPr>
        <w:tc>
          <w:tcPr>
            <w:tcW w:w="1883" w:type="dxa"/>
            <w:tcBorders>
              <w:top w:val="nil"/>
              <w:left w:val="single" w:sz="4" w:space="0" w:color="000000"/>
              <w:bottom w:val="single" w:sz="4" w:space="0" w:color="000000"/>
              <w:right w:val="single" w:sz="4" w:space="0" w:color="000000"/>
            </w:tcBorders>
            <w:shd w:val="clear" w:color="auto" w:fill="A9A9A9"/>
          </w:tcPr>
          <w:p w14:paraId="7CF0F3D2" w14:textId="77777777" w:rsidR="00C41CC1" w:rsidRPr="00A53502" w:rsidRDefault="00C41CC1" w:rsidP="005C7EBE">
            <w:pPr>
              <w:spacing w:line="240" w:lineRule="auto"/>
              <w:ind w:left="113" w:right="113"/>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Fuel</w:t>
            </w:r>
          </w:p>
        </w:tc>
        <w:tc>
          <w:tcPr>
            <w:tcW w:w="900" w:type="dxa"/>
            <w:tcBorders>
              <w:top w:val="nil"/>
              <w:left w:val="nil"/>
              <w:bottom w:val="single" w:sz="4" w:space="0" w:color="000000"/>
              <w:right w:val="single" w:sz="4" w:space="0" w:color="000000"/>
            </w:tcBorders>
            <w:shd w:val="clear" w:color="auto" w:fill="A9A9A9"/>
            <w:textDirection w:val="btLr"/>
          </w:tcPr>
          <w:p w14:paraId="42C6BA79" w14:textId="77777777" w:rsidR="00C41CC1" w:rsidRPr="00A53502" w:rsidRDefault="00C41CC1" w:rsidP="005C7EBE">
            <w:pPr>
              <w:spacing w:line="240" w:lineRule="auto"/>
              <w:ind w:left="113" w:right="113"/>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Apparent Consumption (TJ)</w:t>
            </w:r>
          </w:p>
        </w:tc>
        <w:tc>
          <w:tcPr>
            <w:tcW w:w="804" w:type="dxa"/>
            <w:tcBorders>
              <w:top w:val="nil"/>
              <w:left w:val="nil"/>
              <w:bottom w:val="single" w:sz="4" w:space="0" w:color="000000"/>
              <w:right w:val="single" w:sz="4" w:space="0" w:color="000000"/>
            </w:tcBorders>
            <w:shd w:val="clear" w:color="auto" w:fill="A9A9A9"/>
            <w:textDirection w:val="btLr"/>
          </w:tcPr>
          <w:p w14:paraId="5CEC7F1C" w14:textId="77777777" w:rsidR="00C41CC1" w:rsidRPr="00A53502" w:rsidRDefault="00C41CC1" w:rsidP="005C7EBE">
            <w:pPr>
              <w:spacing w:line="240" w:lineRule="auto"/>
              <w:ind w:left="113" w:right="113"/>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Excluded consumption (TJ)</w:t>
            </w:r>
          </w:p>
        </w:tc>
        <w:tc>
          <w:tcPr>
            <w:tcW w:w="1275" w:type="dxa"/>
            <w:tcBorders>
              <w:top w:val="nil"/>
              <w:left w:val="nil"/>
              <w:bottom w:val="single" w:sz="4" w:space="0" w:color="000000"/>
              <w:right w:val="single" w:sz="4" w:space="0" w:color="000000"/>
            </w:tcBorders>
            <w:shd w:val="clear" w:color="auto" w:fill="A9A9A9"/>
            <w:textDirection w:val="btLr"/>
          </w:tcPr>
          <w:p w14:paraId="77D53620" w14:textId="77777777" w:rsidR="00C41CC1" w:rsidRPr="00A53502" w:rsidRDefault="00C41CC1" w:rsidP="005C7EBE">
            <w:pPr>
              <w:spacing w:line="240" w:lineRule="auto"/>
              <w:ind w:left="113" w:right="113"/>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Apparent Consumption (excluding non-energy use and feedstocks) (TJ)</w:t>
            </w:r>
          </w:p>
        </w:tc>
        <w:tc>
          <w:tcPr>
            <w:tcW w:w="855" w:type="dxa"/>
            <w:tcBorders>
              <w:top w:val="nil"/>
              <w:left w:val="nil"/>
              <w:bottom w:val="single" w:sz="4" w:space="0" w:color="000000"/>
              <w:right w:val="single" w:sz="4" w:space="0" w:color="000000"/>
            </w:tcBorders>
            <w:shd w:val="clear" w:color="auto" w:fill="A9A9A9"/>
            <w:textDirection w:val="btLr"/>
          </w:tcPr>
          <w:p w14:paraId="498A6B7A" w14:textId="77777777" w:rsidR="00C41CC1" w:rsidRPr="00A53502" w:rsidRDefault="00C41CC1" w:rsidP="005C7EBE">
            <w:pPr>
              <w:spacing w:line="240" w:lineRule="auto"/>
              <w:ind w:left="113" w:right="113"/>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CO2 Emissions (Gg)</w:t>
            </w:r>
          </w:p>
        </w:tc>
        <w:tc>
          <w:tcPr>
            <w:tcW w:w="991" w:type="dxa"/>
            <w:tcBorders>
              <w:top w:val="nil"/>
              <w:left w:val="nil"/>
              <w:bottom w:val="single" w:sz="4" w:space="0" w:color="000000"/>
              <w:right w:val="single" w:sz="4" w:space="0" w:color="000000"/>
            </w:tcBorders>
            <w:shd w:val="clear" w:color="auto" w:fill="A9A9A9"/>
            <w:textDirection w:val="btLr"/>
          </w:tcPr>
          <w:p w14:paraId="5E49F8EA" w14:textId="77777777" w:rsidR="00C41CC1" w:rsidRPr="00A53502" w:rsidRDefault="00C41CC1" w:rsidP="005C7EBE">
            <w:pPr>
              <w:spacing w:line="240" w:lineRule="auto"/>
              <w:ind w:left="113" w:right="113"/>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Energy Consumption (TJ)</w:t>
            </w:r>
          </w:p>
        </w:tc>
        <w:tc>
          <w:tcPr>
            <w:tcW w:w="1180" w:type="dxa"/>
            <w:tcBorders>
              <w:top w:val="nil"/>
              <w:left w:val="nil"/>
              <w:bottom w:val="single" w:sz="4" w:space="0" w:color="000000"/>
              <w:right w:val="single" w:sz="4" w:space="0" w:color="000000"/>
            </w:tcBorders>
            <w:shd w:val="clear" w:color="auto" w:fill="A9A9A9"/>
            <w:textDirection w:val="btLr"/>
          </w:tcPr>
          <w:p w14:paraId="56DF21CB" w14:textId="77777777" w:rsidR="00C41CC1" w:rsidRPr="00A53502" w:rsidRDefault="00C41CC1" w:rsidP="005C7EBE">
            <w:pPr>
              <w:spacing w:line="240" w:lineRule="auto"/>
              <w:ind w:left="113" w:right="113"/>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CO2 Emissions (Gg)</w:t>
            </w:r>
          </w:p>
        </w:tc>
        <w:tc>
          <w:tcPr>
            <w:tcW w:w="979" w:type="dxa"/>
            <w:tcBorders>
              <w:top w:val="nil"/>
              <w:left w:val="nil"/>
              <w:bottom w:val="single" w:sz="4" w:space="0" w:color="000000"/>
              <w:right w:val="single" w:sz="4" w:space="0" w:color="000000"/>
            </w:tcBorders>
            <w:shd w:val="clear" w:color="auto" w:fill="A9A9A9"/>
            <w:textDirection w:val="btLr"/>
          </w:tcPr>
          <w:p w14:paraId="49203B18" w14:textId="77777777" w:rsidR="00C41CC1" w:rsidRPr="00A53502" w:rsidRDefault="00C41CC1" w:rsidP="005C7EBE">
            <w:pPr>
              <w:spacing w:line="240" w:lineRule="auto"/>
              <w:ind w:left="113" w:right="113"/>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Energy Consumption (%)</w:t>
            </w:r>
          </w:p>
        </w:tc>
        <w:tc>
          <w:tcPr>
            <w:tcW w:w="909" w:type="dxa"/>
            <w:tcBorders>
              <w:top w:val="nil"/>
              <w:left w:val="nil"/>
              <w:bottom w:val="single" w:sz="4" w:space="0" w:color="000000"/>
              <w:right w:val="single" w:sz="4" w:space="0" w:color="000000"/>
            </w:tcBorders>
            <w:shd w:val="clear" w:color="auto" w:fill="A9A9A9"/>
            <w:textDirection w:val="btLr"/>
          </w:tcPr>
          <w:p w14:paraId="7487D318" w14:textId="77777777" w:rsidR="00C41CC1" w:rsidRPr="00A53502" w:rsidRDefault="00C41CC1" w:rsidP="005C7EBE">
            <w:pPr>
              <w:spacing w:line="240" w:lineRule="auto"/>
              <w:ind w:left="113" w:right="113"/>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CO2 Emissions (%)</w:t>
            </w:r>
          </w:p>
        </w:tc>
      </w:tr>
      <w:tr w:rsidR="00C41CC1" w:rsidRPr="00A53502" w14:paraId="5F025842" w14:textId="77777777" w:rsidTr="00A53502">
        <w:trPr>
          <w:trHeight w:val="264"/>
        </w:trPr>
        <w:tc>
          <w:tcPr>
            <w:tcW w:w="1883" w:type="dxa"/>
            <w:tcBorders>
              <w:top w:val="nil"/>
              <w:left w:val="single" w:sz="4" w:space="0" w:color="000000"/>
              <w:bottom w:val="single" w:sz="4" w:space="0" w:color="000000"/>
              <w:right w:val="single" w:sz="4" w:space="0" w:color="000000"/>
            </w:tcBorders>
            <w:shd w:val="clear" w:color="auto" w:fill="D3D3D3"/>
            <w:vAlign w:val="bottom"/>
          </w:tcPr>
          <w:p w14:paraId="17A66455" w14:textId="77777777" w:rsidR="00C41CC1" w:rsidRPr="00A53502" w:rsidRDefault="00C41CC1" w:rsidP="005C7EBE">
            <w:pPr>
              <w:spacing w:line="240" w:lineRule="auto"/>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Crude Oil</w:t>
            </w:r>
          </w:p>
        </w:tc>
        <w:tc>
          <w:tcPr>
            <w:tcW w:w="900" w:type="dxa"/>
            <w:tcBorders>
              <w:top w:val="nil"/>
              <w:left w:val="nil"/>
              <w:bottom w:val="single" w:sz="4" w:space="0" w:color="000000"/>
              <w:right w:val="single" w:sz="4" w:space="0" w:color="000000"/>
            </w:tcBorders>
            <w:shd w:val="clear" w:color="auto" w:fill="auto"/>
            <w:vAlign w:val="bottom"/>
          </w:tcPr>
          <w:p w14:paraId="6563C421"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2252.1</w:t>
            </w:r>
          </w:p>
        </w:tc>
        <w:tc>
          <w:tcPr>
            <w:tcW w:w="804" w:type="dxa"/>
            <w:tcBorders>
              <w:top w:val="nil"/>
              <w:left w:val="nil"/>
              <w:bottom w:val="single" w:sz="4" w:space="0" w:color="000000"/>
              <w:right w:val="single" w:sz="4" w:space="0" w:color="000000"/>
            </w:tcBorders>
            <w:shd w:val="clear" w:color="auto" w:fill="auto"/>
          </w:tcPr>
          <w:p w14:paraId="3F68091E" w14:textId="77777777" w:rsidR="00C41CC1" w:rsidRPr="00A53502" w:rsidRDefault="00C41CC1" w:rsidP="005C7EBE">
            <w:pPr>
              <w:rPr>
                <w:rFonts w:ascii="Times New Roman"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w:t>
            </w:r>
          </w:p>
        </w:tc>
        <w:tc>
          <w:tcPr>
            <w:tcW w:w="1275" w:type="dxa"/>
            <w:tcBorders>
              <w:top w:val="nil"/>
              <w:left w:val="nil"/>
              <w:bottom w:val="single" w:sz="4" w:space="0" w:color="000000"/>
              <w:right w:val="single" w:sz="4" w:space="0" w:color="000000"/>
            </w:tcBorders>
            <w:shd w:val="clear" w:color="auto" w:fill="auto"/>
            <w:vAlign w:val="bottom"/>
          </w:tcPr>
          <w:p w14:paraId="1532A9A7"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2252.1</w:t>
            </w:r>
          </w:p>
        </w:tc>
        <w:tc>
          <w:tcPr>
            <w:tcW w:w="855" w:type="dxa"/>
            <w:tcBorders>
              <w:top w:val="nil"/>
              <w:left w:val="nil"/>
              <w:bottom w:val="single" w:sz="4" w:space="0" w:color="000000"/>
              <w:right w:val="single" w:sz="4" w:space="0" w:color="000000"/>
            </w:tcBorders>
            <w:shd w:val="clear" w:color="auto" w:fill="auto"/>
            <w:vAlign w:val="bottom"/>
          </w:tcPr>
          <w:p w14:paraId="53A338C5"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165.2</w:t>
            </w:r>
          </w:p>
        </w:tc>
        <w:tc>
          <w:tcPr>
            <w:tcW w:w="991" w:type="dxa"/>
            <w:tcBorders>
              <w:top w:val="nil"/>
              <w:left w:val="nil"/>
              <w:bottom w:val="single" w:sz="4" w:space="0" w:color="000000"/>
              <w:right w:val="single" w:sz="4" w:space="0" w:color="000000"/>
            </w:tcBorders>
            <w:shd w:val="clear" w:color="auto" w:fill="auto"/>
            <w:vAlign w:val="bottom"/>
          </w:tcPr>
          <w:p w14:paraId="37C5B3E2"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2252.1</w:t>
            </w:r>
          </w:p>
        </w:tc>
        <w:tc>
          <w:tcPr>
            <w:tcW w:w="1180" w:type="dxa"/>
            <w:tcBorders>
              <w:top w:val="nil"/>
              <w:left w:val="nil"/>
              <w:bottom w:val="single" w:sz="4" w:space="0" w:color="000000"/>
              <w:right w:val="single" w:sz="4" w:space="0" w:color="000000"/>
            </w:tcBorders>
            <w:shd w:val="clear" w:color="auto" w:fill="auto"/>
            <w:vAlign w:val="bottom"/>
          </w:tcPr>
          <w:p w14:paraId="3692C888"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165.1</w:t>
            </w:r>
          </w:p>
        </w:tc>
        <w:tc>
          <w:tcPr>
            <w:tcW w:w="979" w:type="dxa"/>
            <w:tcBorders>
              <w:top w:val="nil"/>
              <w:left w:val="nil"/>
              <w:bottom w:val="single" w:sz="4" w:space="0" w:color="000000"/>
              <w:right w:val="single" w:sz="4" w:space="0" w:color="000000"/>
            </w:tcBorders>
            <w:shd w:val="clear" w:color="auto" w:fill="auto"/>
            <w:vAlign w:val="bottom"/>
          </w:tcPr>
          <w:p w14:paraId="3823E4AB"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0.000</w:t>
            </w:r>
          </w:p>
        </w:tc>
        <w:tc>
          <w:tcPr>
            <w:tcW w:w="909" w:type="dxa"/>
            <w:tcBorders>
              <w:top w:val="nil"/>
              <w:left w:val="nil"/>
              <w:bottom w:val="single" w:sz="4" w:space="0" w:color="000000"/>
              <w:right w:val="single" w:sz="4" w:space="0" w:color="000000"/>
            </w:tcBorders>
            <w:shd w:val="clear" w:color="auto" w:fill="auto"/>
            <w:vAlign w:val="bottom"/>
          </w:tcPr>
          <w:p w14:paraId="5408571A"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0.045</w:t>
            </w:r>
          </w:p>
        </w:tc>
      </w:tr>
      <w:tr w:rsidR="00C41CC1" w:rsidRPr="00A53502" w14:paraId="3CA0FE59" w14:textId="77777777" w:rsidTr="00A53502">
        <w:trPr>
          <w:trHeight w:val="264"/>
        </w:trPr>
        <w:tc>
          <w:tcPr>
            <w:tcW w:w="1883" w:type="dxa"/>
            <w:tcBorders>
              <w:top w:val="nil"/>
              <w:left w:val="single" w:sz="4" w:space="0" w:color="000000"/>
              <w:bottom w:val="single" w:sz="4" w:space="0" w:color="000000"/>
              <w:right w:val="single" w:sz="4" w:space="0" w:color="000000"/>
            </w:tcBorders>
            <w:shd w:val="clear" w:color="auto" w:fill="D3D3D3"/>
            <w:vAlign w:val="bottom"/>
          </w:tcPr>
          <w:p w14:paraId="7800D7AE" w14:textId="77777777" w:rsidR="00C41CC1" w:rsidRPr="00A53502" w:rsidRDefault="00C41CC1" w:rsidP="005C7EBE">
            <w:pPr>
              <w:spacing w:line="240" w:lineRule="auto"/>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Motor Gasoline</w:t>
            </w:r>
          </w:p>
        </w:tc>
        <w:tc>
          <w:tcPr>
            <w:tcW w:w="900" w:type="dxa"/>
            <w:tcBorders>
              <w:top w:val="nil"/>
              <w:left w:val="nil"/>
              <w:bottom w:val="single" w:sz="4" w:space="0" w:color="000000"/>
              <w:right w:val="single" w:sz="4" w:space="0" w:color="000000"/>
            </w:tcBorders>
            <w:shd w:val="clear" w:color="auto" w:fill="auto"/>
            <w:vAlign w:val="bottom"/>
          </w:tcPr>
          <w:p w14:paraId="535F2A24"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14678.6</w:t>
            </w:r>
          </w:p>
        </w:tc>
        <w:tc>
          <w:tcPr>
            <w:tcW w:w="804" w:type="dxa"/>
            <w:tcBorders>
              <w:top w:val="nil"/>
              <w:left w:val="nil"/>
              <w:bottom w:val="single" w:sz="4" w:space="0" w:color="000000"/>
              <w:right w:val="single" w:sz="4" w:space="0" w:color="000000"/>
            </w:tcBorders>
            <w:shd w:val="clear" w:color="auto" w:fill="auto"/>
          </w:tcPr>
          <w:p w14:paraId="04E091B4" w14:textId="77777777" w:rsidR="00C41CC1" w:rsidRPr="00A53502" w:rsidRDefault="00C41CC1" w:rsidP="005C7EBE">
            <w:pPr>
              <w:rPr>
                <w:rFonts w:ascii="Times New Roman"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w:t>
            </w:r>
          </w:p>
        </w:tc>
        <w:tc>
          <w:tcPr>
            <w:tcW w:w="1275" w:type="dxa"/>
            <w:tcBorders>
              <w:top w:val="nil"/>
              <w:left w:val="nil"/>
              <w:bottom w:val="single" w:sz="4" w:space="0" w:color="000000"/>
              <w:right w:val="single" w:sz="4" w:space="0" w:color="000000"/>
            </w:tcBorders>
            <w:shd w:val="clear" w:color="auto" w:fill="auto"/>
            <w:vAlign w:val="bottom"/>
          </w:tcPr>
          <w:p w14:paraId="36426C13"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14678.6</w:t>
            </w:r>
          </w:p>
        </w:tc>
        <w:tc>
          <w:tcPr>
            <w:tcW w:w="855" w:type="dxa"/>
            <w:tcBorders>
              <w:top w:val="nil"/>
              <w:left w:val="nil"/>
              <w:bottom w:val="single" w:sz="4" w:space="0" w:color="000000"/>
              <w:right w:val="single" w:sz="4" w:space="0" w:color="000000"/>
            </w:tcBorders>
            <w:shd w:val="clear" w:color="auto" w:fill="auto"/>
            <w:vAlign w:val="bottom"/>
          </w:tcPr>
          <w:p w14:paraId="2D38EBE5"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1017.2</w:t>
            </w:r>
          </w:p>
        </w:tc>
        <w:tc>
          <w:tcPr>
            <w:tcW w:w="991" w:type="dxa"/>
            <w:tcBorders>
              <w:top w:val="nil"/>
              <w:left w:val="nil"/>
              <w:bottom w:val="single" w:sz="4" w:space="0" w:color="000000"/>
              <w:right w:val="single" w:sz="4" w:space="0" w:color="000000"/>
            </w:tcBorders>
            <w:shd w:val="clear" w:color="auto" w:fill="auto"/>
            <w:vAlign w:val="bottom"/>
          </w:tcPr>
          <w:p w14:paraId="7BBE859B"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14903.5</w:t>
            </w:r>
          </w:p>
        </w:tc>
        <w:tc>
          <w:tcPr>
            <w:tcW w:w="1180" w:type="dxa"/>
            <w:tcBorders>
              <w:top w:val="nil"/>
              <w:left w:val="nil"/>
              <w:bottom w:val="single" w:sz="4" w:space="0" w:color="000000"/>
              <w:right w:val="single" w:sz="4" w:space="0" w:color="000000"/>
            </w:tcBorders>
            <w:shd w:val="clear" w:color="auto" w:fill="auto"/>
            <w:vAlign w:val="bottom"/>
          </w:tcPr>
          <w:p w14:paraId="57188E35"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1032.8</w:t>
            </w:r>
          </w:p>
        </w:tc>
        <w:tc>
          <w:tcPr>
            <w:tcW w:w="979" w:type="dxa"/>
            <w:tcBorders>
              <w:top w:val="nil"/>
              <w:left w:val="nil"/>
              <w:bottom w:val="single" w:sz="4" w:space="0" w:color="000000"/>
              <w:right w:val="single" w:sz="4" w:space="0" w:color="000000"/>
            </w:tcBorders>
            <w:shd w:val="clear" w:color="auto" w:fill="auto"/>
            <w:vAlign w:val="bottom"/>
          </w:tcPr>
          <w:p w14:paraId="64146DAE"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-1.509</w:t>
            </w:r>
          </w:p>
        </w:tc>
        <w:tc>
          <w:tcPr>
            <w:tcW w:w="909" w:type="dxa"/>
            <w:tcBorders>
              <w:top w:val="nil"/>
              <w:left w:val="nil"/>
              <w:bottom w:val="single" w:sz="4" w:space="0" w:color="000000"/>
              <w:right w:val="single" w:sz="4" w:space="0" w:color="000000"/>
            </w:tcBorders>
            <w:shd w:val="clear" w:color="auto" w:fill="auto"/>
            <w:vAlign w:val="bottom"/>
          </w:tcPr>
          <w:p w14:paraId="7EC091A9"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-1.509</w:t>
            </w:r>
          </w:p>
        </w:tc>
      </w:tr>
      <w:tr w:rsidR="00C41CC1" w:rsidRPr="00A53502" w14:paraId="235C53F3" w14:textId="77777777" w:rsidTr="00A53502">
        <w:trPr>
          <w:trHeight w:val="264"/>
        </w:trPr>
        <w:tc>
          <w:tcPr>
            <w:tcW w:w="1883" w:type="dxa"/>
            <w:tcBorders>
              <w:top w:val="nil"/>
              <w:left w:val="single" w:sz="4" w:space="0" w:color="000000"/>
              <w:bottom w:val="single" w:sz="4" w:space="0" w:color="000000"/>
              <w:right w:val="single" w:sz="4" w:space="0" w:color="000000"/>
            </w:tcBorders>
            <w:shd w:val="clear" w:color="auto" w:fill="D3D3D3"/>
            <w:vAlign w:val="bottom"/>
          </w:tcPr>
          <w:p w14:paraId="074A8336" w14:textId="77777777" w:rsidR="00C41CC1" w:rsidRPr="00A53502" w:rsidRDefault="00C41CC1" w:rsidP="005C7EBE">
            <w:pPr>
              <w:spacing w:line="240" w:lineRule="auto"/>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Aviation Gasoline</w:t>
            </w:r>
          </w:p>
        </w:tc>
        <w:tc>
          <w:tcPr>
            <w:tcW w:w="900" w:type="dxa"/>
            <w:tcBorders>
              <w:top w:val="nil"/>
              <w:left w:val="nil"/>
              <w:bottom w:val="single" w:sz="4" w:space="0" w:color="000000"/>
              <w:right w:val="single" w:sz="4" w:space="0" w:color="000000"/>
            </w:tcBorders>
            <w:shd w:val="clear" w:color="auto" w:fill="auto"/>
            <w:vAlign w:val="bottom"/>
          </w:tcPr>
          <w:p w14:paraId="50987127"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42.3</w:t>
            </w:r>
          </w:p>
        </w:tc>
        <w:tc>
          <w:tcPr>
            <w:tcW w:w="804" w:type="dxa"/>
            <w:tcBorders>
              <w:top w:val="nil"/>
              <w:left w:val="nil"/>
              <w:bottom w:val="single" w:sz="4" w:space="0" w:color="000000"/>
              <w:right w:val="single" w:sz="4" w:space="0" w:color="000000"/>
            </w:tcBorders>
            <w:shd w:val="clear" w:color="auto" w:fill="auto"/>
          </w:tcPr>
          <w:p w14:paraId="0339CA66" w14:textId="77777777" w:rsidR="00C41CC1" w:rsidRPr="00A53502" w:rsidRDefault="00C41CC1" w:rsidP="005C7EBE">
            <w:pPr>
              <w:rPr>
                <w:rFonts w:ascii="Times New Roman"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w:t>
            </w:r>
          </w:p>
        </w:tc>
        <w:tc>
          <w:tcPr>
            <w:tcW w:w="1275" w:type="dxa"/>
            <w:tcBorders>
              <w:top w:val="nil"/>
              <w:left w:val="nil"/>
              <w:bottom w:val="single" w:sz="4" w:space="0" w:color="000000"/>
              <w:right w:val="single" w:sz="4" w:space="0" w:color="000000"/>
            </w:tcBorders>
            <w:shd w:val="clear" w:color="auto" w:fill="auto"/>
            <w:vAlign w:val="bottom"/>
          </w:tcPr>
          <w:p w14:paraId="5B166DBD"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42.3</w:t>
            </w:r>
          </w:p>
        </w:tc>
        <w:tc>
          <w:tcPr>
            <w:tcW w:w="855" w:type="dxa"/>
            <w:tcBorders>
              <w:top w:val="nil"/>
              <w:left w:val="nil"/>
              <w:bottom w:val="single" w:sz="4" w:space="0" w:color="000000"/>
              <w:right w:val="single" w:sz="4" w:space="0" w:color="000000"/>
            </w:tcBorders>
            <w:shd w:val="clear" w:color="auto" w:fill="auto"/>
            <w:vAlign w:val="bottom"/>
          </w:tcPr>
          <w:p w14:paraId="067CDED5"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3.0</w:t>
            </w:r>
          </w:p>
        </w:tc>
        <w:tc>
          <w:tcPr>
            <w:tcW w:w="991" w:type="dxa"/>
            <w:tcBorders>
              <w:top w:val="nil"/>
              <w:left w:val="nil"/>
              <w:bottom w:val="single" w:sz="4" w:space="0" w:color="000000"/>
              <w:right w:val="single" w:sz="4" w:space="0" w:color="000000"/>
            </w:tcBorders>
            <w:shd w:val="clear" w:color="auto" w:fill="auto"/>
            <w:vAlign w:val="bottom"/>
          </w:tcPr>
          <w:p w14:paraId="7F7D3C76"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42.3</w:t>
            </w:r>
          </w:p>
        </w:tc>
        <w:tc>
          <w:tcPr>
            <w:tcW w:w="1180" w:type="dxa"/>
            <w:tcBorders>
              <w:top w:val="nil"/>
              <w:left w:val="nil"/>
              <w:bottom w:val="single" w:sz="4" w:space="0" w:color="000000"/>
              <w:right w:val="single" w:sz="4" w:space="0" w:color="000000"/>
            </w:tcBorders>
            <w:shd w:val="clear" w:color="auto" w:fill="auto"/>
            <w:vAlign w:val="bottom"/>
          </w:tcPr>
          <w:p w14:paraId="028565B8"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2.9</w:t>
            </w:r>
          </w:p>
        </w:tc>
        <w:tc>
          <w:tcPr>
            <w:tcW w:w="979" w:type="dxa"/>
            <w:tcBorders>
              <w:top w:val="nil"/>
              <w:left w:val="nil"/>
              <w:bottom w:val="single" w:sz="4" w:space="0" w:color="000000"/>
              <w:right w:val="single" w:sz="4" w:space="0" w:color="000000"/>
            </w:tcBorders>
            <w:shd w:val="clear" w:color="auto" w:fill="auto"/>
            <w:vAlign w:val="bottom"/>
          </w:tcPr>
          <w:p w14:paraId="529BF838"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0.000</w:t>
            </w:r>
          </w:p>
        </w:tc>
        <w:tc>
          <w:tcPr>
            <w:tcW w:w="909" w:type="dxa"/>
            <w:tcBorders>
              <w:top w:val="nil"/>
              <w:left w:val="nil"/>
              <w:bottom w:val="single" w:sz="4" w:space="0" w:color="000000"/>
              <w:right w:val="single" w:sz="4" w:space="0" w:color="000000"/>
            </w:tcBorders>
            <w:shd w:val="clear" w:color="auto" w:fill="auto"/>
            <w:vAlign w:val="bottom"/>
          </w:tcPr>
          <w:p w14:paraId="448E54E9"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1.058</w:t>
            </w:r>
          </w:p>
        </w:tc>
      </w:tr>
      <w:tr w:rsidR="00C41CC1" w:rsidRPr="00A53502" w14:paraId="119AEBA4" w14:textId="77777777" w:rsidTr="00A53502">
        <w:trPr>
          <w:trHeight w:val="264"/>
        </w:trPr>
        <w:tc>
          <w:tcPr>
            <w:tcW w:w="1883" w:type="dxa"/>
            <w:tcBorders>
              <w:top w:val="nil"/>
              <w:left w:val="single" w:sz="4" w:space="0" w:color="000000"/>
              <w:bottom w:val="single" w:sz="4" w:space="0" w:color="000000"/>
              <w:right w:val="single" w:sz="4" w:space="0" w:color="000000"/>
            </w:tcBorders>
            <w:shd w:val="clear" w:color="auto" w:fill="D3D3D3"/>
            <w:vAlign w:val="bottom"/>
          </w:tcPr>
          <w:p w14:paraId="280D5AEF" w14:textId="77777777" w:rsidR="00C41CC1" w:rsidRPr="00A53502" w:rsidRDefault="00C41CC1" w:rsidP="005C7EBE">
            <w:pPr>
              <w:spacing w:line="240" w:lineRule="auto"/>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Jet Kerosene</w:t>
            </w:r>
          </w:p>
        </w:tc>
        <w:tc>
          <w:tcPr>
            <w:tcW w:w="900" w:type="dxa"/>
            <w:tcBorders>
              <w:top w:val="nil"/>
              <w:left w:val="nil"/>
              <w:bottom w:val="single" w:sz="4" w:space="0" w:color="000000"/>
              <w:right w:val="single" w:sz="4" w:space="0" w:color="000000"/>
            </w:tcBorders>
            <w:shd w:val="clear" w:color="auto" w:fill="auto"/>
            <w:vAlign w:val="bottom"/>
          </w:tcPr>
          <w:p w14:paraId="23664B82"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2.6</w:t>
            </w:r>
          </w:p>
        </w:tc>
        <w:tc>
          <w:tcPr>
            <w:tcW w:w="804" w:type="dxa"/>
            <w:tcBorders>
              <w:top w:val="nil"/>
              <w:left w:val="nil"/>
              <w:bottom w:val="single" w:sz="4" w:space="0" w:color="000000"/>
              <w:right w:val="single" w:sz="4" w:space="0" w:color="000000"/>
            </w:tcBorders>
            <w:shd w:val="clear" w:color="auto" w:fill="auto"/>
          </w:tcPr>
          <w:p w14:paraId="266B750C" w14:textId="77777777" w:rsidR="00C41CC1" w:rsidRPr="00A53502" w:rsidRDefault="00C41CC1" w:rsidP="005C7EBE">
            <w:pPr>
              <w:rPr>
                <w:rFonts w:ascii="Times New Roman"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w:t>
            </w:r>
          </w:p>
        </w:tc>
        <w:tc>
          <w:tcPr>
            <w:tcW w:w="1275" w:type="dxa"/>
            <w:tcBorders>
              <w:top w:val="nil"/>
              <w:left w:val="nil"/>
              <w:bottom w:val="single" w:sz="4" w:space="0" w:color="000000"/>
              <w:right w:val="single" w:sz="4" w:space="0" w:color="000000"/>
            </w:tcBorders>
            <w:shd w:val="clear" w:color="auto" w:fill="auto"/>
            <w:vAlign w:val="bottom"/>
          </w:tcPr>
          <w:p w14:paraId="03761764"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2.6</w:t>
            </w:r>
          </w:p>
        </w:tc>
        <w:tc>
          <w:tcPr>
            <w:tcW w:w="855" w:type="dxa"/>
            <w:tcBorders>
              <w:top w:val="nil"/>
              <w:left w:val="nil"/>
              <w:bottom w:val="single" w:sz="4" w:space="0" w:color="000000"/>
              <w:right w:val="single" w:sz="4" w:space="0" w:color="000000"/>
            </w:tcBorders>
            <w:shd w:val="clear" w:color="auto" w:fill="auto"/>
            <w:vAlign w:val="bottom"/>
          </w:tcPr>
          <w:p w14:paraId="646C1C7C"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0.2</w:t>
            </w:r>
          </w:p>
        </w:tc>
        <w:tc>
          <w:tcPr>
            <w:tcW w:w="991" w:type="dxa"/>
            <w:tcBorders>
              <w:top w:val="nil"/>
              <w:left w:val="nil"/>
              <w:bottom w:val="single" w:sz="4" w:space="0" w:color="000000"/>
              <w:right w:val="single" w:sz="4" w:space="0" w:color="000000"/>
            </w:tcBorders>
            <w:shd w:val="clear" w:color="auto" w:fill="auto"/>
            <w:vAlign w:val="bottom"/>
          </w:tcPr>
          <w:p w14:paraId="228DB3FD"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2.6</w:t>
            </w:r>
          </w:p>
        </w:tc>
        <w:tc>
          <w:tcPr>
            <w:tcW w:w="1180" w:type="dxa"/>
            <w:tcBorders>
              <w:top w:val="nil"/>
              <w:left w:val="nil"/>
              <w:bottom w:val="single" w:sz="4" w:space="0" w:color="000000"/>
              <w:right w:val="single" w:sz="4" w:space="0" w:color="000000"/>
            </w:tcBorders>
            <w:shd w:val="clear" w:color="auto" w:fill="auto"/>
            <w:vAlign w:val="bottom"/>
          </w:tcPr>
          <w:p w14:paraId="313EBCD0"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0.2</w:t>
            </w:r>
          </w:p>
        </w:tc>
        <w:tc>
          <w:tcPr>
            <w:tcW w:w="979" w:type="dxa"/>
            <w:tcBorders>
              <w:top w:val="nil"/>
              <w:left w:val="nil"/>
              <w:bottom w:val="single" w:sz="4" w:space="0" w:color="000000"/>
              <w:right w:val="single" w:sz="4" w:space="0" w:color="000000"/>
            </w:tcBorders>
            <w:shd w:val="clear" w:color="auto" w:fill="auto"/>
            <w:vAlign w:val="bottom"/>
          </w:tcPr>
          <w:p w14:paraId="4EDE517A"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0.000</w:t>
            </w:r>
          </w:p>
        </w:tc>
        <w:tc>
          <w:tcPr>
            <w:tcW w:w="909" w:type="dxa"/>
            <w:tcBorders>
              <w:top w:val="nil"/>
              <w:left w:val="nil"/>
              <w:bottom w:val="single" w:sz="4" w:space="0" w:color="000000"/>
              <w:right w:val="single" w:sz="4" w:space="0" w:color="000000"/>
            </w:tcBorders>
            <w:shd w:val="clear" w:color="auto" w:fill="auto"/>
            <w:vAlign w:val="bottom"/>
          </w:tcPr>
          <w:p w14:paraId="41E88DF6"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0.000</w:t>
            </w:r>
          </w:p>
        </w:tc>
      </w:tr>
      <w:tr w:rsidR="00C41CC1" w:rsidRPr="00A53502" w14:paraId="40B45417" w14:textId="77777777" w:rsidTr="00A53502">
        <w:trPr>
          <w:trHeight w:val="264"/>
        </w:trPr>
        <w:tc>
          <w:tcPr>
            <w:tcW w:w="1883" w:type="dxa"/>
            <w:tcBorders>
              <w:top w:val="nil"/>
              <w:left w:val="single" w:sz="4" w:space="0" w:color="000000"/>
              <w:bottom w:val="single" w:sz="4" w:space="0" w:color="000000"/>
              <w:right w:val="single" w:sz="4" w:space="0" w:color="000000"/>
            </w:tcBorders>
            <w:shd w:val="clear" w:color="auto" w:fill="D3D3D3"/>
            <w:vAlign w:val="bottom"/>
          </w:tcPr>
          <w:p w14:paraId="7F4E9AD0" w14:textId="77777777" w:rsidR="00C41CC1" w:rsidRPr="00A53502" w:rsidRDefault="00C41CC1" w:rsidP="005C7EBE">
            <w:pPr>
              <w:spacing w:line="240" w:lineRule="auto"/>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Other Kerosene</w:t>
            </w:r>
          </w:p>
        </w:tc>
        <w:tc>
          <w:tcPr>
            <w:tcW w:w="900" w:type="dxa"/>
            <w:tcBorders>
              <w:top w:val="nil"/>
              <w:left w:val="nil"/>
              <w:bottom w:val="single" w:sz="4" w:space="0" w:color="000000"/>
              <w:right w:val="single" w:sz="4" w:space="0" w:color="000000"/>
            </w:tcBorders>
            <w:shd w:val="clear" w:color="auto" w:fill="auto"/>
            <w:vAlign w:val="bottom"/>
          </w:tcPr>
          <w:p w14:paraId="05960C29"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695.0</w:t>
            </w:r>
          </w:p>
        </w:tc>
        <w:tc>
          <w:tcPr>
            <w:tcW w:w="804" w:type="dxa"/>
            <w:tcBorders>
              <w:top w:val="nil"/>
              <w:left w:val="nil"/>
              <w:bottom w:val="single" w:sz="4" w:space="0" w:color="000000"/>
              <w:right w:val="single" w:sz="4" w:space="0" w:color="000000"/>
            </w:tcBorders>
            <w:shd w:val="clear" w:color="auto" w:fill="auto"/>
          </w:tcPr>
          <w:p w14:paraId="685D3844" w14:textId="77777777" w:rsidR="00C41CC1" w:rsidRPr="00A53502" w:rsidRDefault="00C41CC1" w:rsidP="005C7EBE">
            <w:pPr>
              <w:rPr>
                <w:rFonts w:ascii="Times New Roman"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w:t>
            </w:r>
          </w:p>
        </w:tc>
        <w:tc>
          <w:tcPr>
            <w:tcW w:w="1275" w:type="dxa"/>
            <w:tcBorders>
              <w:top w:val="nil"/>
              <w:left w:val="nil"/>
              <w:bottom w:val="single" w:sz="4" w:space="0" w:color="000000"/>
              <w:right w:val="single" w:sz="4" w:space="0" w:color="000000"/>
            </w:tcBorders>
            <w:shd w:val="clear" w:color="auto" w:fill="auto"/>
            <w:vAlign w:val="bottom"/>
          </w:tcPr>
          <w:p w14:paraId="5B446B75"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695.0</w:t>
            </w:r>
          </w:p>
        </w:tc>
        <w:tc>
          <w:tcPr>
            <w:tcW w:w="855" w:type="dxa"/>
            <w:tcBorders>
              <w:top w:val="nil"/>
              <w:left w:val="nil"/>
              <w:bottom w:val="single" w:sz="4" w:space="0" w:color="000000"/>
              <w:right w:val="single" w:sz="4" w:space="0" w:color="000000"/>
            </w:tcBorders>
            <w:shd w:val="clear" w:color="auto" w:fill="auto"/>
            <w:vAlign w:val="bottom"/>
          </w:tcPr>
          <w:p w14:paraId="6ADB50C7"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49.9</w:t>
            </w:r>
          </w:p>
        </w:tc>
        <w:tc>
          <w:tcPr>
            <w:tcW w:w="991" w:type="dxa"/>
            <w:tcBorders>
              <w:top w:val="nil"/>
              <w:left w:val="nil"/>
              <w:bottom w:val="single" w:sz="4" w:space="0" w:color="000000"/>
              <w:right w:val="single" w:sz="4" w:space="0" w:color="000000"/>
            </w:tcBorders>
            <w:shd w:val="clear" w:color="auto" w:fill="auto"/>
            <w:vAlign w:val="bottom"/>
          </w:tcPr>
          <w:p w14:paraId="7AB6C3FF"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843.2</w:t>
            </w:r>
          </w:p>
        </w:tc>
        <w:tc>
          <w:tcPr>
            <w:tcW w:w="1180" w:type="dxa"/>
            <w:tcBorders>
              <w:top w:val="nil"/>
              <w:left w:val="nil"/>
              <w:bottom w:val="single" w:sz="4" w:space="0" w:color="000000"/>
              <w:right w:val="single" w:sz="4" w:space="0" w:color="000000"/>
            </w:tcBorders>
            <w:shd w:val="clear" w:color="auto" w:fill="auto"/>
            <w:vAlign w:val="bottom"/>
          </w:tcPr>
          <w:p w14:paraId="508A0872"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60.6</w:t>
            </w:r>
          </w:p>
        </w:tc>
        <w:tc>
          <w:tcPr>
            <w:tcW w:w="979" w:type="dxa"/>
            <w:tcBorders>
              <w:top w:val="nil"/>
              <w:left w:val="nil"/>
              <w:bottom w:val="single" w:sz="4" w:space="0" w:color="000000"/>
              <w:right w:val="single" w:sz="4" w:space="0" w:color="000000"/>
            </w:tcBorders>
            <w:shd w:val="clear" w:color="auto" w:fill="auto"/>
            <w:vAlign w:val="bottom"/>
          </w:tcPr>
          <w:p w14:paraId="5A72CC2A"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-17.575</w:t>
            </w:r>
          </w:p>
        </w:tc>
        <w:tc>
          <w:tcPr>
            <w:tcW w:w="909" w:type="dxa"/>
            <w:tcBorders>
              <w:top w:val="nil"/>
              <w:left w:val="nil"/>
              <w:bottom w:val="single" w:sz="4" w:space="0" w:color="000000"/>
              <w:right w:val="single" w:sz="4" w:space="0" w:color="000000"/>
            </w:tcBorders>
            <w:shd w:val="clear" w:color="auto" w:fill="auto"/>
            <w:vAlign w:val="bottom"/>
          </w:tcPr>
          <w:p w14:paraId="010F3D6E"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-17.614</w:t>
            </w:r>
          </w:p>
        </w:tc>
      </w:tr>
      <w:tr w:rsidR="00C41CC1" w:rsidRPr="00A53502" w14:paraId="5205CDA4" w14:textId="77777777" w:rsidTr="00A53502">
        <w:trPr>
          <w:trHeight w:val="264"/>
        </w:trPr>
        <w:tc>
          <w:tcPr>
            <w:tcW w:w="1883" w:type="dxa"/>
            <w:tcBorders>
              <w:top w:val="nil"/>
              <w:left w:val="single" w:sz="4" w:space="0" w:color="000000"/>
              <w:bottom w:val="single" w:sz="4" w:space="0" w:color="000000"/>
              <w:right w:val="single" w:sz="4" w:space="0" w:color="000000"/>
            </w:tcBorders>
            <w:shd w:val="clear" w:color="auto" w:fill="D3D3D3"/>
            <w:vAlign w:val="bottom"/>
          </w:tcPr>
          <w:p w14:paraId="610AD9DC" w14:textId="77777777" w:rsidR="00C41CC1" w:rsidRPr="00A53502" w:rsidRDefault="00C41CC1" w:rsidP="005C7EBE">
            <w:pPr>
              <w:spacing w:line="240" w:lineRule="auto"/>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Gas/Diesel Oil</w:t>
            </w:r>
          </w:p>
        </w:tc>
        <w:tc>
          <w:tcPr>
            <w:tcW w:w="900" w:type="dxa"/>
            <w:tcBorders>
              <w:top w:val="nil"/>
              <w:left w:val="nil"/>
              <w:bottom w:val="single" w:sz="4" w:space="0" w:color="000000"/>
              <w:right w:val="single" w:sz="4" w:space="0" w:color="000000"/>
            </w:tcBorders>
            <w:shd w:val="clear" w:color="auto" w:fill="auto"/>
            <w:vAlign w:val="bottom"/>
          </w:tcPr>
          <w:p w14:paraId="7854BA9D"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32970.8</w:t>
            </w:r>
          </w:p>
        </w:tc>
        <w:tc>
          <w:tcPr>
            <w:tcW w:w="804" w:type="dxa"/>
            <w:tcBorders>
              <w:top w:val="nil"/>
              <w:left w:val="nil"/>
              <w:bottom w:val="single" w:sz="4" w:space="0" w:color="000000"/>
              <w:right w:val="single" w:sz="4" w:space="0" w:color="000000"/>
            </w:tcBorders>
            <w:shd w:val="clear" w:color="auto" w:fill="auto"/>
          </w:tcPr>
          <w:p w14:paraId="6588163D" w14:textId="77777777" w:rsidR="00C41CC1" w:rsidRPr="00A53502" w:rsidRDefault="00C41CC1" w:rsidP="005C7EBE">
            <w:pPr>
              <w:rPr>
                <w:rFonts w:ascii="Times New Roman"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w:t>
            </w:r>
          </w:p>
        </w:tc>
        <w:tc>
          <w:tcPr>
            <w:tcW w:w="1275" w:type="dxa"/>
            <w:tcBorders>
              <w:top w:val="nil"/>
              <w:left w:val="nil"/>
              <w:bottom w:val="single" w:sz="4" w:space="0" w:color="000000"/>
              <w:right w:val="single" w:sz="4" w:space="0" w:color="000000"/>
            </w:tcBorders>
            <w:shd w:val="clear" w:color="auto" w:fill="auto"/>
            <w:vAlign w:val="bottom"/>
          </w:tcPr>
          <w:p w14:paraId="30CA1015"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32970.8</w:t>
            </w:r>
          </w:p>
        </w:tc>
        <w:tc>
          <w:tcPr>
            <w:tcW w:w="855" w:type="dxa"/>
            <w:tcBorders>
              <w:top w:val="nil"/>
              <w:left w:val="nil"/>
              <w:bottom w:val="single" w:sz="4" w:space="0" w:color="000000"/>
              <w:right w:val="single" w:sz="4" w:space="0" w:color="000000"/>
            </w:tcBorders>
            <w:shd w:val="clear" w:color="auto" w:fill="auto"/>
            <w:vAlign w:val="bottom"/>
          </w:tcPr>
          <w:p w14:paraId="52D7BB03"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2442.0</w:t>
            </w:r>
          </w:p>
        </w:tc>
        <w:tc>
          <w:tcPr>
            <w:tcW w:w="991" w:type="dxa"/>
            <w:tcBorders>
              <w:top w:val="nil"/>
              <w:left w:val="nil"/>
              <w:bottom w:val="single" w:sz="4" w:space="0" w:color="000000"/>
              <w:right w:val="single" w:sz="4" w:space="0" w:color="000000"/>
            </w:tcBorders>
            <w:shd w:val="clear" w:color="auto" w:fill="auto"/>
            <w:vAlign w:val="bottom"/>
          </w:tcPr>
          <w:p w14:paraId="392E4393"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33812.6</w:t>
            </w:r>
          </w:p>
        </w:tc>
        <w:tc>
          <w:tcPr>
            <w:tcW w:w="1180" w:type="dxa"/>
            <w:tcBorders>
              <w:top w:val="nil"/>
              <w:left w:val="nil"/>
              <w:bottom w:val="single" w:sz="4" w:space="0" w:color="000000"/>
              <w:right w:val="single" w:sz="4" w:space="0" w:color="000000"/>
            </w:tcBorders>
            <w:shd w:val="clear" w:color="auto" w:fill="auto"/>
            <w:vAlign w:val="bottom"/>
          </w:tcPr>
          <w:p w14:paraId="3EE31DF1"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2505.5</w:t>
            </w:r>
          </w:p>
        </w:tc>
        <w:tc>
          <w:tcPr>
            <w:tcW w:w="979" w:type="dxa"/>
            <w:tcBorders>
              <w:top w:val="nil"/>
              <w:left w:val="nil"/>
              <w:bottom w:val="single" w:sz="4" w:space="0" w:color="000000"/>
              <w:right w:val="single" w:sz="4" w:space="0" w:color="000000"/>
            </w:tcBorders>
            <w:shd w:val="clear" w:color="auto" w:fill="auto"/>
            <w:vAlign w:val="bottom"/>
          </w:tcPr>
          <w:p w14:paraId="2A008197"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-2.489</w:t>
            </w:r>
          </w:p>
        </w:tc>
        <w:tc>
          <w:tcPr>
            <w:tcW w:w="909" w:type="dxa"/>
            <w:tcBorders>
              <w:top w:val="nil"/>
              <w:left w:val="nil"/>
              <w:bottom w:val="single" w:sz="4" w:space="0" w:color="000000"/>
              <w:right w:val="single" w:sz="4" w:space="0" w:color="000000"/>
            </w:tcBorders>
            <w:shd w:val="clear" w:color="auto" w:fill="auto"/>
            <w:vAlign w:val="bottom"/>
          </w:tcPr>
          <w:p w14:paraId="70784BEE"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-2.533</w:t>
            </w:r>
          </w:p>
        </w:tc>
      </w:tr>
      <w:tr w:rsidR="00C41CC1" w:rsidRPr="00A53502" w14:paraId="3FA443BE" w14:textId="77777777" w:rsidTr="00A53502">
        <w:trPr>
          <w:trHeight w:val="264"/>
        </w:trPr>
        <w:tc>
          <w:tcPr>
            <w:tcW w:w="1883" w:type="dxa"/>
            <w:tcBorders>
              <w:top w:val="nil"/>
              <w:left w:val="single" w:sz="4" w:space="0" w:color="000000"/>
              <w:bottom w:val="single" w:sz="4" w:space="0" w:color="000000"/>
              <w:right w:val="single" w:sz="4" w:space="0" w:color="000000"/>
            </w:tcBorders>
            <w:shd w:val="clear" w:color="auto" w:fill="D3D3D3"/>
            <w:vAlign w:val="bottom"/>
          </w:tcPr>
          <w:p w14:paraId="43AEE0DF" w14:textId="77777777" w:rsidR="00C41CC1" w:rsidRPr="00A53502" w:rsidRDefault="00C41CC1" w:rsidP="005C7EBE">
            <w:pPr>
              <w:spacing w:line="240" w:lineRule="auto"/>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Residual Fuel Oil</w:t>
            </w:r>
          </w:p>
        </w:tc>
        <w:tc>
          <w:tcPr>
            <w:tcW w:w="900" w:type="dxa"/>
            <w:tcBorders>
              <w:top w:val="nil"/>
              <w:left w:val="nil"/>
              <w:bottom w:val="single" w:sz="4" w:space="0" w:color="000000"/>
              <w:right w:val="single" w:sz="4" w:space="0" w:color="000000"/>
            </w:tcBorders>
            <w:shd w:val="clear" w:color="auto" w:fill="auto"/>
            <w:vAlign w:val="bottom"/>
          </w:tcPr>
          <w:p w14:paraId="26F5B21D"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3995.5</w:t>
            </w:r>
          </w:p>
        </w:tc>
        <w:tc>
          <w:tcPr>
            <w:tcW w:w="804" w:type="dxa"/>
            <w:tcBorders>
              <w:top w:val="nil"/>
              <w:left w:val="nil"/>
              <w:bottom w:val="single" w:sz="4" w:space="0" w:color="000000"/>
              <w:right w:val="single" w:sz="4" w:space="0" w:color="000000"/>
            </w:tcBorders>
            <w:shd w:val="clear" w:color="auto" w:fill="auto"/>
          </w:tcPr>
          <w:p w14:paraId="3ABED9FA" w14:textId="77777777" w:rsidR="00C41CC1" w:rsidRPr="00A53502" w:rsidRDefault="00C41CC1" w:rsidP="005C7EBE">
            <w:pPr>
              <w:rPr>
                <w:rFonts w:ascii="Times New Roman"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w:t>
            </w:r>
          </w:p>
        </w:tc>
        <w:tc>
          <w:tcPr>
            <w:tcW w:w="1275" w:type="dxa"/>
            <w:tcBorders>
              <w:top w:val="nil"/>
              <w:left w:val="nil"/>
              <w:bottom w:val="single" w:sz="4" w:space="0" w:color="000000"/>
              <w:right w:val="single" w:sz="4" w:space="0" w:color="000000"/>
            </w:tcBorders>
            <w:shd w:val="clear" w:color="auto" w:fill="auto"/>
            <w:vAlign w:val="bottom"/>
          </w:tcPr>
          <w:p w14:paraId="46BD24AF"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3995.5</w:t>
            </w:r>
          </w:p>
        </w:tc>
        <w:tc>
          <w:tcPr>
            <w:tcW w:w="855" w:type="dxa"/>
            <w:tcBorders>
              <w:top w:val="nil"/>
              <w:left w:val="nil"/>
              <w:bottom w:val="single" w:sz="4" w:space="0" w:color="000000"/>
              <w:right w:val="single" w:sz="4" w:space="0" w:color="000000"/>
            </w:tcBorders>
            <w:shd w:val="clear" w:color="auto" w:fill="auto"/>
            <w:vAlign w:val="bottom"/>
          </w:tcPr>
          <w:p w14:paraId="613537BF"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309.1</w:t>
            </w:r>
          </w:p>
        </w:tc>
        <w:tc>
          <w:tcPr>
            <w:tcW w:w="991" w:type="dxa"/>
            <w:tcBorders>
              <w:top w:val="nil"/>
              <w:left w:val="nil"/>
              <w:bottom w:val="single" w:sz="4" w:space="0" w:color="000000"/>
              <w:right w:val="single" w:sz="4" w:space="0" w:color="000000"/>
            </w:tcBorders>
            <w:shd w:val="clear" w:color="auto" w:fill="auto"/>
            <w:vAlign w:val="bottom"/>
          </w:tcPr>
          <w:p w14:paraId="51A882FC"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3995.5</w:t>
            </w:r>
          </w:p>
        </w:tc>
        <w:tc>
          <w:tcPr>
            <w:tcW w:w="1180" w:type="dxa"/>
            <w:tcBorders>
              <w:top w:val="nil"/>
              <w:left w:val="nil"/>
              <w:bottom w:val="single" w:sz="4" w:space="0" w:color="000000"/>
              <w:right w:val="single" w:sz="4" w:space="0" w:color="000000"/>
            </w:tcBorders>
            <w:shd w:val="clear" w:color="auto" w:fill="auto"/>
            <w:vAlign w:val="bottom"/>
          </w:tcPr>
          <w:p w14:paraId="48B5ED44"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309.3</w:t>
            </w:r>
          </w:p>
        </w:tc>
        <w:tc>
          <w:tcPr>
            <w:tcW w:w="979" w:type="dxa"/>
            <w:tcBorders>
              <w:top w:val="nil"/>
              <w:left w:val="nil"/>
              <w:bottom w:val="single" w:sz="4" w:space="0" w:color="000000"/>
              <w:right w:val="single" w:sz="4" w:space="0" w:color="000000"/>
            </w:tcBorders>
            <w:shd w:val="clear" w:color="auto" w:fill="auto"/>
            <w:vAlign w:val="bottom"/>
          </w:tcPr>
          <w:p w14:paraId="065C1CE1"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0.000</w:t>
            </w:r>
          </w:p>
        </w:tc>
        <w:tc>
          <w:tcPr>
            <w:tcW w:w="909" w:type="dxa"/>
            <w:tcBorders>
              <w:top w:val="nil"/>
              <w:left w:val="nil"/>
              <w:bottom w:val="single" w:sz="4" w:space="0" w:color="000000"/>
              <w:right w:val="single" w:sz="4" w:space="0" w:color="000000"/>
            </w:tcBorders>
            <w:shd w:val="clear" w:color="auto" w:fill="auto"/>
            <w:vAlign w:val="bottom"/>
          </w:tcPr>
          <w:p w14:paraId="16CC88AE"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-0.043</w:t>
            </w:r>
          </w:p>
        </w:tc>
      </w:tr>
      <w:tr w:rsidR="00C41CC1" w:rsidRPr="00A53502" w14:paraId="5F2833C0" w14:textId="77777777" w:rsidTr="00A53502">
        <w:trPr>
          <w:trHeight w:val="264"/>
        </w:trPr>
        <w:tc>
          <w:tcPr>
            <w:tcW w:w="1883" w:type="dxa"/>
            <w:tcBorders>
              <w:top w:val="nil"/>
              <w:left w:val="single" w:sz="4" w:space="0" w:color="000000"/>
              <w:bottom w:val="single" w:sz="4" w:space="0" w:color="000000"/>
              <w:right w:val="single" w:sz="4" w:space="0" w:color="000000"/>
            </w:tcBorders>
            <w:shd w:val="clear" w:color="auto" w:fill="D3D3D3"/>
            <w:vAlign w:val="bottom"/>
          </w:tcPr>
          <w:p w14:paraId="1BC7A345" w14:textId="77777777" w:rsidR="00C41CC1" w:rsidRPr="00A53502" w:rsidRDefault="00C41CC1" w:rsidP="005C7EBE">
            <w:pPr>
              <w:spacing w:line="240" w:lineRule="auto"/>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Liquefied Petroleum Gases</w:t>
            </w:r>
          </w:p>
        </w:tc>
        <w:tc>
          <w:tcPr>
            <w:tcW w:w="900" w:type="dxa"/>
            <w:tcBorders>
              <w:top w:val="nil"/>
              <w:left w:val="nil"/>
              <w:bottom w:val="single" w:sz="4" w:space="0" w:color="000000"/>
              <w:right w:val="single" w:sz="4" w:space="0" w:color="000000"/>
            </w:tcBorders>
            <w:shd w:val="clear" w:color="auto" w:fill="auto"/>
            <w:vAlign w:val="bottom"/>
          </w:tcPr>
          <w:p w14:paraId="54CF6056"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124.6</w:t>
            </w:r>
          </w:p>
        </w:tc>
        <w:tc>
          <w:tcPr>
            <w:tcW w:w="804" w:type="dxa"/>
            <w:tcBorders>
              <w:top w:val="nil"/>
              <w:left w:val="nil"/>
              <w:bottom w:val="single" w:sz="4" w:space="0" w:color="000000"/>
              <w:right w:val="single" w:sz="4" w:space="0" w:color="000000"/>
            </w:tcBorders>
            <w:shd w:val="clear" w:color="auto" w:fill="auto"/>
          </w:tcPr>
          <w:p w14:paraId="32AFAE04" w14:textId="77777777" w:rsidR="00C41CC1" w:rsidRPr="00A53502" w:rsidRDefault="00C41CC1" w:rsidP="005C7EBE">
            <w:pPr>
              <w:rPr>
                <w:rFonts w:ascii="Times New Roman"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w:t>
            </w:r>
          </w:p>
        </w:tc>
        <w:tc>
          <w:tcPr>
            <w:tcW w:w="1275" w:type="dxa"/>
            <w:tcBorders>
              <w:top w:val="nil"/>
              <w:left w:val="nil"/>
              <w:bottom w:val="single" w:sz="4" w:space="0" w:color="000000"/>
              <w:right w:val="single" w:sz="4" w:space="0" w:color="000000"/>
            </w:tcBorders>
            <w:shd w:val="clear" w:color="auto" w:fill="auto"/>
            <w:vAlign w:val="bottom"/>
          </w:tcPr>
          <w:p w14:paraId="18B3A313"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124.6</w:t>
            </w:r>
          </w:p>
        </w:tc>
        <w:tc>
          <w:tcPr>
            <w:tcW w:w="855" w:type="dxa"/>
            <w:tcBorders>
              <w:top w:val="nil"/>
              <w:left w:val="nil"/>
              <w:bottom w:val="single" w:sz="4" w:space="0" w:color="000000"/>
              <w:right w:val="single" w:sz="4" w:space="0" w:color="000000"/>
            </w:tcBorders>
            <w:shd w:val="clear" w:color="auto" w:fill="auto"/>
            <w:vAlign w:val="bottom"/>
          </w:tcPr>
          <w:p w14:paraId="3E83DEA7"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7.9</w:t>
            </w:r>
          </w:p>
        </w:tc>
        <w:tc>
          <w:tcPr>
            <w:tcW w:w="991" w:type="dxa"/>
            <w:tcBorders>
              <w:top w:val="nil"/>
              <w:left w:val="nil"/>
              <w:bottom w:val="single" w:sz="4" w:space="0" w:color="000000"/>
              <w:right w:val="single" w:sz="4" w:space="0" w:color="000000"/>
            </w:tcBorders>
            <w:shd w:val="clear" w:color="auto" w:fill="auto"/>
            <w:vAlign w:val="bottom"/>
          </w:tcPr>
          <w:p w14:paraId="640182D5"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124.6</w:t>
            </w:r>
          </w:p>
        </w:tc>
        <w:tc>
          <w:tcPr>
            <w:tcW w:w="1180" w:type="dxa"/>
            <w:tcBorders>
              <w:top w:val="nil"/>
              <w:left w:val="nil"/>
              <w:bottom w:val="single" w:sz="4" w:space="0" w:color="000000"/>
              <w:right w:val="single" w:sz="4" w:space="0" w:color="000000"/>
            </w:tcBorders>
            <w:shd w:val="clear" w:color="auto" w:fill="auto"/>
            <w:vAlign w:val="bottom"/>
          </w:tcPr>
          <w:p w14:paraId="2905213D"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7.9</w:t>
            </w:r>
          </w:p>
        </w:tc>
        <w:tc>
          <w:tcPr>
            <w:tcW w:w="979" w:type="dxa"/>
            <w:tcBorders>
              <w:top w:val="nil"/>
              <w:left w:val="nil"/>
              <w:bottom w:val="single" w:sz="4" w:space="0" w:color="000000"/>
              <w:right w:val="single" w:sz="4" w:space="0" w:color="000000"/>
            </w:tcBorders>
            <w:shd w:val="clear" w:color="auto" w:fill="auto"/>
            <w:vAlign w:val="bottom"/>
          </w:tcPr>
          <w:p w14:paraId="44D8DE4D"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0.000</w:t>
            </w:r>
          </w:p>
        </w:tc>
        <w:tc>
          <w:tcPr>
            <w:tcW w:w="909" w:type="dxa"/>
            <w:tcBorders>
              <w:top w:val="nil"/>
              <w:left w:val="nil"/>
              <w:bottom w:val="single" w:sz="4" w:space="0" w:color="000000"/>
              <w:right w:val="single" w:sz="4" w:space="0" w:color="000000"/>
            </w:tcBorders>
            <w:shd w:val="clear" w:color="auto" w:fill="auto"/>
            <w:vAlign w:val="bottom"/>
          </w:tcPr>
          <w:p w14:paraId="4ED51234"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-0.053</w:t>
            </w:r>
          </w:p>
        </w:tc>
      </w:tr>
      <w:tr w:rsidR="00C41CC1" w:rsidRPr="00A53502" w14:paraId="3D931951" w14:textId="77777777" w:rsidTr="00A53502">
        <w:trPr>
          <w:trHeight w:val="264"/>
        </w:trPr>
        <w:tc>
          <w:tcPr>
            <w:tcW w:w="1883" w:type="dxa"/>
            <w:tcBorders>
              <w:top w:val="nil"/>
              <w:left w:val="single" w:sz="4" w:space="0" w:color="000000"/>
              <w:bottom w:val="single" w:sz="4" w:space="0" w:color="000000"/>
              <w:right w:val="single" w:sz="4" w:space="0" w:color="000000"/>
            </w:tcBorders>
            <w:shd w:val="clear" w:color="auto" w:fill="D3D3D3"/>
            <w:vAlign w:val="bottom"/>
          </w:tcPr>
          <w:p w14:paraId="245624F1" w14:textId="77777777" w:rsidR="00C41CC1" w:rsidRPr="00A53502" w:rsidRDefault="00C41CC1" w:rsidP="005C7EBE">
            <w:pPr>
              <w:spacing w:line="240" w:lineRule="auto"/>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Bitumen</w:t>
            </w:r>
          </w:p>
        </w:tc>
        <w:tc>
          <w:tcPr>
            <w:tcW w:w="900" w:type="dxa"/>
            <w:tcBorders>
              <w:top w:val="nil"/>
              <w:left w:val="nil"/>
              <w:bottom w:val="single" w:sz="4" w:space="0" w:color="000000"/>
              <w:right w:val="single" w:sz="4" w:space="0" w:color="000000"/>
            </w:tcBorders>
            <w:shd w:val="clear" w:color="auto" w:fill="auto"/>
            <w:vAlign w:val="bottom"/>
          </w:tcPr>
          <w:p w14:paraId="17D40360"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11.2</w:t>
            </w:r>
          </w:p>
        </w:tc>
        <w:tc>
          <w:tcPr>
            <w:tcW w:w="804" w:type="dxa"/>
            <w:tcBorders>
              <w:top w:val="nil"/>
              <w:left w:val="nil"/>
              <w:bottom w:val="single" w:sz="4" w:space="0" w:color="000000"/>
              <w:right w:val="single" w:sz="4" w:space="0" w:color="000000"/>
            </w:tcBorders>
            <w:shd w:val="clear" w:color="auto" w:fill="auto"/>
          </w:tcPr>
          <w:p w14:paraId="3B923AD7" w14:textId="77777777" w:rsidR="00C41CC1" w:rsidRPr="00A53502" w:rsidRDefault="00C41CC1" w:rsidP="005C7EBE">
            <w:pPr>
              <w:rPr>
                <w:rFonts w:ascii="Times New Roman"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w:t>
            </w:r>
          </w:p>
        </w:tc>
        <w:tc>
          <w:tcPr>
            <w:tcW w:w="1275" w:type="dxa"/>
            <w:tcBorders>
              <w:top w:val="nil"/>
              <w:left w:val="nil"/>
              <w:bottom w:val="single" w:sz="4" w:space="0" w:color="000000"/>
              <w:right w:val="single" w:sz="4" w:space="0" w:color="000000"/>
            </w:tcBorders>
            <w:shd w:val="clear" w:color="auto" w:fill="auto"/>
            <w:vAlign w:val="bottom"/>
          </w:tcPr>
          <w:p w14:paraId="73E81016"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11.2</w:t>
            </w:r>
          </w:p>
        </w:tc>
        <w:tc>
          <w:tcPr>
            <w:tcW w:w="855" w:type="dxa"/>
            <w:tcBorders>
              <w:top w:val="nil"/>
              <w:left w:val="nil"/>
              <w:bottom w:val="single" w:sz="4" w:space="0" w:color="000000"/>
              <w:right w:val="single" w:sz="4" w:space="0" w:color="000000"/>
            </w:tcBorders>
            <w:shd w:val="clear" w:color="auto" w:fill="auto"/>
            <w:vAlign w:val="bottom"/>
          </w:tcPr>
          <w:p w14:paraId="28BE0EDC"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0.9</w:t>
            </w:r>
          </w:p>
        </w:tc>
        <w:tc>
          <w:tcPr>
            <w:tcW w:w="991" w:type="dxa"/>
            <w:tcBorders>
              <w:top w:val="nil"/>
              <w:left w:val="nil"/>
              <w:bottom w:val="single" w:sz="4" w:space="0" w:color="000000"/>
              <w:right w:val="single" w:sz="4" w:space="0" w:color="000000"/>
            </w:tcBorders>
            <w:shd w:val="clear" w:color="auto" w:fill="auto"/>
            <w:vAlign w:val="bottom"/>
          </w:tcPr>
          <w:p w14:paraId="1E4CD2EF"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11.2</w:t>
            </w:r>
          </w:p>
        </w:tc>
        <w:tc>
          <w:tcPr>
            <w:tcW w:w="1180" w:type="dxa"/>
            <w:tcBorders>
              <w:top w:val="nil"/>
              <w:left w:val="nil"/>
              <w:bottom w:val="single" w:sz="4" w:space="0" w:color="000000"/>
              <w:right w:val="single" w:sz="4" w:space="0" w:color="000000"/>
            </w:tcBorders>
            <w:shd w:val="clear" w:color="auto" w:fill="auto"/>
            <w:vAlign w:val="bottom"/>
          </w:tcPr>
          <w:p w14:paraId="0444D978"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0.9</w:t>
            </w:r>
          </w:p>
        </w:tc>
        <w:tc>
          <w:tcPr>
            <w:tcW w:w="979" w:type="dxa"/>
            <w:tcBorders>
              <w:top w:val="nil"/>
              <w:left w:val="nil"/>
              <w:bottom w:val="single" w:sz="4" w:space="0" w:color="000000"/>
              <w:right w:val="single" w:sz="4" w:space="0" w:color="000000"/>
            </w:tcBorders>
            <w:shd w:val="clear" w:color="auto" w:fill="auto"/>
            <w:vAlign w:val="bottom"/>
          </w:tcPr>
          <w:p w14:paraId="60577E60"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0.000</w:t>
            </w:r>
          </w:p>
        </w:tc>
        <w:tc>
          <w:tcPr>
            <w:tcW w:w="909" w:type="dxa"/>
            <w:tcBorders>
              <w:top w:val="nil"/>
              <w:left w:val="nil"/>
              <w:bottom w:val="single" w:sz="4" w:space="0" w:color="000000"/>
              <w:right w:val="single" w:sz="4" w:space="0" w:color="000000"/>
            </w:tcBorders>
            <w:shd w:val="clear" w:color="auto" w:fill="auto"/>
            <w:vAlign w:val="bottom"/>
          </w:tcPr>
          <w:p w14:paraId="1798020B"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-0.041</w:t>
            </w:r>
          </w:p>
        </w:tc>
      </w:tr>
      <w:tr w:rsidR="00C41CC1" w:rsidRPr="00A53502" w14:paraId="39EF40F2" w14:textId="77777777" w:rsidTr="00A53502">
        <w:trPr>
          <w:trHeight w:val="264"/>
        </w:trPr>
        <w:tc>
          <w:tcPr>
            <w:tcW w:w="1883" w:type="dxa"/>
            <w:tcBorders>
              <w:top w:val="nil"/>
              <w:left w:val="single" w:sz="4" w:space="0" w:color="000000"/>
              <w:bottom w:val="single" w:sz="4" w:space="0" w:color="000000"/>
              <w:right w:val="single" w:sz="4" w:space="0" w:color="000000"/>
            </w:tcBorders>
            <w:shd w:val="clear" w:color="auto" w:fill="D3D3D3"/>
            <w:vAlign w:val="bottom"/>
          </w:tcPr>
          <w:p w14:paraId="4F3F108A" w14:textId="77777777" w:rsidR="00C41CC1" w:rsidRPr="00A53502" w:rsidRDefault="00C41CC1" w:rsidP="005C7EBE">
            <w:pPr>
              <w:spacing w:line="240" w:lineRule="auto"/>
              <w:rPr>
                <w:rFonts w:ascii="Times New Roman" w:eastAsia="Garamond" w:hAnsi="Times New Roman" w:cs="Times New Roman"/>
                <w:b/>
                <w:color w:val="000000" w:themeColor="text1"/>
                <w:sz w:val="20"/>
                <w:szCs w:val="20"/>
              </w:rPr>
            </w:pPr>
            <w:r w:rsidRPr="00A53502">
              <w:rPr>
                <w:rFonts w:ascii="Times New Roman" w:eastAsia="Garamond" w:hAnsi="Times New Roman" w:cs="Times New Roman"/>
                <w:b/>
                <w:color w:val="000000" w:themeColor="text1"/>
                <w:sz w:val="20"/>
                <w:szCs w:val="20"/>
              </w:rPr>
              <w:t>Sub-Bituminous Coal</w:t>
            </w:r>
          </w:p>
        </w:tc>
        <w:tc>
          <w:tcPr>
            <w:tcW w:w="900" w:type="dxa"/>
            <w:tcBorders>
              <w:top w:val="nil"/>
              <w:left w:val="nil"/>
              <w:bottom w:val="single" w:sz="4" w:space="0" w:color="000000"/>
              <w:right w:val="single" w:sz="4" w:space="0" w:color="000000"/>
            </w:tcBorders>
            <w:shd w:val="clear" w:color="auto" w:fill="auto"/>
            <w:vAlign w:val="bottom"/>
          </w:tcPr>
          <w:p w14:paraId="416A6F5A"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21455.7</w:t>
            </w:r>
          </w:p>
        </w:tc>
        <w:tc>
          <w:tcPr>
            <w:tcW w:w="804" w:type="dxa"/>
            <w:tcBorders>
              <w:top w:val="nil"/>
              <w:left w:val="nil"/>
              <w:bottom w:val="single" w:sz="4" w:space="0" w:color="000000"/>
              <w:right w:val="single" w:sz="4" w:space="0" w:color="000000"/>
            </w:tcBorders>
            <w:shd w:val="clear" w:color="auto" w:fill="auto"/>
          </w:tcPr>
          <w:p w14:paraId="2B3E94C8" w14:textId="77777777" w:rsidR="00C41CC1" w:rsidRPr="00A53502" w:rsidRDefault="00C41CC1" w:rsidP="005C7EBE">
            <w:pPr>
              <w:rPr>
                <w:rFonts w:ascii="Times New Roman"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0.0</w:t>
            </w:r>
          </w:p>
        </w:tc>
        <w:tc>
          <w:tcPr>
            <w:tcW w:w="1275" w:type="dxa"/>
            <w:tcBorders>
              <w:top w:val="nil"/>
              <w:left w:val="nil"/>
              <w:bottom w:val="single" w:sz="4" w:space="0" w:color="000000"/>
              <w:right w:val="single" w:sz="4" w:space="0" w:color="000000"/>
            </w:tcBorders>
            <w:shd w:val="clear" w:color="auto" w:fill="auto"/>
            <w:vAlign w:val="bottom"/>
          </w:tcPr>
          <w:p w14:paraId="1ADE8244"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21455.7</w:t>
            </w:r>
          </w:p>
        </w:tc>
        <w:tc>
          <w:tcPr>
            <w:tcW w:w="855" w:type="dxa"/>
            <w:tcBorders>
              <w:top w:val="nil"/>
              <w:left w:val="nil"/>
              <w:bottom w:val="single" w:sz="4" w:space="0" w:color="000000"/>
              <w:right w:val="single" w:sz="4" w:space="0" w:color="000000"/>
            </w:tcBorders>
            <w:shd w:val="clear" w:color="auto" w:fill="auto"/>
            <w:vAlign w:val="bottom"/>
          </w:tcPr>
          <w:p w14:paraId="65383AB9"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2061.2</w:t>
            </w:r>
          </w:p>
        </w:tc>
        <w:tc>
          <w:tcPr>
            <w:tcW w:w="991" w:type="dxa"/>
            <w:tcBorders>
              <w:top w:val="nil"/>
              <w:left w:val="nil"/>
              <w:bottom w:val="single" w:sz="4" w:space="0" w:color="000000"/>
              <w:right w:val="single" w:sz="4" w:space="0" w:color="000000"/>
            </w:tcBorders>
            <w:shd w:val="clear" w:color="auto" w:fill="auto"/>
            <w:vAlign w:val="bottom"/>
          </w:tcPr>
          <w:p w14:paraId="3931CB1C"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21503.0</w:t>
            </w:r>
          </w:p>
        </w:tc>
        <w:tc>
          <w:tcPr>
            <w:tcW w:w="1180" w:type="dxa"/>
            <w:tcBorders>
              <w:top w:val="nil"/>
              <w:left w:val="nil"/>
              <w:bottom w:val="single" w:sz="4" w:space="0" w:color="000000"/>
              <w:right w:val="single" w:sz="4" w:space="0" w:color="000000"/>
            </w:tcBorders>
            <w:shd w:val="clear" w:color="auto" w:fill="auto"/>
            <w:vAlign w:val="bottom"/>
          </w:tcPr>
          <w:p w14:paraId="4649CD55"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2066.4</w:t>
            </w:r>
          </w:p>
        </w:tc>
        <w:tc>
          <w:tcPr>
            <w:tcW w:w="979" w:type="dxa"/>
            <w:tcBorders>
              <w:top w:val="nil"/>
              <w:left w:val="nil"/>
              <w:bottom w:val="single" w:sz="4" w:space="0" w:color="000000"/>
              <w:right w:val="single" w:sz="4" w:space="0" w:color="000000"/>
            </w:tcBorders>
            <w:shd w:val="clear" w:color="auto" w:fill="auto"/>
            <w:vAlign w:val="bottom"/>
          </w:tcPr>
          <w:p w14:paraId="18571FC1"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-0.220</w:t>
            </w:r>
          </w:p>
        </w:tc>
        <w:tc>
          <w:tcPr>
            <w:tcW w:w="909" w:type="dxa"/>
            <w:tcBorders>
              <w:top w:val="nil"/>
              <w:left w:val="nil"/>
              <w:bottom w:val="single" w:sz="4" w:space="0" w:color="000000"/>
              <w:right w:val="single" w:sz="4" w:space="0" w:color="000000"/>
            </w:tcBorders>
            <w:shd w:val="clear" w:color="auto" w:fill="auto"/>
            <w:vAlign w:val="bottom"/>
          </w:tcPr>
          <w:p w14:paraId="6169FBD7" w14:textId="77777777" w:rsidR="00C41CC1" w:rsidRPr="00A53502" w:rsidRDefault="00C41CC1" w:rsidP="005C7EBE">
            <w:pPr>
              <w:spacing w:line="240" w:lineRule="auto"/>
              <w:jc w:val="right"/>
              <w:rPr>
                <w:rFonts w:ascii="Times New Roman" w:eastAsia="Garamond" w:hAnsi="Times New Roman" w:cs="Times New Roman"/>
                <w:color w:val="000000" w:themeColor="text1"/>
                <w:sz w:val="20"/>
                <w:szCs w:val="20"/>
              </w:rPr>
            </w:pPr>
            <w:r w:rsidRPr="00A53502">
              <w:rPr>
                <w:rFonts w:ascii="Times New Roman" w:eastAsia="Garamond" w:hAnsi="Times New Roman" w:cs="Times New Roman"/>
                <w:color w:val="000000" w:themeColor="text1"/>
                <w:sz w:val="20"/>
                <w:szCs w:val="20"/>
              </w:rPr>
              <w:t>-0.254</w:t>
            </w:r>
          </w:p>
        </w:tc>
      </w:tr>
    </w:tbl>
    <w:p w14:paraId="2A9B5596" w14:textId="77777777" w:rsidR="00C41CC1" w:rsidRPr="00191ACB" w:rsidRDefault="00C41CC1" w:rsidP="00C41CC1">
      <w:pPr>
        <w:rPr>
          <w:rFonts w:ascii="Times New Roman" w:hAnsi="Times New Roman" w:cs="Times New Roman"/>
          <w:color w:val="000000" w:themeColor="text1"/>
          <w:sz w:val="24"/>
          <w:szCs w:val="24"/>
        </w:rPr>
      </w:pPr>
    </w:p>
    <w:p w14:paraId="242F34E2" w14:textId="4C1C9C72" w:rsidR="00C41CC1" w:rsidRPr="00191ACB" w:rsidRDefault="00C41CC1" w:rsidP="0040323D">
      <w:pPr>
        <w:pStyle w:val="Heading3"/>
        <w:numPr>
          <w:ilvl w:val="2"/>
          <w:numId w:val="36"/>
        </w:numPr>
        <w:ind w:left="851" w:hanging="851"/>
        <w:rPr>
          <w:rFonts w:cs="Times New Roman"/>
          <w:b w:val="0"/>
          <w:color w:val="000000" w:themeColor="text1"/>
          <w:szCs w:val="24"/>
        </w:rPr>
      </w:pPr>
      <w:bookmarkStart w:id="124" w:name="_Toc48427296"/>
      <w:bookmarkStart w:id="125" w:name="_Toc57902824"/>
      <w:r w:rsidRPr="0040323D">
        <w:t>Emissions</w:t>
      </w:r>
      <w:r w:rsidRPr="00191ACB">
        <w:rPr>
          <w:rFonts w:cs="Times New Roman"/>
          <w:b w:val="0"/>
          <w:color w:val="000000" w:themeColor="text1"/>
          <w:szCs w:val="24"/>
        </w:rPr>
        <w:t xml:space="preserve"> </w:t>
      </w:r>
      <w:r w:rsidRPr="0040323D">
        <w:t>Trends</w:t>
      </w:r>
      <w:bookmarkEnd w:id="124"/>
      <w:bookmarkEnd w:id="125"/>
      <w:r w:rsidRPr="00191ACB">
        <w:rPr>
          <w:rFonts w:cs="Times New Roman"/>
          <w:b w:val="0"/>
          <w:color w:val="000000" w:themeColor="text1"/>
          <w:szCs w:val="24"/>
        </w:rPr>
        <w:t xml:space="preserve"> </w:t>
      </w:r>
    </w:p>
    <w:p w14:paraId="420C9054" w14:textId="36EB9258"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Generally, emissions from the energy sector are increasing in Zambia. Energy emissions increased by 195.6% from 2179.4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in 1994 to 6443.7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in 2016</w:t>
      </w:r>
      <w:r w:rsidR="006F7EED"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 xml:space="preserve">(Figure </w:t>
      </w:r>
      <w:r w:rsidR="00026F01" w:rsidRPr="00191ACB">
        <w:rPr>
          <w:rFonts w:ascii="Times New Roman" w:hAnsi="Times New Roman" w:cs="Times New Roman"/>
          <w:color w:val="000000" w:themeColor="text1"/>
          <w:sz w:val="24"/>
          <w:szCs w:val="24"/>
        </w:rPr>
        <w:t>3.10</w:t>
      </w:r>
      <w:r w:rsidRPr="00191ACB">
        <w:rPr>
          <w:rFonts w:ascii="Times New Roman" w:hAnsi="Times New Roman" w:cs="Times New Roman"/>
          <w:color w:val="000000" w:themeColor="text1"/>
          <w:sz w:val="24"/>
          <w:szCs w:val="24"/>
        </w:rPr>
        <w:t xml:space="preserve">). The trend is attributed mainly to an increase in consumption of petroleum products driven by increase in economic activities and vehicle population.  </w:t>
      </w:r>
    </w:p>
    <w:p w14:paraId="7709B244" w14:textId="77777777" w:rsidR="00C41CC1" w:rsidRPr="00191ACB" w:rsidRDefault="00C41CC1" w:rsidP="00C41CC1">
      <w:pPr>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5D24C14B" wp14:editId="694C648F">
            <wp:extent cx="5791200" cy="2499360"/>
            <wp:effectExtent l="0" t="0" r="0" b="1524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A08CD0B" w14:textId="760E9AC8" w:rsidR="00C41CC1" w:rsidRPr="00191ACB" w:rsidRDefault="00C34ED5" w:rsidP="00C34ED5">
      <w:pPr>
        <w:pStyle w:val="Caption"/>
        <w:rPr>
          <w:iCs w:val="0"/>
          <w:color w:val="000000" w:themeColor="text1"/>
          <w:sz w:val="24"/>
          <w:szCs w:val="24"/>
        </w:rPr>
      </w:pPr>
      <w:bookmarkStart w:id="126" w:name="_Toc56583855"/>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10</w:t>
      </w:r>
      <w:r w:rsidR="009D481C">
        <w:rPr>
          <w:sz w:val="24"/>
          <w:szCs w:val="24"/>
        </w:rPr>
        <w:fldChar w:fldCharType="end"/>
      </w:r>
      <w:r w:rsidRPr="00191ACB">
        <w:rPr>
          <w:sz w:val="24"/>
          <w:szCs w:val="24"/>
        </w:rPr>
        <w:t>:Emissions Trends in the Energy Sector</w:t>
      </w:r>
      <w:bookmarkEnd w:id="126"/>
    </w:p>
    <w:p w14:paraId="7AFDA066" w14:textId="187A0450" w:rsidR="00C41CC1"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lastRenderedPageBreak/>
        <w:drawing>
          <wp:anchor distT="0" distB="0" distL="114300" distR="114300" simplePos="0" relativeHeight="251660800" behindDoc="1" locked="0" layoutInCell="1" allowOverlap="1" wp14:anchorId="4C4202C1" wp14:editId="32BAB7D0">
            <wp:simplePos x="0" y="0"/>
            <wp:positionH relativeFrom="margin">
              <wp:align>left</wp:align>
            </wp:positionH>
            <wp:positionV relativeFrom="paragraph">
              <wp:posOffset>814705</wp:posOffset>
            </wp:positionV>
            <wp:extent cx="5753100" cy="2811780"/>
            <wp:effectExtent l="0" t="0" r="0" b="7620"/>
            <wp:wrapTight wrapText="bothSides">
              <wp:wrapPolygon edited="0">
                <wp:start x="0" y="0"/>
                <wp:lineTo x="0" y="21512"/>
                <wp:lineTo x="21528" y="21512"/>
                <wp:lineTo x="21528" y="0"/>
                <wp:lineTo x="0" y="0"/>
              </wp:wrapPolygon>
            </wp:wrapTight>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page">
              <wp14:pctWidth>0</wp14:pctWidth>
            </wp14:sizeRelH>
            <wp14:sizeRelV relativeFrom="page">
              <wp14:pctHeight>0</wp14:pctHeight>
            </wp14:sizeRelV>
          </wp:anchor>
        </w:drawing>
      </w:r>
      <w:r w:rsidRPr="00191ACB">
        <w:rPr>
          <w:rFonts w:ascii="Times New Roman" w:hAnsi="Times New Roman" w:cs="Times New Roman"/>
          <w:color w:val="000000" w:themeColor="text1"/>
          <w:sz w:val="24"/>
          <w:szCs w:val="24"/>
        </w:rPr>
        <w:t xml:space="preserve">In 2016, the most significant gas in </w:t>
      </w:r>
      <w:r w:rsidR="0070428C" w:rsidRPr="00191ACB">
        <w:rPr>
          <w:rFonts w:ascii="Times New Roman" w:hAnsi="Times New Roman" w:cs="Times New Roman"/>
          <w:color w:val="000000" w:themeColor="text1"/>
          <w:sz w:val="24"/>
          <w:szCs w:val="24"/>
        </w:rPr>
        <w:t xml:space="preserve">the </w:t>
      </w:r>
      <w:r w:rsidRPr="00191ACB">
        <w:rPr>
          <w:rFonts w:ascii="Times New Roman" w:hAnsi="Times New Roman" w:cs="Times New Roman"/>
          <w:color w:val="000000" w:themeColor="text1"/>
          <w:sz w:val="24"/>
          <w:szCs w:val="24"/>
        </w:rPr>
        <w:t>energy sector was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amounting to 6137.4 Gg</w:t>
      </w:r>
      <w:r w:rsidR="0070428C" w:rsidRPr="00191ACB">
        <w:rPr>
          <w:rFonts w:ascii="Times New Roman" w:hAnsi="Times New Roman" w:cs="Times New Roman"/>
          <w:color w:val="000000" w:themeColor="text1"/>
          <w:sz w:val="24"/>
          <w:szCs w:val="24"/>
        </w:rPr>
        <w:t xml:space="preserve"> CO</w:t>
      </w:r>
      <w:r w:rsidR="0070428C"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represent</w:t>
      </w:r>
      <w:r w:rsidR="0070428C" w:rsidRPr="00191ACB">
        <w:rPr>
          <w:rFonts w:ascii="Times New Roman" w:hAnsi="Times New Roman" w:cs="Times New Roman"/>
          <w:color w:val="000000" w:themeColor="text1"/>
          <w:sz w:val="24"/>
          <w:szCs w:val="24"/>
        </w:rPr>
        <w:t>ing</w:t>
      </w:r>
      <w:r w:rsidRPr="00191ACB">
        <w:rPr>
          <w:rFonts w:ascii="Times New Roman" w:hAnsi="Times New Roman" w:cs="Times New Roman"/>
          <w:color w:val="000000" w:themeColor="text1"/>
          <w:sz w:val="24"/>
          <w:szCs w:val="24"/>
        </w:rPr>
        <w:t xml:space="preserve"> 95% of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emissions followed by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O at 3% and the least </w:t>
      </w:r>
      <w:r w:rsidR="0070428C" w:rsidRPr="00191ACB">
        <w:rPr>
          <w:rFonts w:ascii="Times New Roman" w:hAnsi="Times New Roman" w:cs="Times New Roman"/>
          <w:color w:val="000000" w:themeColor="text1"/>
          <w:sz w:val="24"/>
          <w:szCs w:val="24"/>
        </w:rPr>
        <w:t>being</w:t>
      </w:r>
      <w:r w:rsidRPr="00191ACB">
        <w:rPr>
          <w:rFonts w:ascii="Times New Roman" w:hAnsi="Times New Roman" w:cs="Times New Roman"/>
          <w:color w:val="000000" w:themeColor="text1"/>
          <w:sz w:val="24"/>
          <w:szCs w:val="24"/>
        </w:rPr>
        <w:t xml:space="preserve">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xml:space="preserve"> at 2%</w:t>
      </w:r>
      <w:r w:rsidR="0070428C"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In 1994 base year the share for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was 92% followed by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xml:space="preserve"> at 3% and the least was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at 5%.</w:t>
      </w:r>
      <w:r w:rsidR="0070428C" w:rsidRPr="00191ACB">
        <w:rPr>
          <w:rFonts w:ascii="Times New Roman" w:hAnsi="Times New Roman" w:cs="Times New Roman"/>
          <w:color w:val="000000" w:themeColor="text1"/>
          <w:sz w:val="24"/>
          <w:szCs w:val="24"/>
        </w:rPr>
        <w:t xml:space="preserve"> Figure </w:t>
      </w:r>
      <w:r w:rsidR="00C34ED5" w:rsidRPr="00191ACB">
        <w:rPr>
          <w:rFonts w:ascii="Times New Roman" w:hAnsi="Times New Roman" w:cs="Times New Roman"/>
          <w:color w:val="000000" w:themeColor="text1"/>
          <w:sz w:val="24"/>
          <w:szCs w:val="24"/>
        </w:rPr>
        <w:t>3.11</w:t>
      </w:r>
      <w:r w:rsidR="0070428C" w:rsidRPr="00191ACB">
        <w:rPr>
          <w:rFonts w:ascii="Times New Roman" w:hAnsi="Times New Roman" w:cs="Times New Roman"/>
          <w:color w:val="000000" w:themeColor="text1"/>
          <w:sz w:val="24"/>
          <w:szCs w:val="24"/>
        </w:rPr>
        <w:t xml:space="preserve"> presents emissions by gas for 2016.</w:t>
      </w:r>
    </w:p>
    <w:p w14:paraId="1C042BBC" w14:textId="670E8763" w:rsidR="00A53502" w:rsidRDefault="00A53502" w:rsidP="007917EC">
      <w:pPr>
        <w:spacing w:after="120" w:line="276" w:lineRule="auto"/>
        <w:jc w:val="both"/>
        <w:rPr>
          <w:rFonts w:ascii="Times New Roman" w:hAnsi="Times New Roman" w:cs="Times New Roman"/>
          <w:color w:val="000000" w:themeColor="text1"/>
          <w:sz w:val="24"/>
          <w:szCs w:val="24"/>
        </w:rPr>
      </w:pPr>
    </w:p>
    <w:p w14:paraId="336CD4BB" w14:textId="77777777" w:rsidR="00A53502" w:rsidRDefault="00A53502" w:rsidP="007917EC">
      <w:pPr>
        <w:spacing w:after="120" w:line="276" w:lineRule="auto"/>
        <w:jc w:val="both"/>
        <w:rPr>
          <w:rFonts w:ascii="Times New Roman" w:hAnsi="Times New Roman" w:cs="Times New Roman"/>
          <w:color w:val="000000" w:themeColor="text1"/>
          <w:sz w:val="24"/>
          <w:szCs w:val="24"/>
        </w:rPr>
      </w:pPr>
    </w:p>
    <w:p w14:paraId="244A2C42" w14:textId="77777777" w:rsidR="00033860" w:rsidRDefault="00033860" w:rsidP="007917EC">
      <w:pPr>
        <w:spacing w:after="120" w:line="276" w:lineRule="auto"/>
        <w:jc w:val="both"/>
        <w:rPr>
          <w:rFonts w:ascii="Times New Roman" w:hAnsi="Times New Roman" w:cs="Times New Roman"/>
          <w:color w:val="000000" w:themeColor="text1"/>
          <w:sz w:val="24"/>
          <w:szCs w:val="24"/>
        </w:rPr>
      </w:pPr>
    </w:p>
    <w:p w14:paraId="62A54804" w14:textId="77777777" w:rsidR="00033860" w:rsidRPr="00191ACB" w:rsidRDefault="00033860" w:rsidP="007917EC">
      <w:pPr>
        <w:spacing w:after="120" w:line="276" w:lineRule="auto"/>
        <w:jc w:val="both"/>
        <w:rPr>
          <w:rFonts w:ascii="Times New Roman" w:hAnsi="Times New Roman" w:cs="Times New Roman"/>
          <w:color w:val="000000" w:themeColor="text1"/>
          <w:sz w:val="24"/>
          <w:szCs w:val="24"/>
        </w:rPr>
      </w:pPr>
    </w:p>
    <w:p w14:paraId="49F8DBBD" w14:textId="2F4B2AD8" w:rsidR="0070428C" w:rsidRPr="00191ACB" w:rsidRDefault="0070428C" w:rsidP="005E626A">
      <w:pPr>
        <w:spacing w:after="120" w:line="240" w:lineRule="auto"/>
        <w:jc w:val="both"/>
        <w:rPr>
          <w:rFonts w:ascii="Times New Roman" w:hAnsi="Times New Roman" w:cs="Times New Roman"/>
          <w:color w:val="000000" w:themeColor="text1"/>
          <w:sz w:val="24"/>
          <w:szCs w:val="24"/>
        </w:rPr>
      </w:pPr>
    </w:p>
    <w:p w14:paraId="71B777D5" w14:textId="267D1EA4" w:rsidR="00C34ED5" w:rsidRPr="00191ACB" w:rsidRDefault="00C34ED5" w:rsidP="005E626A">
      <w:pPr>
        <w:spacing w:after="120" w:line="240" w:lineRule="auto"/>
        <w:jc w:val="both"/>
        <w:rPr>
          <w:rFonts w:ascii="Times New Roman" w:hAnsi="Times New Roman" w:cs="Times New Roman"/>
          <w:color w:val="000000" w:themeColor="text1"/>
          <w:sz w:val="24"/>
          <w:szCs w:val="24"/>
        </w:rPr>
      </w:pPr>
    </w:p>
    <w:p w14:paraId="290D4196" w14:textId="40D9E482" w:rsidR="00C34ED5" w:rsidRPr="00191ACB" w:rsidRDefault="00C34ED5" w:rsidP="005E626A">
      <w:pPr>
        <w:spacing w:after="120" w:line="240" w:lineRule="auto"/>
        <w:jc w:val="both"/>
        <w:rPr>
          <w:rFonts w:ascii="Times New Roman" w:hAnsi="Times New Roman" w:cs="Times New Roman"/>
          <w:color w:val="000000" w:themeColor="text1"/>
          <w:sz w:val="24"/>
          <w:szCs w:val="24"/>
        </w:rPr>
      </w:pPr>
    </w:p>
    <w:p w14:paraId="02201C1B" w14:textId="6B5434DB" w:rsidR="00C34ED5" w:rsidRPr="00191ACB" w:rsidRDefault="00C34ED5" w:rsidP="005E626A">
      <w:pPr>
        <w:spacing w:after="120" w:line="240" w:lineRule="auto"/>
        <w:jc w:val="both"/>
        <w:rPr>
          <w:rFonts w:ascii="Times New Roman" w:hAnsi="Times New Roman" w:cs="Times New Roman"/>
          <w:color w:val="000000" w:themeColor="text1"/>
          <w:sz w:val="24"/>
          <w:szCs w:val="24"/>
        </w:rPr>
      </w:pPr>
    </w:p>
    <w:p w14:paraId="187C9A0A" w14:textId="5C509F46" w:rsidR="00C34ED5" w:rsidRPr="00191ACB" w:rsidRDefault="00C34ED5" w:rsidP="005E626A">
      <w:pPr>
        <w:spacing w:after="120" w:line="240" w:lineRule="auto"/>
        <w:jc w:val="both"/>
        <w:rPr>
          <w:rFonts w:ascii="Times New Roman" w:hAnsi="Times New Roman" w:cs="Times New Roman"/>
          <w:color w:val="000000" w:themeColor="text1"/>
          <w:sz w:val="24"/>
          <w:szCs w:val="24"/>
        </w:rPr>
      </w:pPr>
    </w:p>
    <w:p w14:paraId="1BFB3193" w14:textId="732F1601" w:rsidR="00C34ED5" w:rsidRPr="00191ACB" w:rsidRDefault="00C34ED5" w:rsidP="005E626A">
      <w:pPr>
        <w:spacing w:after="120" w:line="240" w:lineRule="auto"/>
        <w:jc w:val="both"/>
        <w:rPr>
          <w:rFonts w:ascii="Times New Roman" w:hAnsi="Times New Roman" w:cs="Times New Roman"/>
          <w:color w:val="000000" w:themeColor="text1"/>
          <w:sz w:val="24"/>
          <w:szCs w:val="24"/>
        </w:rPr>
      </w:pPr>
    </w:p>
    <w:p w14:paraId="706C27C9" w14:textId="5EBF66CE" w:rsidR="00C34ED5" w:rsidRPr="00191ACB" w:rsidRDefault="00C34ED5" w:rsidP="005E626A">
      <w:pPr>
        <w:spacing w:after="120" w:line="240" w:lineRule="auto"/>
        <w:jc w:val="both"/>
        <w:rPr>
          <w:rFonts w:ascii="Times New Roman" w:hAnsi="Times New Roman" w:cs="Times New Roman"/>
          <w:color w:val="000000" w:themeColor="text1"/>
          <w:sz w:val="24"/>
          <w:szCs w:val="24"/>
        </w:rPr>
      </w:pPr>
    </w:p>
    <w:p w14:paraId="20E5E9E8" w14:textId="49598073" w:rsidR="00C34ED5" w:rsidRPr="00191ACB" w:rsidRDefault="00A53502" w:rsidP="00C34ED5">
      <w:pPr>
        <w:pStyle w:val="Caption"/>
        <w:rPr>
          <w:iCs w:val="0"/>
          <w:color w:val="000000" w:themeColor="text1"/>
          <w:sz w:val="24"/>
          <w:szCs w:val="24"/>
          <w:highlight w:val="yellow"/>
        </w:rPr>
      </w:pPr>
      <w:bookmarkStart w:id="127" w:name="_Toc56583856"/>
      <w:bookmarkStart w:id="128" w:name="_Toc15311606"/>
      <w:bookmarkStart w:id="129" w:name="_Toc48427440"/>
      <w:r>
        <w:rPr>
          <w:sz w:val="24"/>
          <w:szCs w:val="24"/>
        </w:rPr>
        <w:t>F</w:t>
      </w:r>
      <w:r w:rsidR="00C34ED5" w:rsidRPr="00191ACB">
        <w:rPr>
          <w:sz w:val="24"/>
          <w:szCs w:val="24"/>
        </w:rPr>
        <w:t xml:space="preserve">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11</w:t>
      </w:r>
      <w:r w:rsidR="009D481C">
        <w:rPr>
          <w:sz w:val="24"/>
          <w:szCs w:val="24"/>
        </w:rPr>
        <w:fldChar w:fldCharType="end"/>
      </w:r>
      <w:r w:rsidR="00C34ED5" w:rsidRPr="00191ACB">
        <w:rPr>
          <w:sz w:val="24"/>
          <w:szCs w:val="24"/>
        </w:rPr>
        <w:t>:Emissions by gas Gg CO2 eq</w:t>
      </w:r>
      <w:bookmarkEnd w:id="127"/>
    </w:p>
    <w:bookmarkEnd w:id="128"/>
    <w:bookmarkEnd w:id="129"/>
    <w:p w14:paraId="069CE3A6" w14:textId="77777777" w:rsidR="00FB59E0" w:rsidRPr="00191ACB" w:rsidRDefault="00FB59E0" w:rsidP="005E626A">
      <w:pPr>
        <w:spacing w:after="120" w:line="240" w:lineRule="auto"/>
        <w:jc w:val="both"/>
        <w:rPr>
          <w:rFonts w:ascii="Times New Roman" w:eastAsia="Times New Roman" w:hAnsi="Times New Roman" w:cs="Times New Roman"/>
          <w:iCs/>
          <w:color w:val="000000" w:themeColor="text1"/>
          <w:sz w:val="24"/>
          <w:szCs w:val="24"/>
        </w:rPr>
      </w:pPr>
    </w:p>
    <w:p w14:paraId="555C52D5" w14:textId="143A73C5" w:rsidR="00C41CC1" w:rsidRPr="00191ACB" w:rsidRDefault="00C41CC1" w:rsidP="00A53502">
      <w:pPr>
        <w:pStyle w:val="Heading3"/>
        <w:numPr>
          <w:ilvl w:val="2"/>
          <w:numId w:val="36"/>
        </w:numPr>
        <w:ind w:left="851" w:hanging="851"/>
      </w:pPr>
      <w:bookmarkStart w:id="130" w:name="_Toc15311471"/>
      <w:bookmarkStart w:id="131" w:name="_Toc48427297"/>
      <w:bookmarkStart w:id="132" w:name="_Toc57902825"/>
      <w:r w:rsidRPr="00191ACB">
        <w:t>Emissions from Categories</w:t>
      </w:r>
      <w:bookmarkEnd w:id="130"/>
      <w:bookmarkEnd w:id="131"/>
      <w:bookmarkEnd w:id="132"/>
    </w:p>
    <w:p w14:paraId="51E29237" w14:textId="77777777"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This section provides respective emissions, activity data and emission factors and methodologies for fuel combustion and fugitive emissions categories.</w:t>
      </w:r>
      <w:bookmarkStart w:id="133" w:name="_Toc15311472"/>
    </w:p>
    <w:p w14:paraId="123BE379" w14:textId="4722BD1B" w:rsidR="00C41CC1" w:rsidRPr="00191ACB" w:rsidRDefault="00C41CC1" w:rsidP="00A53502">
      <w:pPr>
        <w:pStyle w:val="Heading4"/>
        <w:numPr>
          <w:ilvl w:val="3"/>
          <w:numId w:val="36"/>
        </w:numPr>
        <w:ind w:left="851" w:hanging="851"/>
      </w:pPr>
      <w:r w:rsidRPr="00191ACB">
        <w:t>Fuel Combustion Activities</w:t>
      </w:r>
      <w:bookmarkEnd w:id="133"/>
    </w:p>
    <w:p w14:paraId="1E924FE2" w14:textId="7000AC18"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subcategories under fuel combustion include, energy, manufacturing, and transport </w:t>
      </w:r>
      <w:r w:rsidR="00FF002A" w:rsidRPr="00191ACB">
        <w:rPr>
          <w:rFonts w:ascii="Times New Roman" w:hAnsi="Times New Roman" w:cs="Times New Roman"/>
          <w:color w:val="000000" w:themeColor="text1"/>
          <w:sz w:val="24"/>
          <w:szCs w:val="24"/>
        </w:rPr>
        <w:t xml:space="preserve">industries </w:t>
      </w:r>
      <w:r w:rsidRPr="00191ACB">
        <w:rPr>
          <w:rFonts w:ascii="Times New Roman" w:hAnsi="Times New Roman" w:cs="Times New Roman"/>
          <w:color w:val="000000" w:themeColor="text1"/>
          <w:sz w:val="24"/>
          <w:szCs w:val="24"/>
        </w:rPr>
        <w:t>such as road, rail, navigation, aviation and commercial/residential. The major contributor to emissions in the Fuel Combustion</w:t>
      </w:r>
      <w:r w:rsidR="00FF002A" w:rsidRPr="00191ACB">
        <w:rPr>
          <w:rFonts w:ascii="Times New Roman" w:hAnsi="Times New Roman" w:cs="Times New Roman"/>
          <w:color w:val="000000" w:themeColor="text1"/>
          <w:sz w:val="24"/>
          <w:szCs w:val="24"/>
        </w:rPr>
        <w:t xml:space="preserve"> sub category</w:t>
      </w:r>
      <w:r w:rsidRPr="00191ACB">
        <w:rPr>
          <w:rFonts w:ascii="Times New Roman" w:hAnsi="Times New Roman" w:cs="Times New Roman"/>
          <w:color w:val="000000" w:themeColor="text1"/>
          <w:sz w:val="24"/>
          <w:szCs w:val="24"/>
        </w:rPr>
        <w:t xml:space="preserve"> in 2010 was manufacturing industries and construction </w:t>
      </w:r>
      <w:r w:rsidR="00FF002A" w:rsidRPr="00191ACB">
        <w:rPr>
          <w:rFonts w:ascii="Times New Roman" w:hAnsi="Times New Roman" w:cs="Times New Roman"/>
          <w:color w:val="000000" w:themeColor="text1"/>
          <w:sz w:val="24"/>
          <w:szCs w:val="24"/>
        </w:rPr>
        <w:t>at</w:t>
      </w:r>
      <w:r w:rsidRPr="00191ACB">
        <w:rPr>
          <w:rFonts w:ascii="Times New Roman" w:hAnsi="Times New Roman" w:cs="Times New Roman"/>
          <w:color w:val="000000" w:themeColor="text1"/>
          <w:sz w:val="24"/>
          <w:szCs w:val="24"/>
        </w:rPr>
        <w:t xml:space="preserve"> 50% </w:t>
      </w:r>
      <w:r w:rsidR="00FF002A" w:rsidRPr="00191ACB">
        <w:rPr>
          <w:rFonts w:ascii="Times New Roman" w:hAnsi="Times New Roman" w:cs="Times New Roman"/>
          <w:color w:val="000000" w:themeColor="text1"/>
          <w:sz w:val="24"/>
          <w:szCs w:val="24"/>
        </w:rPr>
        <w:t>while Transport and</w:t>
      </w:r>
      <w:r w:rsidRPr="00191ACB">
        <w:rPr>
          <w:rFonts w:ascii="Times New Roman" w:hAnsi="Times New Roman" w:cs="Times New Roman"/>
          <w:color w:val="000000" w:themeColor="text1"/>
          <w:sz w:val="24"/>
          <w:szCs w:val="24"/>
        </w:rPr>
        <w:t xml:space="preserve"> other sectors (commercial/</w:t>
      </w:r>
      <w:r w:rsidR="00FF002A"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institutional, residential,</w:t>
      </w:r>
      <w:r w:rsidR="00FF002A"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Agriculture/</w:t>
      </w:r>
      <w:r w:rsidR="00FF002A"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Forestry/</w:t>
      </w:r>
      <w:r w:rsidR="00FF002A"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Fishing</w:t>
      </w:r>
      <w:r w:rsidR="00FF002A" w:rsidRPr="00191ACB">
        <w:rPr>
          <w:rFonts w:ascii="Times New Roman" w:hAnsi="Times New Roman" w:cs="Times New Roman"/>
          <w:color w:val="000000" w:themeColor="text1"/>
          <w:sz w:val="24"/>
          <w:szCs w:val="24"/>
        </w:rPr>
        <w:t xml:space="preserve"> and fish farms</w:t>
      </w:r>
      <w:r w:rsidRPr="00191ACB">
        <w:rPr>
          <w:rFonts w:ascii="Times New Roman" w:hAnsi="Times New Roman" w:cs="Times New Roman"/>
          <w:color w:val="000000" w:themeColor="text1"/>
          <w:sz w:val="24"/>
          <w:szCs w:val="24"/>
        </w:rPr>
        <w:t>) both contribut</w:t>
      </w:r>
      <w:r w:rsidR="00FF002A" w:rsidRPr="00191ACB">
        <w:rPr>
          <w:rFonts w:ascii="Times New Roman" w:hAnsi="Times New Roman" w:cs="Times New Roman"/>
          <w:color w:val="000000" w:themeColor="text1"/>
          <w:sz w:val="24"/>
          <w:szCs w:val="24"/>
        </w:rPr>
        <w:t xml:space="preserve">ed </w:t>
      </w:r>
      <w:r w:rsidRPr="00191ACB">
        <w:rPr>
          <w:rFonts w:ascii="Times New Roman" w:hAnsi="Times New Roman" w:cs="Times New Roman"/>
          <w:color w:val="000000" w:themeColor="text1"/>
          <w:sz w:val="24"/>
          <w:szCs w:val="24"/>
        </w:rPr>
        <w:t>22</w:t>
      </w:r>
      <w:r w:rsidR="00644D54" w:rsidRPr="00191ACB">
        <w:rPr>
          <w:rFonts w:ascii="Times New Roman" w:hAnsi="Times New Roman" w:cs="Times New Roman"/>
          <w:color w:val="000000" w:themeColor="text1"/>
          <w:sz w:val="24"/>
          <w:szCs w:val="24"/>
        </w:rPr>
        <w:t xml:space="preserve"> percent and</w:t>
      </w:r>
      <w:r w:rsidRPr="00191ACB">
        <w:rPr>
          <w:rFonts w:ascii="Times New Roman" w:hAnsi="Times New Roman" w:cs="Times New Roman"/>
          <w:color w:val="000000" w:themeColor="text1"/>
          <w:sz w:val="24"/>
          <w:szCs w:val="24"/>
        </w:rPr>
        <w:t xml:space="preserve"> least was energy industries at 6</w:t>
      </w:r>
      <w:r w:rsidR="00644D54" w:rsidRPr="00191ACB">
        <w:rPr>
          <w:rFonts w:ascii="Times New Roman" w:hAnsi="Times New Roman" w:cs="Times New Roman"/>
          <w:color w:val="000000" w:themeColor="text1"/>
          <w:sz w:val="24"/>
          <w:szCs w:val="24"/>
        </w:rPr>
        <w:t xml:space="preserve"> percent</w:t>
      </w:r>
      <w:r w:rsidR="00026F01"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Compared to the 1994 base year (</w:t>
      </w:r>
      <w:r w:rsidRPr="00191ACB">
        <w:rPr>
          <w:rFonts w:ascii="Times New Roman" w:eastAsia="Times New Roman" w:hAnsi="Times New Roman" w:cs="Times New Roman"/>
          <w:color w:val="000000" w:themeColor="text1"/>
          <w:sz w:val="24"/>
          <w:szCs w:val="24"/>
        </w:rPr>
        <w:t>905.5</w:t>
      </w:r>
      <w:r w:rsidRPr="00191ACB">
        <w:rPr>
          <w:rFonts w:ascii="Times New Roman" w:hAnsi="Times New Roman" w:cs="Times New Roman"/>
          <w:color w:val="000000" w:themeColor="text1"/>
          <w:sz w:val="24"/>
          <w:szCs w:val="24"/>
        </w:rPr>
        <w:t xml:space="preserve">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the emissions from manufacturing and construction industries increased to </w:t>
      </w:r>
      <w:r w:rsidRPr="00191ACB">
        <w:rPr>
          <w:rFonts w:ascii="Times New Roman" w:eastAsia="Times New Roman" w:hAnsi="Times New Roman" w:cs="Times New Roman"/>
          <w:color w:val="000000" w:themeColor="text1"/>
          <w:sz w:val="24"/>
          <w:szCs w:val="24"/>
        </w:rPr>
        <w:t>2274.2</w:t>
      </w:r>
      <w:r w:rsidRPr="00191ACB">
        <w:rPr>
          <w:rFonts w:ascii="Times New Roman" w:hAnsi="Times New Roman" w:cs="Times New Roman"/>
          <w:color w:val="000000" w:themeColor="text1"/>
          <w:sz w:val="24"/>
          <w:szCs w:val="24"/>
        </w:rPr>
        <w:t xml:space="preserve">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2016 representing an increase of 151.1%. On the other hand, emissions from energy industries increased from 165.4 Gg CO</w:t>
      </w:r>
      <w:r w:rsidRPr="00191ACB">
        <w:rPr>
          <w:rFonts w:ascii="Times New Roman" w:hAnsi="Times New Roman" w:cs="Times New Roman"/>
          <w:color w:val="000000" w:themeColor="text1"/>
          <w:sz w:val="24"/>
          <w:szCs w:val="24"/>
          <w:vertAlign w:val="subscript"/>
        </w:rPr>
        <w:t xml:space="preserve">2 eq. </w:t>
      </w:r>
      <w:r w:rsidRPr="00191ACB">
        <w:rPr>
          <w:rFonts w:ascii="Times New Roman" w:hAnsi="Times New Roman" w:cs="Times New Roman"/>
          <w:color w:val="000000" w:themeColor="text1"/>
          <w:sz w:val="24"/>
          <w:szCs w:val="24"/>
        </w:rPr>
        <w:t xml:space="preserve">in 1994 to </w:t>
      </w:r>
      <w:r w:rsidRPr="00191ACB">
        <w:rPr>
          <w:rFonts w:ascii="Times New Roman" w:eastAsia="Times New Roman" w:hAnsi="Times New Roman" w:cs="Times New Roman"/>
          <w:color w:val="000000" w:themeColor="text1"/>
          <w:sz w:val="24"/>
          <w:szCs w:val="24"/>
        </w:rPr>
        <w:t>1090.9</w:t>
      </w:r>
      <w:r w:rsidRPr="00191ACB">
        <w:rPr>
          <w:rFonts w:ascii="Times New Roman" w:hAnsi="Times New Roman" w:cs="Times New Roman"/>
          <w:color w:val="000000" w:themeColor="text1"/>
          <w:sz w:val="24"/>
          <w:szCs w:val="24"/>
        </w:rPr>
        <w:t>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2016. Transport and Other sectors increased by 86.6</w:t>
      </w:r>
      <w:r w:rsidR="00644D54"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and 308.6</w:t>
      </w:r>
      <w:r w:rsidR="00644D54"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from 1994 base year</w:t>
      </w:r>
      <w:r w:rsidR="00644D54" w:rsidRPr="00191ACB">
        <w:rPr>
          <w:rFonts w:ascii="Times New Roman" w:hAnsi="Times New Roman" w:cs="Times New Roman"/>
          <w:color w:val="000000" w:themeColor="text1"/>
          <w:sz w:val="24"/>
          <w:szCs w:val="24"/>
        </w:rPr>
        <w:t xml:space="preserve"> to 2016</w:t>
      </w:r>
      <w:r w:rsidRPr="00191ACB">
        <w:rPr>
          <w:rFonts w:ascii="Times New Roman" w:hAnsi="Times New Roman" w:cs="Times New Roman"/>
          <w:color w:val="000000" w:themeColor="text1"/>
          <w:sz w:val="24"/>
          <w:szCs w:val="24"/>
        </w:rPr>
        <w:t xml:space="preserve"> respectively (Table </w:t>
      </w:r>
      <w:r w:rsidR="00C34ED5" w:rsidRPr="00191ACB">
        <w:rPr>
          <w:rFonts w:ascii="Times New Roman" w:hAnsi="Times New Roman" w:cs="Times New Roman"/>
          <w:color w:val="000000" w:themeColor="text1"/>
          <w:sz w:val="24"/>
          <w:szCs w:val="24"/>
        </w:rPr>
        <w:t>3.12</w:t>
      </w:r>
      <w:r w:rsidRPr="00191ACB">
        <w:rPr>
          <w:rFonts w:ascii="Times New Roman" w:hAnsi="Times New Roman" w:cs="Times New Roman"/>
          <w:color w:val="000000" w:themeColor="text1"/>
          <w:sz w:val="24"/>
          <w:szCs w:val="24"/>
        </w:rPr>
        <w:t>).</w:t>
      </w:r>
    </w:p>
    <w:p w14:paraId="6E0F4A0B" w14:textId="77777777" w:rsidR="00C41CC1" w:rsidRPr="00191ACB" w:rsidRDefault="00C41CC1" w:rsidP="00C41CC1">
      <w:pPr>
        <w:rPr>
          <w:rFonts w:ascii="Times New Roman" w:hAnsi="Times New Roman" w:cs="Times New Roman"/>
          <w:b/>
          <w:color w:val="000000" w:themeColor="text1"/>
          <w:sz w:val="24"/>
          <w:szCs w:val="24"/>
        </w:rPr>
      </w:pPr>
      <w:r w:rsidRPr="00191ACB">
        <w:rPr>
          <w:rFonts w:ascii="Times New Roman" w:hAnsi="Times New Roman" w:cs="Times New Roman"/>
          <w:noProof/>
          <w:color w:val="000000" w:themeColor="text1"/>
          <w:sz w:val="24"/>
          <w:szCs w:val="24"/>
          <w:lang w:val="en-GB" w:eastAsia="en-GB"/>
        </w:rPr>
        <w:lastRenderedPageBreak/>
        <w:drawing>
          <wp:anchor distT="0" distB="0" distL="114300" distR="114300" simplePos="0" relativeHeight="251653632" behindDoc="0" locked="0" layoutInCell="1" allowOverlap="1" wp14:anchorId="47B8507E" wp14:editId="402A75B0">
            <wp:simplePos x="0" y="0"/>
            <wp:positionH relativeFrom="margin">
              <wp:posOffset>701675</wp:posOffset>
            </wp:positionH>
            <wp:positionV relativeFrom="paragraph">
              <wp:posOffset>196850</wp:posOffset>
            </wp:positionV>
            <wp:extent cx="4366260" cy="2438400"/>
            <wp:effectExtent l="0" t="0" r="15240" b="0"/>
            <wp:wrapThrough wrapText="bothSides">
              <wp:wrapPolygon edited="0">
                <wp:start x="0" y="0"/>
                <wp:lineTo x="0" y="21431"/>
                <wp:lineTo x="21581" y="21431"/>
                <wp:lineTo x="21581" y="0"/>
                <wp:lineTo x="0" y="0"/>
              </wp:wrapPolygon>
            </wp:wrapThrough>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page">
              <wp14:pctWidth>0</wp14:pctWidth>
            </wp14:sizeRelH>
            <wp14:sizeRelV relativeFrom="page">
              <wp14:pctHeight>0</wp14:pctHeight>
            </wp14:sizeRelV>
          </wp:anchor>
        </w:drawing>
      </w:r>
    </w:p>
    <w:p w14:paraId="5B9889FF" w14:textId="77777777" w:rsidR="00C41CC1" w:rsidRPr="00191ACB" w:rsidRDefault="00C41CC1" w:rsidP="00C41CC1">
      <w:pPr>
        <w:jc w:val="both"/>
        <w:rPr>
          <w:rFonts w:ascii="Times New Roman" w:hAnsi="Times New Roman" w:cs="Times New Roman"/>
          <w:color w:val="000000" w:themeColor="text1"/>
          <w:sz w:val="24"/>
          <w:szCs w:val="24"/>
        </w:rPr>
      </w:pPr>
    </w:p>
    <w:p w14:paraId="05F2DB2D" w14:textId="77777777" w:rsidR="00C41CC1" w:rsidRPr="00191ACB" w:rsidRDefault="00C41CC1" w:rsidP="00C41CC1">
      <w:pPr>
        <w:jc w:val="both"/>
        <w:rPr>
          <w:rFonts w:ascii="Times New Roman" w:hAnsi="Times New Roman" w:cs="Times New Roman"/>
          <w:color w:val="000000" w:themeColor="text1"/>
          <w:sz w:val="24"/>
          <w:szCs w:val="24"/>
        </w:rPr>
      </w:pPr>
    </w:p>
    <w:p w14:paraId="50CEF12A" w14:textId="77777777" w:rsidR="00C41CC1" w:rsidRPr="00191ACB" w:rsidRDefault="00C41CC1" w:rsidP="00C41CC1">
      <w:pPr>
        <w:jc w:val="both"/>
        <w:rPr>
          <w:rFonts w:ascii="Times New Roman" w:hAnsi="Times New Roman" w:cs="Times New Roman"/>
          <w:color w:val="000000" w:themeColor="text1"/>
          <w:sz w:val="24"/>
          <w:szCs w:val="24"/>
        </w:rPr>
      </w:pPr>
    </w:p>
    <w:p w14:paraId="2E06AB5B" w14:textId="77777777" w:rsidR="00C41CC1" w:rsidRPr="00191ACB" w:rsidRDefault="00C41CC1" w:rsidP="00C41CC1">
      <w:pPr>
        <w:rPr>
          <w:rFonts w:ascii="Times New Roman" w:hAnsi="Times New Roman" w:cs="Times New Roman"/>
          <w:color w:val="000000" w:themeColor="text1"/>
          <w:sz w:val="24"/>
          <w:szCs w:val="24"/>
        </w:rPr>
      </w:pPr>
    </w:p>
    <w:p w14:paraId="50E88664" w14:textId="77777777" w:rsidR="00C41CC1" w:rsidRPr="00191ACB" w:rsidRDefault="00C41CC1" w:rsidP="00C41CC1">
      <w:pPr>
        <w:rPr>
          <w:rFonts w:ascii="Times New Roman" w:hAnsi="Times New Roman" w:cs="Times New Roman"/>
          <w:color w:val="000000" w:themeColor="text1"/>
          <w:sz w:val="24"/>
          <w:szCs w:val="24"/>
        </w:rPr>
      </w:pPr>
    </w:p>
    <w:p w14:paraId="03789D59" w14:textId="77777777" w:rsidR="00C41CC1" w:rsidRPr="00191ACB" w:rsidRDefault="00C41CC1" w:rsidP="00C41CC1">
      <w:pPr>
        <w:rPr>
          <w:rFonts w:ascii="Times New Roman" w:hAnsi="Times New Roman" w:cs="Times New Roman"/>
          <w:color w:val="000000" w:themeColor="text1"/>
          <w:sz w:val="24"/>
          <w:szCs w:val="24"/>
        </w:rPr>
      </w:pPr>
    </w:p>
    <w:p w14:paraId="45390BD7" w14:textId="77777777" w:rsidR="00C41CC1" w:rsidRPr="00191ACB" w:rsidRDefault="00C41CC1" w:rsidP="00C41CC1">
      <w:pPr>
        <w:rPr>
          <w:rFonts w:ascii="Times New Roman" w:hAnsi="Times New Roman" w:cs="Times New Roman"/>
          <w:color w:val="000000" w:themeColor="text1"/>
          <w:sz w:val="24"/>
          <w:szCs w:val="24"/>
        </w:rPr>
      </w:pPr>
    </w:p>
    <w:p w14:paraId="38880CE6" w14:textId="77777777" w:rsidR="00C41CC1" w:rsidRPr="00191ACB" w:rsidRDefault="00C41CC1" w:rsidP="00C41CC1">
      <w:pPr>
        <w:rPr>
          <w:rFonts w:ascii="Times New Roman" w:hAnsi="Times New Roman" w:cs="Times New Roman"/>
          <w:color w:val="000000" w:themeColor="text1"/>
          <w:sz w:val="24"/>
          <w:szCs w:val="24"/>
        </w:rPr>
      </w:pPr>
    </w:p>
    <w:p w14:paraId="5663AC92" w14:textId="77777777" w:rsidR="00C41CC1" w:rsidRPr="00191ACB" w:rsidRDefault="00C41CC1" w:rsidP="00C41CC1">
      <w:pPr>
        <w:rPr>
          <w:rFonts w:ascii="Times New Roman" w:hAnsi="Times New Roman" w:cs="Times New Roman"/>
          <w:color w:val="000000" w:themeColor="text1"/>
          <w:sz w:val="24"/>
          <w:szCs w:val="24"/>
        </w:rPr>
      </w:pPr>
    </w:p>
    <w:p w14:paraId="6005C568" w14:textId="01FB4EF8" w:rsidR="00C41CC1" w:rsidRPr="00191ACB" w:rsidRDefault="00C34ED5" w:rsidP="00C34ED5">
      <w:pPr>
        <w:pStyle w:val="Caption"/>
        <w:rPr>
          <w:i w:val="0"/>
          <w:color w:val="000000" w:themeColor="text1"/>
          <w:sz w:val="24"/>
          <w:szCs w:val="24"/>
        </w:rPr>
      </w:pPr>
      <w:bookmarkStart w:id="134" w:name="_Toc56583857"/>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12</w:t>
      </w:r>
      <w:r w:rsidR="009D481C">
        <w:rPr>
          <w:sz w:val="24"/>
          <w:szCs w:val="24"/>
        </w:rPr>
        <w:fldChar w:fldCharType="end"/>
      </w:r>
      <w:r w:rsidRPr="00191ACB">
        <w:rPr>
          <w:sz w:val="24"/>
          <w:szCs w:val="24"/>
        </w:rPr>
        <w:t>:Percentage contribution of emissions sources for fuel combustion in 2016</w:t>
      </w:r>
      <w:bookmarkEnd w:id="134"/>
    </w:p>
    <w:p w14:paraId="47F19897" w14:textId="77777777" w:rsidR="00FC4FC5" w:rsidRPr="00191ACB" w:rsidRDefault="00FC4FC5" w:rsidP="007E5CE1">
      <w:pPr>
        <w:spacing w:after="120" w:line="240" w:lineRule="auto"/>
        <w:jc w:val="both"/>
        <w:rPr>
          <w:rFonts w:ascii="Times New Roman" w:hAnsi="Times New Roman" w:cs="Times New Roman"/>
          <w:color w:val="000000" w:themeColor="text1"/>
          <w:sz w:val="24"/>
          <w:szCs w:val="24"/>
        </w:rPr>
      </w:pPr>
    </w:p>
    <w:p w14:paraId="4E495ACC" w14:textId="269F0D62" w:rsidR="00C41CC1" w:rsidRPr="00191ACB" w:rsidRDefault="00C41CC1" w:rsidP="005E626A">
      <w:pPr>
        <w:pStyle w:val="NoSpacing"/>
        <w:spacing w:after="120"/>
        <w:rPr>
          <w:rFonts w:ascii="Times New Roman" w:hAnsi="Times New Roman" w:cs="Times New Roman"/>
          <w:b/>
          <w:color w:val="000000" w:themeColor="text1"/>
          <w:sz w:val="24"/>
          <w:szCs w:val="24"/>
        </w:rPr>
      </w:pPr>
      <w:bookmarkStart w:id="135" w:name="_Toc15311473"/>
      <w:bookmarkStart w:id="136" w:name="_Toc48427298"/>
      <w:r w:rsidRPr="00191ACB">
        <w:rPr>
          <w:rFonts w:ascii="Times New Roman" w:hAnsi="Times New Roman" w:cs="Times New Roman"/>
          <w:b/>
          <w:color w:val="000000" w:themeColor="text1"/>
          <w:sz w:val="24"/>
          <w:szCs w:val="24"/>
        </w:rPr>
        <w:t>Methodological issues</w:t>
      </w:r>
      <w:bookmarkEnd w:id="135"/>
      <w:bookmarkEnd w:id="136"/>
      <w:r w:rsidRPr="00191ACB">
        <w:rPr>
          <w:rFonts w:ascii="Times New Roman" w:hAnsi="Times New Roman" w:cs="Times New Roman"/>
          <w:b/>
          <w:color w:val="000000" w:themeColor="text1"/>
          <w:sz w:val="24"/>
          <w:szCs w:val="24"/>
        </w:rPr>
        <w:t xml:space="preserve"> </w:t>
      </w:r>
    </w:p>
    <w:p w14:paraId="6F2D34F3" w14:textId="77777777"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For the energy sector, a simple methodological approach in estimating emissions was used where to multiply activity data with emission factor as shown in the basic equation below. </w:t>
      </w:r>
    </w:p>
    <w:p w14:paraId="451B742D" w14:textId="1C600281" w:rsidR="00C41CC1" w:rsidRPr="00191ACB" w:rsidRDefault="00C41CC1" w:rsidP="005E626A">
      <w:pPr>
        <w:spacing w:after="120" w:line="240" w:lineRule="auto"/>
        <w:ind w:left="1440"/>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Emissions = Activity Data (AD) * Emissions Factor (EF)</w:t>
      </w:r>
    </w:p>
    <w:p w14:paraId="6C3F3741" w14:textId="77777777"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choice of methodology was made using decision trees to decide which tier to use in estimating emissions. </w:t>
      </w:r>
    </w:p>
    <w:p w14:paraId="361AAC07" w14:textId="77777777" w:rsidR="00FC4FC5" w:rsidRPr="00191ACB" w:rsidRDefault="00FC4FC5" w:rsidP="005E626A">
      <w:pPr>
        <w:spacing w:after="120" w:line="240" w:lineRule="auto"/>
        <w:jc w:val="both"/>
        <w:rPr>
          <w:rFonts w:ascii="Times New Roman" w:hAnsi="Times New Roman" w:cs="Times New Roman"/>
          <w:color w:val="000000" w:themeColor="text1"/>
          <w:sz w:val="24"/>
          <w:szCs w:val="24"/>
        </w:rPr>
      </w:pPr>
    </w:p>
    <w:p w14:paraId="23F56397" w14:textId="0F4FE47A" w:rsidR="000F075B" w:rsidRPr="00191ACB" w:rsidRDefault="000F075B" w:rsidP="005E626A">
      <w:pPr>
        <w:pStyle w:val="NoSpacing"/>
        <w:spacing w:after="120"/>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Activity data</w:t>
      </w:r>
    </w:p>
    <w:p w14:paraId="1A64D165" w14:textId="15DB628A" w:rsidR="000F075B" w:rsidRPr="00191ACB" w:rsidRDefault="000F075B"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activity data used to estimate emissions in the Fuel Combustion category was collected from industries and government reports.</w:t>
      </w:r>
    </w:p>
    <w:p w14:paraId="1A77BF96" w14:textId="77777777" w:rsidR="00FC4FC5" w:rsidRPr="00191ACB" w:rsidRDefault="00FC4FC5" w:rsidP="003E52C4">
      <w:pPr>
        <w:pStyle w:val="Heading2"/>
        <w:spacing w:after="120" w:line="240" w:lineRule="auto"/>
        <w:rPr>
          <w:rFonts w:ascii="Times New Roman" w:hAnsi="Times New Roman" w:cs="Times New Roman"/>
          <w:b/>
          <w:color w:val="000000" w:themeColor="text1"/>
          <w:sz w:val="24"/>
          <w:szCs w:val="24"/>
        </w:rPr>
      </w:pPr>
    </w:p>
    <w:p w14:paraId="5037AF73" w14:textId="0C0CCDA3" w:rsidR="00C41CC1" w:rsidRPr="00A53502" w:rsidRDefault="00C41CC1" w:rsidP="00A53502">
      <w:pPr>
        <w:pStyle w:val="Heading4"/>
        <w:numPr>
          <w:ilvl w:val="3"/>
          <w:numId w:val="36"/>
        </w:numPr>
        <w:ind w:left="851" w:hanging="851"/>
        <w:rPr>
          <w:rFonts w:cs="Times New Roman"/>
          <w:color w:val="000000" w:themeColor="text1"/>
        </w:rPr>
      </w:pPr>
      <w:bookmarkStart w:id="137" w:name="_Toc15311475"/>
      <w:bookmarkStart w:id="138" w:name="_Toc48427300"/>
      <w:r w:rsidRPr="00A53502">
        <w:t>Fugitive</w:t>
      </w:r>
      <w:r w:rsidRPr="00A53502">
        <w:rPr>
          <w:rFonts w:cs="Times New Roman"/>
          <w:color w:val="000000" w:themeColor="text1"/>
        </w:rPr>
        <w:t xml:space="preserve"> Emissions from Fuels</w:t>
      </w:r>
      <w:bookmarkEnd w:id="137"/>
      <w:bookmarkEnd w:id="138"/>
    </w:p>
    <w:p w14:paraId="0352ABEB" w14:textId="39711CCC"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Fugitive emissions include all intentional and unintentional emissions from the extraction, processing, storage and transport of solid, liquid and gaseous fuel to the point of final use.  Fugitive emissions in the energy sector were from solid fuels and surface coal mining. The geological processes of coal formation produce methane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and carbon dioxide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may be present in some coal seams. These are known collectively as seam gas and remain trapped in the coal seam until the coal is exposed and broken during mining. </w:t>
      </w:r>
      <w:r w:rsidR="00F97772" w:rsidRPr="00191ACB">
        <w:rPr>
          <w:rFonts w:ascii="Times New Roman" w:hAnsi="Times New Roman" w:cs="Times New Roman"/>
          <w:color w:val="000000" w:themeColor="text1"/>
          <w:sz w:val="24"/>
          <w:szCs w:val="24"/>
        </w:rPr>
        <w:t>Methane</w:t>
      </w:r>
      <w:r w:rsidRPr="00191ACB">
        <w:rPr>
          <w:rFonts w:ascii="Times New Roman" w:hAnsi="Times New Roman" w:cs="Times New Roman"/>
          <w:color w:val="000000" w:themeColor="text1"/>
          <w:sz w:val="24"/>
          <w:szCs w:val="24"/>
        </w:rPr>
        <w:t xml:space="preserve"> is the major greenhouse gas emitted from coal mining and handling. </w:t>
      </w:r>
      <w:r w:rsidR="00F97772" w:rsidRPr="00191ACB">
        <w:rPr>
          <w:rFonts w:ascii="Times New Roman" w:hAnsi="Times New Roman" w:cs="Times New Roman"/>
          <w:color w:val="000000" w:themeColor="text1"/>
          <w:sz w:val="24"/>
          <w:szCs w:val="24"/>
        </w:rPr>
        <w:t>E</w:t>
      </w:r>
      <w:r w:rsidRPr="00191ACB">
        <w:rPr>
          <w:rFonts w:ascii="Times New Roman" w:hAnsi="Times New Roman" w:cs="Times New Roman"/>
          <w:color w:val="000000" w:themeColor="text1"/>
          <w:sz w:val="24"/>
          <w:szCs w:val="24"/>
        </w:rPr>
        <w:t>missions</w:t>
      </w:r>
      <w:r w:rsidR="00F97772" w:rsidRPr="00191ACB">
        <w:rPr>
          <w:rFonts w:ascii="Times New Roman" w:hAnsi="Times New Roman" w:cs="Times New Roman"/>
          <w:color w:val="000000" w:themeColor="text1"/>
          <w:sz w:val="24"/>
          <w:szCs w:val="24"/>
        </w:rPr>
        <w:t xml:space="preserve"> from this sub category are outlined in </w:t>
      </w:r>
      <w:r w:rsidRPr="00191ACB">
        <w:rPr>
          <w:rFonts w:ascii="Times New Roman" w:hAnsi="Times New Roman" w:cs="Times New Roman"/>
          <w:color w:val="000000" w:themeColor="text1"/>
          <w:sz w:val="24"/>
          <w:szCs w:val="24"/>
        </w:rPr>
        <w:t xml:space="preserve">Figure </w:t>
      </w:r>
      <w:r w:rsidR="00C34ED5" w:rsidRPr="00191ACB">
        <w:rPr>
          <w:rFonts w:ascii="Times New Roman" w:hAnsi="Times New Roman" w:cs="Times New Roman"/>
          <w:color w:val="000000" w:themeColor="text1"/>
          <w:sz w:val="24"/>
          <w:szCs w:val="24"/>
        </w:rPr>
        <w:t>3.13</w:t>
      </w:r>
      <w:r w:rsidRPr="00191ACB">
        <w:rPr>
          <w:rFonts w:ascii="Times New Roman" w:hAnsi="Times New Roman" w:cs="Times New Roman"/>
          <w:color w:val="000000" w:themeColor="text1"/>
          <w:sz w:val="24"/>
          <w:szCs w:val="24"/>
        </w:rPr>
        <w:t xml:space="preserve">. </w:t>
      </w:r>
    </w:p>
    <w:p w14:paraId="5033CA1F" w14:textId="77777777" w:rsidR="00C41CC1" w:rsidRPr="00191ACB" w:rsidRDefault="00C41CC1" w:rsidP="00C41CC1">
      <w:pPr>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lastRenderedPageBreak/>
        <w:drawing>
          <wp:inline distT="0" distB="0" distL="0" distR="0" wp14:anchorId="3C70CC03" wp14:editId="4E4F634F">
            <wp:extent cx="5943600" cy="2186940"/>
            <wp:effectExtent l="0" t="0" r="0" b="381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DDDD69C" w14:textId="41D4322F" w:rsidR="00C41CC1" w:rsidRPr="00191ACB" w:rsidRDefault="00C34ED5" w:rsidP="00C34ED5">
      <w:pPr>
        <w:pStyle w:val="Caption"/>
        <w:rPr>
          <w:i w:val="0"/>
          <w:color w:val="000000" w:themeColor="text1"/>
          <w:sz w:val="24"/>
          <w:szCs w:val="24"/>
        </w:rPr>
      </w:pPr>
      <w:bookmarkStart w:id="139" w:name="_Toc56583858"/>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13</w:t>
      </w:r>
      <w:r w:rsidR="009D481C">
        <w:rPr>
          <w:sz w:val="24"/>
          <w:szCs w:val="24"/>
        </w:rPr>
        <w:fldChar w:fldCharType="end"/>
      </w:r>
      <w:r w:rsidRPr="00191ACB">
        <w:rPr>
          <w:sz w:val="24"/>
          <w:szCs w:val="24"/>
        </w:rPr>
        <w:t>:Trend of fugitive emissions from solid fuels</w:t>
      </w:r>
      <w:bookmarkEnd w:id="139"/>
    </w:p>
    <w:p w14:paraId="727F0638" w14:textId="0B2987D3"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Emissions from surface coal mining</w:t>
      </w:r>
      <w:r w:rsidR="00F97772" w:rsidRPr="00191ACB">
        <w:rPr>
          <w:rFonts w:ascii="Times New Roman" w:hAnsi="Times New Roman" w:cs="Times New Roman"/>
          <w:color w:val="000000" w:themeColor="text1"/>
          <w:sz w:val="24"/>
          <w:szCs w:val="24"/>
        </w:rPr>
        <w:t xml:space="preserve"> have been fluctuating from 1994 to 2016. The lowest emissions were recorded in 2011 at 0.17 Gg CO</w:t>
      </w:r>
      <w:r w:rsidR="00F97772" w:rsidRPr="00191ACB">
        <w:rPr>
          <w:rFonts w:ascii="Times New Roman" w:hAnsi="Times New Roman" w:cs="Times New Roman"/>
          <w:color w:val="000000" w:themeColor="text1"/>
          <w:sz w:val="24"/>
          <w:szCs w:val="24"/>
          <w:vertAlign w:val="subscript"/>
        </w:rPr>
        <w:t xml:space="preserve">2 eq </w:t>
      </w:r>
      <w:r w:rsidR="00F97772" w:rsidRPr="00191ACB">
        <w:rPr>
          <w:rFonts w:ascii="Times New Roman" w:hAnsi="Times New Roman" w:cs="Times New Roman"/>
          <w:color w:val="000000" w:themeColor="text1"/>
          <w:sz w:val="24"/>
          <w:szCs w:val="24"/>
        </w:rPr>
        <w:t>and the highest was in 2012</w:t>
      </w:r>
      <w:r w:rsidRPr="00191ACB">
        <w:rPr>
          <w:rFonts w:ascii="Times New Roman" w:hAnsi="Times New Roman" w:cs="Times New Roman"/>
          <w:color w:val="000000" w:themeColor="text1"/>
          <w:sz w:val="24"/>
          <w:szCs w:val="24"/>
        </w:rPr>
        <w:t xml:space="preserve"> </w:t>
      </w:r>
      <w:r w:rsidR="00F97772" w:rsidRPr="00191ACB">
        <w:rPr>
          <w:rFonts w:ascii="Times New Roman" w:hAnsi="Times New Roman" w:cs="Times New Roman"/>
          <w:color w:val="000000" w:themeColor="text1"/>
          <w:sz w:val="24"/>
          <w:szCs w:val="24"/>
        </w:rPr>
        <w:t>at 3.35 Gg CO</w:t>
      </w:r>
      <w:r w:rsidR="00F97772" w:rsidRPr="00191ACB">
        <w:rPr>
          <w:rFonts w:ascii="Times New Roman" w:hAnsi="Times New Roman" w:cs="Times New Roman"/>
          <w:color w:val="000000" w:themeColor="text1"/>
          <w:sz w:val="24"/>
          <w:szCs w:val="24"/>
          <w:vertAlign w:val="subscript"/>
        </w:rPr>
        <w:t>2 eq</w:t>
      </w:r>
      <w:r w:rsidR="00F97772"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 xml:space="preserve">The </w:t>
      </w:r>
      <w:r w:rsidR="00F97772" w:rsidRPr="00191ACB">
        <w:rPr>
          <w:rFonts w:ascii="Times New Roman" w:hAnsi="Times New Roman" w:cs="Times New Roman"/>
          <w:color w:val="000000" w:themeColor="text1"/>
          <w:sz w:val="24"/>
          <w:szCs w:val="24"/>
        </w:rPr>
        <w:t>inconsistencies in emissions was</w:t>
      </w:r>
      <w:r w:rsidRPr="00191ACB">
        <w:rPr>
          <w:rFonts w:ascii="Times New Roman" w:hAnsi="Times New Roman" w:cs="Times New Roman"/>
          <w:color w:val="000000" w:themeColor="text1"/>
          <w:sz w:val="24"/>
          <w:szCs w:val="24"/>
        </w:rPr>
        <w:t xml:space="preserve"> on account of reduced coal production arising from low demand for coal. </w:t>
      </w:r>
      <w:r w:rsidRPr="00191ACB">
        <w:rPr>
          <w:rFonts w:ascii="Times New Roman" w:hAnsi="Times New Roman" w:cs="Times New Roman"/>
          <w:color w:val="000000" w:themeColor="text1"/>
          <w:sz w:val="24"/>
          <w:szCs w:val="24"/>
          <w:highlight w:val="white"/>
        </w:rPr>
        <w:t xml:space="preserve">The spike </w:t>
      </w:r>
      <w:r w:rsidR="00F97772" w:rsidRPr="00191ACB">
        <w:rPr>
          <w:rFonts w:ascii="Times New Roman" w:hAnsi="Times New Roman" w:cs="Times New Roman"/>
          <w:color w:val="000000" w:themeColor="text1"/>
          <w:sz w:val="24"/>
          <w:szCs w:val="24"/>
          <w:highlight w:val="white"/>
        </w:rPr>
        <w:t xml:space="preserve">in emissions </w:t>
      </w:r>
      <w:r w:rsidRPr="00191ACB">
        <w:rPr>
          <w:rFonts w:ascii="Times New Roman" w:hAnsi="Times New Roman" w:cs="Times New Roman"/>
          <w:color w:val="000000" w:themeColor="text1"/>
          <w:sz w:val="24"/>
          <w:szCs w:val="24"/>
          <w:highlight w:val="white"/>
        </w:rPr>
        <w:t xml:space="preserve">in 2012 was after the biggest Coal mine in Zambia was privatized. The drivers of coal consumption in Zambia are mining, industry and </w:t>
      </w:r>
      <w:r w:rsidR="00F97772" w:rsidRPr="00191ACB">
        <w:rPr>
          <w:rFonts w:ascii="Times New Roman" w:hAnsi="Times New Roman" w:cs="Times New Roman"/>
          <w:color w:val="000000" w:themeColor="text1"/>
          <w:sz w:val="24"/>
          <w:szCs w:val="24"/>
          <w:highlight w:val="white"/>
        </w:rPr>
        <w:t>e</w:t>
      </w:r>
      <w:r w:rsidRPr="00191ACB">
        <w:rPr>
          <w:rFonts w:ascii="Times New Roman" w:hAnsi="Times New Roman" w:cs="Times New Roman"/>
          <w:color w:val="000000" w:themeColor="text1"/>
          <w:sz w:val="24"/>
          <w:szCs w:val="24"/>
          <w:highlight w:val="white"/>
        </w:rPr>
        <w:t>lectricity generation</w:t>
      </w:r>
      <w:r w:rsidRPr="00191ACB">
        <w:rPr>
          <w:rFonts w:ascii="Times New Roman" w:hAnsi="Times New Roman" w:cs="Times New Roman"/>
          <w:color w:val="000000" w:themeColor="text1"/>
          <w:sz w:val="24"/>
          <w:szCs w:val="24"/>
        </w:rPr>
        <w:t xml:space="preserve">. </w:t>
      </w:r>
    </w:p>
    <w:p w14:paraId="0E1E93C0" w14:textId="52C643BD" w:rsidR="00C41CC1" w:rsidRPr="00191ACB" w:rsidRDefault="00C41CC1" w:rsidP="005E626A">
      <w:pPr>
        <w:pStyle w:val="NoSpacing"/>
        <w:spacing w:after="120"/>
        <w:rPr>
          <w:rFonts w:ascii="Times New Roman" w:hAnsi="Times New Roman" w:cs="Times New Roman"/>
          <w:b/>
          <w:color w:val="000000" w:themeColor="text1"/>
          <w:sz w:val="24"/>
          <w:szCs w:val="24"/>
        </w:rPr>
      </w:pPr>
      <w:bookmarkStart w:id="140" w:name="_Toc15311476"/>
      <w:bookmarkStart w:id="141" w:name="_Toc48427301"/>
      <w:r w:rsidRPr="00191ACB">
        <w:rPr>
          <w:rFonts w:ascii="Times New Roman" w:hAnsi="Times New Roman" w:cs="Times New Roman"/>
          <w:b/>
          <w:color w:val="000000" w:themeColor="text1"/>
          <w:sz w:val="24"/>
          <w:szCs w:val="24"/>
        </w:rPr>
        <w:t>Methodological issues</w:t>
      </w:r>
      <w:bookmarkEnd w:id="140"/>
      <w:bookmarkEnd w:id="141"/>
      <w:r w:rsidRPr="00191ACB">
        <w:rPr>
          <w:rFonts w:ascii="Times New Roman" w:hAnsi="Times New Roman" w:cs="Times New Roman"/>
          <w:b/>
          <w:color w:val="000000" w:themeColor="text1"/>
          <w:sz w:val="24"/>
          <w:szCs w:val="24"/>
        </w:rPr>
        <w:t xml:space="preserve"> </w:t>
      </w:r>
    </w:p>
    <w:p w14:paraId="191A0D2E" w14:textId="710E3995"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Tier 1 global average me</w:t>
      </w:r>
      <w:r w:rsidR="00372BE2" w:rsidRPr="00191ACB">
        <w:rPr>
          <w:rFonts w:ascii="Times New Roman" w:hAnsi="Times New Roman" w:cs="Times New Roman"/>
          <w:color w:val="000000" w:themeColor="text1"/>
          <w:sz w:val="24"/>
          <w:szCs w:val="24"/>
        </w:rPr>
        <w:t>thod for surface mines was used.</w:t>
      </w:r>
    </w:p>
    <w:p w14:paraId="1778566F" w14:textId="53E57E5B" w:rsidR="00C41CC1" w:rsidRPr="00191ACB" w:rsidRDefault="00694A0A" w:rsidP="005E626A">
      <w:pPr>
        <w:pStyle w:val="NoSpacing"/>
        <w:spacing w:after="120"/>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Activity data</w:t>
      </w:r>
      <w:r w:rsidR="000F44A6" w:rsidRPr="00191ACB">
        <w:rPr>
          <w:rFonts w:ascii="Times New Roman" w:hAnsi="Times New Roman" w:cs="Times New Roman"/>
          <w:b/>
          <w:color w:val="000000" w:themeColor="text1"/>
          <w:sz w:val="24"/>
          <w:szCs w:val="24"/>
        </w:rPr>
        <w:t xml:space="preserve"> Sources</w:t>
      </w:r>
    </w:p>
    <w:p w14:paraId="55B362A3" w14:textId="77777777" w:rsidR="00694A0A" w:rsidRPr="00191ACB" w:rsidRDefault="00694A0A"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Activity data for estimation fugitive emissions from surface coal mining was collected from industries and government reports.</w:t>
      </w:r>
    </w:p>
    <w:p w14:paraId="666B8665" w14:textId="77777777" w:rsidR="00FC4FC5" w:rsidRPr="00191ACB" w:rsidRDefault="00FC4FC5" w:rsidP="005E626A">
      <w:pPr>
        <w:spacing w:after="120" w:line="240" w:lineRule="auto"/>
        <w:jc w:val="both"/>
        <w:rPr>
          <w:rFonts w:ascii="Times New Roman" w:hAnsi="Times New Roman" w:cs="Times New Roman"/>
          <w:color w:val="000000" w:themeColor="text1"/>
          <w:sz w:val="24"/>
          <w:szCs w:val="24"/>
        </w:rPr>
      </w:pPr>
    </w:p>
    <w:p w14:paraId="7E98A70E" w14:textId="1B38C9AD" w:rsidR="00C41CC1" w:rsidRPr="00191ACB" w:rsidRDefault="00C41CC1" w:rsidP="00A53502">
      <w:pPr>
        <w:pStyle w:val="Heading3"/>
        <w:numPr>
          <w:ilvl w:val="2"/>
          <w:numId w:val="36"/>
        </w:numPr>
        <w:ind w:left="851" w:hanging="851"/>
      </w:pPr>
      <w:bookmarkStart w:id="142" w:name="_Toc57902826"/>
      <w:r w:rsidRPr="00191ACB">
        <w:t>Uncertainties</w:t>
      </w:r>
      <w:bookmarkEnd w:id="142"/>
      <w:r w:rsidRPr="00191ACB">
        <w:t xml:space="preserve"> </w:t>
      </w:r>
    </w:p>
    <w:p w14:paraId="414DAFE8" w14:textId="753DAF2C"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Uncertainty analysis for the year 2016 for Energy sector was estimated using approach 1 and computed using the IPCC 2006 software. Generally, uncertainty for activity data from energy </w:t>
      </w:r>
      <w:r w:rsidR="00F97772" w:rsidRPr="00191ACB">
        <w:rPr>
          <w:rFonts w:ascii="Times New Roman" w:hAnsi="Times New Roman" w:cs="Times New Roman"/>
          <w:color w:val="000000" w:themeColor="text1"/>
          <w:sz w:val="24"/>
          <w:szCs w:val="24"/>
        </w:rPr>
        <w:t>wa</w:t>
      </w:r>
      <w:r w:rsidRPr="00191ACB">
        <w:rPr>
          <w:rFonts w:ascii="Times New Roman" w:hAnsi="Times New Roman" w:cs="Times New Roman"/>
          <w:color w:val="000000" w:themeColor="text1"/>
          <w:sz w:val="24"/>
          <w:szCs w:val="24"/>
        </w:rPr>
        <w:t xml:space="preserve">s ± 5%. Detailed uncertainty values are provided in Annex I. Base year for uncertainty assessment was 1994. </w:t>
      </w:r>
    </w:p>
    <w:p w14:paraId="5C623FCE" w14:textId="61A71278" w:rsidR="00C41CC1" w:rsidRPr="00191ACB" w:rsidRDefault="00C41CC1" w:rsidP="00A53502">
      <w:pPr>
        <w:pStyle w:val="Heading3"/>
        <w:numPr>
          <w:ilvl w:val="2"/>
          <w:numId w:val="36"/>
        </w:numPr>
        <w:ind w:left="851" w:hanging="851"/>
        <w:rPr>
          <w:rFonts w:cs="Times New Roman"/>
          <w:b w:val="0"/>
          <w:color w:val="000000" w:themeColor="text1"/>
          <w:szCs w:val="24"/>
        </w:rPr>
      </w:pPr>
      <w:bookmarkStart w:id="143" w:name="_Toc15311478"/>
      <w:bookmarkStart w:id="144" w:name="_Toc48427303"/>
      <w:bookmarkStart w:id="145" w:name="_Toc57902827"/>
      <w:r w:rsidRPr="00A53502">
        <w:t>Recalculations</w:t>
      </w:r>
      <w:bookmarkEnd w:id="143"/>
      <w:bookmarkEnd w:id="144"/>
      <w:bookmarkEnd w:id="145"/>
      <w:r w:rsidRPr="00191ACB">
        <w:rPr>
          <w:rFonts w:cs="Times New Roman"/>
          <w:b w:val="0"/>
          <w:color w:val="000000" w:themeColor="text1"/>
          <w:szCs w:val="24"/>
        </w:rPr>
        <w:t xml:space="preserve"> </w:t>
      </w:r>
    </w:p>
    <w:p w14:paraId="4036AA96" w14:textId="14E7853F"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There were no re-calculations undertaken for the energy sector</w:t>
      </w:r>
      <w:r w:rsidR="009B44B6" w:rsidRPr="00191ACB">
        <w:rPr>
          <w:rFonts w:ascii="Times New Roman" w:hAnsi="Times New Roman" w:cs="Times New Roman"/>
          <w:sz w:val="24"/>
          <w:szCs w:val="24"/>
        </w:rPr>
        <w:t xml:space="preserve"> because t</w:t>
      </w:r>
      <w:r w:rsidR="009B44B6" w:rsidRPr="00191ACB">
        <w:rPr>
          <w:rFonts w:ascii="Times New Roman" w:hAnsi="Times New Roman" w:cs="Times New Roman"/>
          <w:color w:val="000000" w:themeColor="text1"/>
          <w:sz w:val="24"/>
          <w:szCs w:val="24"/>
        </w:rPr>
        <w:t>he methodology used in the</w:t>
      </w:r>
      <w:r w:rsidR="00FC4FC5" w:rsidRPr="00191ACB">
        <w:rPr>
          <w:rFonts w:ascii="Times New Roman" w:hAnsi="Times New Roman" w:cs="Times New Roman"/>
          <w:color w:val="000000" w:themeColor="text1"/>
          <w:sz w:val="24"/>
          <w:szCs w:val="24"/>
        </w:rPr>
        <w:t xml:space="preserve"> TNC was not changed in the BUR.</w:t>
      </w:r>
    </w:p>
    <w:p w14:paraId="0C3B13CA" w14:textId="00C3F92F" w:rsidR="00C41CC1" w:rsidRPr="00A53502" w:rsidRDefault="00C41CC1" w:rsidP="00A53502">
      <w:pPr>
        <w:pStyle w:val="Heading3"/>
        <w:numPr>
          <w:ilvl w:val="2"/>
          <w:numId w:val="36"/>
        </w:numPr>
        <w:ind w:left="851" w:hanging="851"/>
        <w:rPr>
          <w:rFonts w:cs="Times New Roman"/>
          <w:color w:val="000000" w:themeColor="text1"/>
          <w:szCs w:val="24"/>
        </w:rPr>
      </w:pPr>
      <w:bookmarkStart w:id="146" w:name="_Toc15311479"/>
      <w:bookmarkStart w:id="147" w:name="_Toc48427304"/>
      <w:bookmarkStart w:id="148" w:name="_Toc57902828"/>
      <w:r w:rsidRPr="00A53502">
        <w:t>QA</w:t>
      </w:r>
      <w:r w:rsidR="003E52C4" w:rsidRPr="00A53502">
        <w:rPr>
          <w:rFonts w:cs="Times New Roman"/>
          <w:color w:val="000000" w:themeColor="text1"/>
          <w:szCs w:val="24"/>
        </w:rPr>
        <w:t>/</w:t>
      </w:r>
      <w:r w:rsidRPr="00A53502">
        <w:rPr>
          <w:rFonts w:cs="Times New Roman"/>
          <w:color w:val="000000" w:themeColor="text1"/>
          <w:szCs w:val="24"/>
        </w:rPr>
        <w:t xml:space="preserve">QC </w:t>
      </w:r>
      <w:r w:rsidR="003E52C4" w:rsidRPr="00A53502">
        <w:rPr>
          <w:rFonts w:cs="Times New Roman"/>
          <w:color w:val="000000" w:themeColor="text1"/>
          <w:szCs w:val="24"/>
        </w:rPr>
        <w:t>and Verification</w:t>
      </w:r>
      <w:bookmarkEnd w:id="146"/>
      <w:bookmarkEnd w:id="147"/>
      <w:bookmarkEnd w:id="148"/>
      <w:r w:rsidR="003E52C4" w:rsidRPr="00A53502">
        <w:rPr>
          <w:rFonts w:cs="Times New Roman"/>
          <w:color w:val="000000" w:themeColor="text1"/>
          <w:szCs w:val="24"/>
        </w:rPr>
        <w:t xml:space="preserve"> </w:t>
      </w:r>
    </w:p>
    <w:p w14:paraId="5172D0F2" w14:textId="77777777"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Activity data used in estimating GHG emissions from the energy sector came from the energy balance report. To confirm and verify data, data from sources such as Energy Regulation Board, Oil Marketing Companies, Indeni oil refinery, Maamba Collieries, Railway Companies, Central Statistics Office and Zambia Revenue Authority were collected and compared. Effort were made to check and verify the data from all sources to ensure good quality data was utilised in the inventory preparation for the energy sector. </w:t>
      </w:r>
    </w:p>
    <w:p w14:paraId="10EF712B" w14:textId="77777777" w:rsidR="00FC4FC5" w:rsidRPr="00191ACB" w:rsidRDefault="00FC4FC5" w:rsidP="005E626A">
      <w:pPr>
        <w:spacing w:after="120" w:line="240" w:lineRule="auto"/>
        <w:jc w:val="both"/>
        <w:rPr>
          <w:rFonts w:ascii="Times New Roman" w:hAnsi="Times New Roman" w:cs="Times New Roman"/>
          <w:color w:val="000000" w:themeColor="text1"/>
          <w:sz w:val="24"/>
          <w:szCs w:val="24"/>
        </w:rPr>
      </w:pPr>
    </w:p>
    <w:p w14:paraId="3CC6C655" w14:textId="2FE30F2E" w:rsidR="00C41CC1" w:rsidRPr="00191ACB" w:rsidRDefault="00C41CC1" w:rsidP="00A53502">
      <w:pPr>
        <w:pStyle w:val="Heading3"/>
        <w:numPr>
          <w:ilvl w:val="2"/>
          <w:numId w:val="36"/>
        </w:numPr>
        <w:ind w:left="851" w:hanging="851"/>
        <w:rPr>
          <w:rFonts w:cs="Times New Roman"/>
          <w:b w:val="0"/>
          <w:color w:val="000000" w:themeColor="text1"/>
          <w:szCs w:val="24"/>
        </w:rPr>
      </w:pPr>
      <w:bookmarkStart w:id="149" w:name="_Toc15311480"/>
      <w:bookmarkStart w:id="150" w:name="_Toc48427305"/>
      <w:bookmarkStart w:id="151" w:name="_Toc57902829"/>
      <w:r w:rsidRPr="00A53502">
        <w:lastRenderedPageBreak/>
        <w:t>Planned</w:t>
      </w:r>
      <w:r w:rsidRPr="00191ACB">
        <w:rPr>
          <w:rFonts w:cs="Times New Roman"/>
          <w:b w:val="0"/>
          <w:color w:val="000000" w:themeColor="text1"/>
          <w:szCs w:val="24"/>
        </w:rPr>
        <w:t xml:space="preserve"> </w:t>
      </w:r>
      <w:r w:rsidR="003E52C4" w:rsidRPr="00A53502">
        <w:t>Improvements</w:t>
      </w:r>
      <w:bookmarkEnd w:id="149"/>
      <w:bookmarkEnd w:id="150"/>
      <w:bookmarkEnd w:id="151"/>
      <w:r w:rsidR="003E52C4" w:rsidRPr="00191ACB">
        <w:rPr>
          <w:rFonts w:cs="Times New Roman"/>
          <w:b w:val="0"/>
          <w:color w:val="000000" w:themeColor="text1"/>
          <w:szCs w:val="24"/>
        </w:rPr>
        <w:t xml:space="preserve"> </w:t>
      </w:r>
    </w:p>
    <w:p w14:paraId="30B36C5E" w14:textId="511600E6"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It was noted that there were inconsistencies between the categories reflected in the national Energy Balance and the </w:t>
      </w:r>
      <w:r w:rsidR="00F97772" w:rsidRPr="00191ACB">
        <w:rPr>
          <w:rFonts w:ascii="Times New Roman" w:hAnsi="Times New Roman" w:cs="Times New Roman"/>
          <w:color w:val="000000" w:themeColor="text1"/>
          <w:sz w:val="24"/>
          <w:szCs w:val="24"/>
        </w:rPr>
        <w:t xml:space="preserve">2006 </w:t>
      </w:r>
      <w:r w:rsidRPr="00191ACB">
        <w:rPr>
          <w:rFonts w:ascii="Times New Roman" w:hAnsi="Times New Roman" w:cs="Times New Roman"/>
          <w:color w:val="000000" w:themeColor="text1"/>
          <w:sz w:val="24"/>
          <w:szCs w:val="24"/>
        </w:rPr>
        <w:t xml:space="preserve">IPCC Guidelines. The alignment of these differences is planned to be addressed in future </w:t>
      </w:r>
      <w:r w:rsidR="00F97772" w:rsidRPr="00191ACB">
        <w:rPr>
          <w:rFonts w:ascii="Times New Roman" w:hAnsi="Times New Roman" w:cs="Times New Roman"/>
          <w:color w:val="000000" w:themeColor="text1"/>
          <w:sz w:val="24"/>
          <w:szCs w:val="24"/>
        </w:rPr>
        <w:t>BURs</w:t>
      </w:r>
      <w:r w:rsidRPr="00191ACB">
        <w:rPr>
          <w:rFonts w:ascii="Times New Roman" w:hAnsi="Times New Roman" w:cs="Times New Roman"/>
          <w:color w:val="000000" w:themeColor="text1"/>
          <w:sz w:val="24"/>
          <w:szCs w:val="24"/>
        </w:rPr>
        <w:t xml:space="preserve">. Further, there </w:t>
      </w:r>
      <w:r w:rsidR="00F97772" w:rsidRPr="00191ACB">
        <w:rPr>
          <w:rFonts w:ascii="Times New Roman" w:hAnsi="Times New Roman" w:cs="Times New Roman"/>
          <w:color w:val="000000" w:themeColor="text1"/>
          <w:sz w:val="24"/>
          <w:szCs w:val="24"/>
        </w:rPr>
        <w:t>we</w:t>
      </w:r>
      <w:r w:rsidRPr="00191ACB">
        <w:rPr>
          <w:rFonts w:ascii="Times New Roman" w:hAnsi="Times New Roman" w:cs="Times New Roman"/>
          <w:color w:val="000000" w:themeColor="text1"/>
          <w:sz w:val="24"/>
          <w:szCs w:val="24"/>
        </w:rPr>
        <w:t>re notable differences in the data collected for emission estimations in the energy sector from key institution</w:t>
      </w:r>
      <w:r w:rsidR="00842E0D" w:rsidRPr="00191ACB">
        <w:rPr>
          <w:rFonts w:ascii="Times New Roman" w:hAnsi="Times New Roman" w:cs="Times New Roman"/>
          <w:color w:val="000000" w:themeColor="text1"/>
          <w:sz w:val="24"/>
          <w:szCs w:val="24"/>
        </w:rPr>
        <w:t>s</w:t>
      </w:r>
      <w:r w:rsidRPr="00191ACB">
        <w:rPr>
          <w:rFonts w:ascii="Times New Roman" w:hAnsi="Times New Roman" w:cs="Times New Roman"/>
          <w:color w:val="000000" w:themeColor="text1"/>
          <w:sz w:val="24"/>
          <w:szCs w:val="24"/>
        </w:rPr>
        <w:t xml:space="preserve">, namely, Zambia Revenue Authority, </w:t>
      </w:r>
      <w:r w:rsidR="000F44A6" w:rsidRPr="00191ACB">
        <w:rPr>
          <w:rFonts w:ascii="Times New Roman" w:hAnsi="Times New Roman" w:cs="Times New Roman"/>
          <w:color w:val="000000" w:themeColor="text1"/>
          <w:sz w:val="24"/>
          <w:szCs w:val="24"/>
        </w:rPr>
        <w:t>Zamstats</w:t>
      </w:r>
      <w:r w:rsidRPr="00191ACB">
        <w:rPr>
          <w:rFonts w:ascii="Times New Roman" w:hAnsi="Times New Roman" w:cs="Times New Roman"/>
          <w:color w:val="000000" w:themeColor="text1"/>
          <w:sz w:val="24"/>
          <w:szCs w:val="24"/>
        </w:rPr>
        <w:t xml:space="preserve">, and Energy Regulation Board. Therefore, there is a need to harmonise the database among these key institutions in the future. </w:t>
      </w:r>
    </w:p>
    <w:p w14:paraId="6E51228B" w14:textId="3D2C6FE1" w:rsidR="00C41CC1" w:rsidRPr="00191ACB" w:rsidRDefault="00C41CC1" w:rsidP="00A53502">
      <w:pPr>
        <w:pStyle w:val="Heading3"/>
        <w:numPr>
          <w:ilvl w:val="2"/>
          <w:numId w:val="36"/>
        </w:numPr>
        <w:ind w:left="851" w:hanging="851"/>
        <w:rPr>
          <w:rFonts w:cs="Times New Roman"/>
          <w:b w:val="0"/>
          <w:color w:val="000000" w:themeColor="text1"/>
          <w:szCs w:val="24"/>
        </w:rPr>
      </w:pPr>
      <w:bookmarkStart w:id="152" w:name="_Toc15311481"/>
      <w:bookmarkStart w:id="153" w:name="_Toc48427306"/>
      <w:bookmarkStart w:id="154" w:name="_Toc57902830"/>
      <w:r w:rsidRPr="00A53502">
        <w:t>Carbon</w:t>
      </w:r>
      <w:r w:rsidRPr="00191ACB">
        <w:rPr>
          <w:rFonts w:cs="Times New Roman"/>
          <w:b w:val="0"/>
          <w:color w:val="000000" w:themeColor="text1"/>
          <w:szCs w:val="24"/>
        </w:rPr>
        <w:t xml:space="preserve"> </w:t>
      </w:r>
      <w:r w:rsidR="00842E0D" w:rsidRPr="00A53502">
        <w:t>Capture</w:t>
      </w:r>
      <w:r w:rsidRPr="00191ACB">
        <w:rPr>
          <w:rFonts w:cs="Times New Roman"/>
          <w:b w:val="0"/>
          <w:color w:val="000000" w:themeColor="text1"/>
          <w:szCs w:val="24"/>
        </w:rPr>
        <w:t xml:space="preserve"> </w:t>
      </w:r>
      <w:r w:rsidRPr="00A53502">
        <w:t>and</w:t>
      </w:r>
      <w:r w:rsidRPr="00191ACB">
        <w:rPr>
          <w:rFonts w:cs="Times New Roman"/>
          <w:b w:val="0"/>
          <w:color w:val="000000" w:themeColor="text1"/>
          <w:szCs w:val="24"/>
        </w:rPr>
        <w:t xml:space="preserve"> </w:t>
      </w:r>
      <w:r w:rsidRPr="00A53502">
        <w:t>Storage</w:t>
      </w:r>
      <w:bookmarkEnd w:id="152"/>
      <w:bookmarkEnd w:id="153"/>
      <w:bookmarkEnd w:id="154"/>
    </w:p>
    <w:p w14:paraId="39A72AE1" w14:textId="1645FE93" w:rsidR="00C41CC1" w:rsidRPr="00191ACB" w:rsidRDefault="00C41CC1"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Carbon </w:t>
      </w:r>
      <w:r w:rsidR="00576D90" w:rsidRPr="00191ACB">
        <w:rPr>
          <w:rFonts w:ascii="Times New Roman" w:hAnsi="Times New Roman" w:cs="Times New Roman"/>
          <w:color w:val="000000" w:themeColor="text1"/>
          <w:sz w:val="24"/>
          <w:szCs w:val="24"/>
        </w:rPr>
        <w:t>C</w:t>
      </w:r>
      <w:r w:rsidRPr="00191ACB">
        <w:rPr>
          <w:rFonts w:ascii="Times New Roman" w:hAnsi="Times New Roman" w:cs="Times New Roman"/>
          <w:color w:val="000000" w:themeColor="text1"/>
          <w:sz w:val="24"/>
          <w:szCs w:val="24"/>
        </w:rPr>
        <w:t xml:space="preserve">apture and </w:t>
      </w:r>
      <w:r w:rsidR="00576D90" w:rsidRPr="00191ACB">
        <w:rPr>
          <w:rFonts w:ascii="Times New Roman" w:hAnsi="Times New Roman" w:cs="Times New Roman"/>
          <w:color w:val="000000" w:themeColor="text1"/>
          <w:sz w:val="24"/>
          <w:szCs w:val="24"/>
        </w:rPr>
        <w:t>S</w:t>
      </w:r>
      <w:r w:rsidRPr="00191ACB">
        <w:rPr>
          <w:rFonts w:ascii="Times New Roman" w:hAnsi="Times New Roman" w:cs="Times New Roman"/>
          <w:color w:val="000000" w:themeColor="text1"/>
          <w:sz w:val="24"/>
          <w:szCs w:val="24"/>
        </w:rPr>
        <w:t>torage (CCS) is a chain process that involves the capture, compression of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(usually at a large industrial installation) and transportation to a storage location and its long-term isolation from the atmosphere. There are no activities occurring in Zambia under this category and hence there were no emissio</w:t>
      </w:r>
      <w:r w:rsidR="00842E0D" w:rsidRPr="00191ACB">
        <w:rPr>
          <w:rFonts w:ascii="Times New Roman" w:hAnsi="Times New Roman" w:cs="Times New Roman"/>
          <w:color w:val="000000" w:themeColor="text1"/>
          <w:sz w:val="24"/>
          <w:szCs w:val="24"/>
        </w:rPr>
        <w:t>n</w:t>
      </w:r>
      <w:r w:rsidRPr="00191ACB">
        <w:rPr>
          <w:rFonts w:ascii="Times New Roman" w:hAnsi="Times New Roman" w:cs="Times New Roman"/>
          <w:color w:val="000000" w:themeColor="text1"/>
          <w:sz w:val="24"/>
          <w:szCs w:val="24"/>
        </w:rPr>
        <w:t xml:space="preserve"> estimates undertaken.   </w:t>
      </w:r>
    </w:p>
    <w:p w14:paraId="2A98DB94" w14:textId="77777777" w:rsidR="006B1FB2" w:rsidRPr="00191ACB" w:rsidRDefault="006B1FB2" w:rsidP="005E626A">
      <w:pPr>
        <w:pStyle w:val="NoSpacing"/>
        <w:spacing w:after="120"/>
        <w:rPr>
          <w:rFonts w:ascii="Times New Roman" w:hAnsi="Times New Roman" w:cs="Times New Roman"/>
          <w:color w:val="000000" w:themeColor="text1"/>
          <w:sz w:val="24"/>
          <w:szCs w:val="24"/>
        </w:rPr>
      </w:pPr>
    </w:p>
    <w:p w14:paraId="0CA2EBDB" w14:textId="49E263B3" w:rsidR="004C223F" w:rsidRPr="00191ACB" w:rsidRDefault="00FD2421" w:rsidP="004C3E45">
      <w:pPr>
        <w:pStyle w:val="Heading2"/>
        <w:numPr>
          <w:ilvl w:val="1"/>
          <w:numId w:val="36"/>
        </w:numPr>
        <w:spacing w:after="120" w:line="240" w:lineRule="auto"/>
        <w:ind w:left="851" w:hanging="851"/>
        <w:rPr>
          <w:rFonts w:ascii="Times New Roman" w:hAnsi="Times New Roman" w:cs="Times New Roman"/>
          <w:b/>
          <w:color w:val="000000" w:themeColor="text1"/>
          <w:sz w:val="24"/>
          <w:szCs w:val="24"/>
        </w:rPr>
      </w:pPr>
      <w:bookmarkStart w:id="155" w:name="_Toc48427307"/>
      <w:bookmarkStart w:id="156" w:name="_Toc57902831"/>
      <w:r w:rsidRPr="00191ACB">
        <w:rPr>
          <w:rFonts w:ascii="Times New Roman" w:hAnsi="Times New Roman" w:cs="Times New Roman"/>
          <w:b/>
          <w:color w:val="000000" w:themeColor="text1"/>
          <w:sz w:val="24"/>
          <w:szCs w:val="24"/>
        </w:rPr>
        <w:t xml:space="preserve">Industrial </w:t>
      </w:r>
      <w:r w:rsidR="00576D90" w:rsidRPr="00191ACB">
        <w:rPr>
          <w:rFonts w:ascii="Times New Roman" w:hAnsi="Times New Roman" w:cs="Times New Roman"/>
          <w:b/>
          <w:color w:val="000000" w:themeColor="text1"/>
          <w:sz w:val="24"/>
          <w:szCs w:val="24"/>
        </w:rPr>
        <w:t>P</w:t>
      </w:r>
      <w:r w:rsidRPr="00191ACB">
        <w:rPr>
          <w:rFonts w:ascii="Times New Roman" w:hAnsi="Times New Roman" w:cs="Times New Roman"/>
          <w:b/>
          <w:color w:val="000000" w:themeColor="text1"/>
          <w:sz w:val="24"/>
          <w:szCs w:val="24"/>
        </w:rPr>
        <w:t xml:space="preserve">rocesses and </w:t>
      </w:r>
      <w:r w:rsidR="00576D90" w:rsidRPr="00191ACB">
        <w:rPr>
          <w:rFonts w:ascii="Times New Roman" w:hAnsi="Times New Roman" w:cs="Times New Roman"/>
          <w:b/>
          <w:color w:val="000000" w:themeColor="text1"/>
          <w:sz w:val="24"/>
          <w:szCs w:val="24"/>
        </w:rPr>
        <w:t>P</w:t>
      </w:r>
      <w:r w:rsidRPr="00191ACB">
        <w:rPr>
          <w:rFonts w:ascii="Times New Roman" w:hAnsi="Times New Roman" w:cs="Times New Roman"/>
          <w:b/>
          <w:color w:val="000000" w:themeColor="text1"/>
          <w:sz w:val="24"/>
          <w:szCs w:val="24"/>
        </w:rPr>
        <w:t xml:space="preserve">roduct </w:t>
      </w:r>
      <w:r w:rsidR="00576D90" w:rsidRPr="00191ACB">
        <w:rPr>
          <w:rFonts w:ascii="Times New Roman" w:hAnsi="Times New Roman" w:cs="Times New Roman"/>
          <w:b/>
          <w:color w:val="000000" w:themeColor="text1"/>
          <w:sz w:val="24"/>
          <w:szCs w:val="24"/>
        </w:rPr>
        <w:t>U</w:t>
      </w:r>
      <w:r w:rsidRPr="00191ACB">
        <w:rPr>
          <w:rFonts w:ascii="Times New Roman" w:hAnsi="Times New Roman" w:cs="Times New Roman"/>
          <w:b/>
          <w:color w:val="000000" w:themeColor="text1"/>
          <w:sz w:val="24"/>
          <w:szCs w:val="24"/>
        </w:rPr>
        <w:t>se</w:t>
      </w:r>
      <w:bookmarkEnd w:id="155"/>
      <w:bookmarkEnd w:id="156"/>
    </w:p>
    <w:p w14:paraId="613EF4BE" w14:textId="0E919F63" w:rsidR="004C223F" w:rsidRPr="00191ACB" w:rsidRDefault="004C223F" w:rsidP="00A53502">
      <w:pPr>
        <w:pStyle w:val="Heading3"/>
        <w:numPr>
          <w:ilvl w:val="2"/>
          <w:numId w:val="36"/>
        </w:numPr>
        <w:ind w:left="851" w:hanging="851"/>
      </w:pPr>
      <w:bookmarkStart w:id="157" w:name="_Toc48427308"/>
      <w:bookmarkStart w:id="158" w:name="_Toc57902832"/>
      <w:r w:rsidRPr="00191ACB">
        <w:t>Overall emission trends under IPPU</w:t>
      </w:r>
      <w:bookmarkEnd w:id="157"/>
      <w:bookmarkEnd w:id="158"/>
      <w:r w:rsidRPr="00191ACB">
        <w:t xml:space="preserve"> </w:t>
      </w:r>
    </w:p>
    <w:p w14:paraId="4740021A" w14:textId="36D0744B" w:rsidR="004C223F" w:rsidRPr="00191ACB" w:rsidRDefault="004C223F" w:rsidP="007917EC">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Broadly, macroeconomic performance improved in 2016. Real GDP is estimated to have grown by 3.4</w:t>
      </w:r>
      <w:r w:rsidR="00576D90" w:rsidRPr="00191ACB">
        <w:rPr>
          <w:rFonts w:ascii="Times New Roman" w:eastAsia="Garamond" w:hAnsi="Times New Roman" w:cs="Times New Roman"/>
          <w:color w:val="000000" w:themeColor="text1"/>
          <w:sz w:val="24"/>
          <w:szCs w:val="24"/>
        </w:rPr>
        <w:t xml:space="preserve"> percent</w:t>
      </w:r>
      <w:r w:rsidRPr="00191ACB">
        <w:rPr>
          <w:rFonts w:ascii="Times New Roman" w:eastAsia="Garamond" w:hAnsi="Times New Roman" w:cs="Times New Roman"/>
          <w:color w:val="000000" w:themeColor="text1"/>
          <w:sz w:val="24"/>
          <w:szCs w:val="24"/>
        </w:rPr>
        <w:t xml:space="preserve"> compared to 2.9</w:t>
      </w:r>
      <w:r w:rsidR="00576D90" w:rsidRPr="00191ACB">
        <w:rPr>
          <w:rFonts w:ascii="Times New Roman" w:eastAsia="Garamond" w:hAnsi="Times New Roman" w:cs="Times New Roman"/>
          <w:color w:val="000000" w:themeColor="text1"/>
          <w:sz w:val="24"/>
          <w:szCs w:val="24"/>
        </w:rPr>
        <w:t xml:space="preserve"> percent</w:t>
      </w:r>
      <w:r w:rsidRPr="00191ACB">
        <w:rPr>
          <w:rFonts w:ascii="Times New Roman" w:eastAsia="Garamond" w:hAnsi="Times New Roman" w:cs="Times New Roman"/>
          <w:color w:val="000000" w:themeColor="text1"/>
          <w:sz w:val="24"/>
          <w:szCs w:val="24"/>
        </w:rPr>
        <w:t xml:space="preserve"> in 2015</w:t>
      </w:r>
      <w:r w:rsidR="00D5752C" w:rsidRPr="00191ACB">
        <w:rPr>
          <w:rFonts w:ascii="Times New Roman" w:eastAsia="Garamond" w:hAnsi="Times New Roman" w:cs="Times New Roman"/>
          <w:color w:val="000000" w:themeColor="text1"/>
          <w:sz w:val="24"/>
          <w:szCs w:val="24"/>
        </w:rPr>
        <w:t xml:space="preserve"> </w:t>
      </w:r>
      <w:r w:rsidRPr="00191ACB">
        <w:rPr>
          <w:rFonts w:ascii="Times New Roman" w:eastAsia="Garamond" w:hAnsi="Times New Roman" w:cs="Times New Roman"/>
          <w:color w:val="000000" w:themeColor="text1"/>
          <w:sz w:val="24"/>
          <w:szCs w:val="24"/>
        </w:rPr>
        <w:t xml:space="preserve">(BoZ, 2016). This growth was mainly driven by mining </w:t>
      </w:r>
      <w:r w:rsidRPr="007917EC">
        <w:rPr>
          <w:rFonts w:ascii="Times New Roman" w:hAnsi="Times New Roman" w:cs="Times New Roman"/>
          <w:color w:val="000000" w:themeColor="text1"/>
          <w:sz w:val="24"/>
          <w:szCs w:val="24"/>
        </w:rPr>
        <w:t>and quarrying, construction, and manufacturing sectors. Domestic demand factors provide ready</w:t>
      </w:r>
      <w:r w:rsidRPr="00191ACB">
        <w:rPr>
          <w:rFonts w:ascii="Times New Roman" w:eastAsia="Garamond" w:hAnsi="Times New Roman" w:cs="Times New Roman"/>
          <w:color w:val="000000" w:themeColor="text1"/>
          <w:sz w:val="24"/>
          <w:szCs w:val="24"/>
        </w:rPr>
        <w:t xml:space="preserve"> local markets for manufactured goods while the country’s membership to regional organizations such as the Common Market for Eastern and Southern Africa (COMESA) and the Southern African </w:t>
      </w:r>
      <w:r w:rsidRPr="007917EC">
        <w:rPr>
          <w:rFonts w:ascii="Times New Roman" w:hAnsi="Times New Roman" w:cs="Times New Roman"/>
          <w:color w:val="000000" w:themeColor="text1"/>
          <w:sz w:val="24"/>
          <w:szCs w:val="24"/>
        </w:rPr>
        <w:t xml:space="preserve">Development Community (SADC) provide export markets in the region for the </w:t>
      </w:r>
      <w:r w:rsidR="00576D90" w:rsidRPr="007917EC">
        <w:rPr>
          <w:rFonts w:ascii="Times New Roman" w:hAnsi="Times New Roman" w:cs="Times New Roman"/>
          <w:color w:val="000000" w:themeColor="text1"/>
          <w:sz w:val="24"/>
          <w:szCs w:val="24"/>
        </w:rPr>
        <w:t>value-added</w:t>
      </w:r>
      <w:r w:rsidRPr="00191ACB">
        <w:rPr>
          <w:rFonts w:ascii="Times New Roman" w:eastAsia="Garamond" w:hAnsi="Times New Roman" w:cs="Times New Roman"/>
          <w:color w:val="000000" w:themeColor="text1"/>
          <w:sz w:val="24"/>
          <w:szCs w:val="24"/>
        </w:rPr>
        <w:t xml:space="preserve"> manufactured products (ZDA, 2013). </w:t>
      </w:r>
    </w:p>
    <w:p w14:paraId="7627B467" w14:textId="5CFD5ED8" w:rsidR="004C223F" w:rsidRPr="007917EC" w:rsidRDefault="004C223F" w:rsidP="007917EC">
      <w:pPr>
        <w:spacing w:after="120" w:line="276" w:lineRule="auto"/>
        <w:jc w:val="both"/>
        <w:rPr>
          <w:rFonts w:ascii="Times New Roman" w:hAnsi="Times New Roman" w:cs="Times New Roman"/>
          <w:color w:val="000000" w:themeColor="text1"/>
          <w:sz w:val="24"/>
          <w:szCs w:val="24"/>
        </w:rPr>
      </w:pPr>
      <w:r w:rsidRPr="007917EC">
        <w:rPr>
          <w:rFonts w:ascii="Times New Roman" w:hAnsi="Times New Roman" w:cs="Times New Roman"/>
          <w:color w:val="000000" w:themeColor="text1"/>
          <w:sz w:val="24"/>
          <w:szCs w:val="24"/>
        </w:rPr>
        <w:t xml:space="preserve">Zambia’s annual domestic demand for manufactured products exceeds US$ 2,000 million per annum (ZDA, 2013). The sub sectors identified as drivers of industrialisation are: </w:t>
      </w:r>
      <w:r w:rsidR="00576D90" w:rsidRPr="007917EC">
        <w:rPr>
          <w:rFonts w:ascii="Times New Roman" w:hAnsi="Times New Roman" w:cs="Times New Roman"/>
          <w:color w:val="000000" w:themeColor="text1"/>
          <w:sz w:val="24"/>
          <w:szCs w:val="24"/>
        </w:rPr>
        <w:t xml:space="preserve">food </w:t>
      </w:r>
      <w:r w:rsidRPr="007917EC">
        <w:rPr>
          <w:rFonts w:ascii="Times New Roman" w:hAnsi="Times New Roman" w:cs="Times New Roman"/>
          <w:color w:val="000000" w:themeColor="text1"/>
          <w:sz w:val="24"/>
          <w:szCs w:val="24"/>
        </w:rPr>
        <w:t>process</w:t>
      </w:r>
      <w:r w:rsidR="00576D90" w:rsidRPr="007917EC">
        <w:rPr>
          <w:rFonts w:ascii="Times New Roman" w:hAnsi="Times New Roman" w:cs="Times New Roman"/>
          <w:color w:val="000000" w:themeColor="text1"/>
          <w:sz w:val="24"/>
          <w:szCs w:val="24"/>
        </w:rPr>
        <w:t>ing</w:t>
      </w:r>
      <w:r w:rsidRPr="007917EC">
        <w:rPr>
          <w:rFonts w:ascii="Times New Roman" w:hAnsi="Times New Roman" w:cs="Times New Roman"/>
          <w:color w:val="000000" w:themeColor="text1"/>
          <w:sz w:val="24"/>
          <w:szCs w:val="24"/>
        </w:rPr>
        <w:t xml:space="preserve">, textile, mineral processing and </w:t>
      </w:r>
      <w:r w:rsidR="00A54984" w:rsidRPr="007917EC">
        <w:rPr>
          <w:rFonts w:ascii="Times New Roman" w:hAnsi="Times New Roman" w:cs="Times New Roman"/>
          <w:color w:val="000000" w:themeColor="text1"/>
          <w:sz w:val="24"/>
          <w:szCs w:val="24"/>
        </w:rPr>
        <w:t>value addition</w:t>
      </w:r>
      <w:r w:rsidRPr="007917EC">
        <w:rPr>
          <w:rFonts w:ascii="Times New Roman" w:hAnsi="Times New Roman" w:cs="Times New Roman"/>
          <w:color w:val="000000" w:themeColor="text1"/>
          <w:sz w:val="24"/>
          <w:szCs w:val="24"/>
        </w:rPr>
        <w:t xml:space="preserve">, wood </w:t>
      </w:r>
      <w:r w:rsidR="00A54984" w:rsidRPr="007917EC">
        <w:rPr>
          <w:rFonts w:ascii="Times New Roman" w:hAnsi="Times New Roman" w:cs="Times New Roman"/>
          <w:color w:val="000000" w:themeColor="text1"/>
          <w:sz w:val="24"/>
          <w:szCs w:val="24"/>
        </w:rPr>
        <w:t>processing</w:t>
      </w:r>
      <w:r w:rsidRPr="007917EC">
        <w:rPr>
          <w:rFonts w:ascii="Times New Roman" w:hAnsi="Times New Roman" w:cs="Times New Roman"/>
          <w:color w:val="000000" w:themeColor="text1"/>
          <w:sz w:val="24"/>
          <w:szCs w:val="24"/>
        </w:rPr>
        <w:t xml:space="preserve">, engineering, </w:t>
      </w:r>
      <w:r w:rsidR="00A54984" w:rsidRPr="007917EC">
        <w:rPr>
          <w:rFonts w:ascii="Times New Roman" w:hAnsi="Times New Roman" w:cs="Times New Roman"/>
          <w:color w:val="000000" w:themeColor="text1"/>
          <w:sz w:val="24"/>
          <w:szCs w:val="24"/>
        </w:rPr>
        <w:t xml:space="preserve">tannery and </w:t>
      </w:r>
      <w:r w:rsidRPr="007917EC">
        <w:rPr>
          <w:rFonts w:ascii="Times New Roman" w:hAnsi="Times New Roman" w:cs="Times New Roman"/>
          <w:color w:val="000000" w:themeColor="text1"/>
          <w:sz w:val="24"/>
          <w:szCs w:val="24"/>
        </w:rPr>
        <w:t>pharmaceutical</w:t>
      </w:r>
      <w:r w:rsidR="00A54984" w:rsidRPr="007917EC">
        <w:rPr>
          <w:rFonts w:ascii="Times New Roman" w:hAnsi="Times New Roman" w:cs="Times New Roman"/>
          <w:color w:val="000000" w:themeColor="text1"/>
          <w:sz w:val="24"/>
          <w:szCs w:val="24"/>
        </w:rPr>
        <w:t xml:space="preserve"> </w:t>
      </w:r>
      <w:r w:rsidRPr="007917EC">
        <w:rPr>
          <w:rFonts w:ascii="Times New Roman" w:hAnsi="Times New Roman" w:cs="Times New Roman"/>
          <w:color w:val="000000" w:themeColor="text1"/>
          <w:sz w:val="24"/>
          <w:szCs w:val="24"/>
        </w:rPr>
        <w:t>(ZDA, 2013). The country is also endowed with mineral deposits for the production of other chemical products and mineral products such as cement, adhesives and explosives, as well as glass, ceramics, batteries, argon gas, sulphuric acid, paints, cosmetics, soaps and detergents. The manufacturing sector in Zambia is dominated by the food, tobacco and beverage sub sectors which accounts for 60% (ZNIP, 2018).</w:t>
      </w:r>
    </w:p>
    <w:p w14:paraId="0E45699D" w14:textId="5A72F73B" w:rsidR="004C223F" w:rsidRPr="007917EC" w:rsidRDefault="004C223F" w:rsidP="007917EC">
      <w:pPr>
        <w:spacing w:after="120" w:line="276" w:lineRule="auto"/>
        <w:jc w:val="both"/>
        <w:rPr>
          <w:rFonts w:ascii="Times New Roman" w:hAnsi="Times New Roman" w:cs="Times New Roman"/>
          <w:color w:val="000000" w:themeColor="text1"/>
          <w:sz w:val="24"/>
          <w:szCs w:val="24"/>
        </w:rPr>
      </w:pPr>
      <w:r w:rsidRPr="007917EC">
        <w:rPr>
          <w:rFonts w:ascii="Times New Roman" w:hAnsi="Times New Roman" w:cs="Times New Roman"/>
          <w:color w:val="000000" w:themeColor="text1"/>
          <w:sz w:val="24"/>
          <w:szCs w:val="24"/>
        </w:rPr>
        <w:t xml:space="preserve">Zambia has a variety of minerals which are exported as raw materials. At </w:t>
      </w:r>
      <w:r w:rsidR="00A54984" w:rsidRPr="007917EC">
        <w:rPr>
          <w:rFonts w:ascii="Times New Roman" w:hAnsi="Times New Roman" w:cs="Times New Roman"/>
          <w:color w:val="000000" w:themeColor="text1"/>
          <w:sz w:val="24"/>
          <w:szCs w:val="24"/>
        </w:rPr>
        <w:t>the time of reporting,</w:t>
      </w:r>
      <w:r w:rsidRPr="007917EC">
        <w:rPr>
          <w:rFonts w:ascii="Times New Roman" w:hAnsi="Times New Roman" w:cs="Times New Roman"/>
          <w:color w:val="000000" w:themeColor="text1"/>
          <w:sz w:val="24"/>
          <w:szCs w:val="24"/>
        </w:rPr>
        <w:t xml:space="preserve"> there </w:t>
      </w:r>
      <w:r w:rsidR="00A54984" w:rsidRPr="007917EC">
        <w:rPr>
          <w:rFonts w:ascii="Times New Roman" w:hAnsi="Times New Roman" w:cs="Times New Roman"/>
          <w:color w:val="000000" w:themeColor="text1"/>
          <w:sz w:val="24"/>
          <w:szCs w:val="24"/>
        </w:rPr>
        <w:t>wa</w:t>
      </w:r>
      <w:r w:rsidRPr="007917EC">
        <w:rPr>
          <w:rFonts w:ascii="Times New Roman" w:hAnsi="Times New Roman" w:cs="Times New Roman"/>
          <w:color w:val="000000" w:themeColor="text1"/>
          <w:sz w:val="24"/>
          <w:szCs w:val="24"/>
        </w:rPr>
        <w:t>s very little value additio</w:t>
      </w:r>
      <w:r w:rsidR="00A54984" w:rsidRPr="007917EC">
        <w:rPr>
          <w:rFonts w:ascii="Times New Roman" w:hAnsi="Times New Roman" w:cs="Times New Roman"/>
          <w:color w:val="000000" w:themeColor="text1"/>
          <w:sz w:val="24"/>
          <w:szCs w:val="24"/>
        </w:rPr>
        <w:t>n</w:t>
      </w:r>
      <w:r w:rsidRPr="007917EC">
        <w:rPr>
          <w:rFonts w:ascii="Times New Roman" w:hAnsi="Times New Roman" w:cs="Times New Roman"/>
          <w:color w:val="000000" w:themeColor="text1"/>
          <w:sz w:val="24"/>
          <w:szCs w:val="24"/>
        </w:rPr>
        <w:t xml:space="preserve"> made to mineral exports which include; copper, iron and steel, cobalt and other minerals. Zambia has a high demand for imports of electronic goods (about US$ 40 million per annum). </w:t>
      </w:r>
      <w:r w:rsidR="00A54984" w:rsidRPr="007917EC">
        <w:rPr>
          <w:rFonts w:ascii="Times New Roman" w:hAnsi="Times New Roman" w:cs="Times New Roman"/>
          <w:color w:val="000000" w:themeColor="text1"/>
          <w:sz w:val="24"/>
          <w:szCs w:val="24"/>
        </w:rPr>
        <w:t>At the time of reporting</w:t>
      </w:r>
      <w:r w:rsidRPr="007917EC">
        <w:rPr>
          <w:rFonts w:ascii="Times New Roman" w:hAnsi="Times New Roman" w:cs="Times New Roman"/>
          <w:color w:val="000000" w:themeColor="text1"/>
          <w:sz w:val="24"/>
          <w:szCs w:val="24"/>
        </w:rPr>
        <w:t xml:space="preserve">, there </w:t>
      </w:r>
      <w:r w:rsidR="00A54984" w:rsidRPr="007917EC">
        <w:rPr>
          <w:rFonts w:ascii="Times New Roman" w:hAnsi="Times New Roman" w:cs="Times New Roman"/>
          <w:color w:val="000000" w:themeColor="text1"/>
          <w:sz w:val="24"/>
          <w:szCs w:val="24"/>
        </w:rPr>
        <w:t>was</w:t>
      </w:r>
      <w:r w:rsidRPr="007917EC">
        <w:rPr>
          <w:rFonts w:ascii="Times New Roman" w:hAnsi="Times New Roman" w:cs="Times New Roman"/>
          <w:color w:val="000000" w:themeColor="text1"/>
          <w:sz w:val="24"/>
          <w:szCs w:val="24"/>
        </w:rPr>
        <w:t xml:space="preserve"> a limited number of manufacturing companies in the textile and garments sector, paper and pulp sector, and pharmaceutical sector in the country. The majority of essential textiles, paper products and pharmaceutical drugs are still being imported. Further, most packaging materials used by manufacturing companies in the country are imported from the Republic of South Africa, China, India and Europe. The companies spend about US$ 30 million annually on the imports of the packaging materials</w:t>
      </w:r>
      <w:r w:rsidR="007C135A" w:rsidRPr="007917EC">
        <w:rPr>
          <w:rFonts w:ascii="Times New Roman" w:hAnsi="Times New Roman" w:cs="Times New Roman"/>
          <w:color w:val="000000" w:themeColor="text1"/>
          <w:sz w:val="24"/>
          <w:szCs w:val="24"/>
        </w:rPr>
        <w:t xml:space="preserve"> </w:t>
      </w:r>
      <w:r w:rsidRPr="007917EC">
        <w:rPr>
          <w:rFonts w:ascii="Times New Roman" w:hAnsi="Times New Roman" w:cs="Times New Roman"/>
          <w:color w:val="000000" w:themeColor="text1"/>
          <w:sz w:val="24"/>
          <w:szCs w:val="24"/>
        </w:rPr>
        <w:t xml:space="preserve">(ZDA, 2013). </w:t>
      </w:r>
    </w:p>
    <w:p w14:paraId="42CC3B94" w14:textId="77777777" w:rsidR="00FC4FC5" w:rsidRPr="00191ACB" w:rsidRDefault="00FC4FC5" w:rsidP="005E626A">
      <w:pPr>
        <w:spacing w:after="120" w:line="240" w:lineRule="auto"/>
        <w:jc w:val="both"/>
        <w:rPr>
          <w:rFonts w:ascii="Times New Roman" w:eastAsia="Garamond" w:hAnsi="Times New Roman" w:cs="Times New Roman"/>
          <w:color w:val="000000" w:themeColor="text1"/>
          <w:sz w:val="24"/>
          <w:szCs w:val="24"/>
        </w:rPr>
      </w:pPr>
    </w:p>
    <w:p w14:paraId="17F15B05" w14:textId="4DA69BBA" w:rsidR="004C223F" w:rsidRPr="00191ACB" w:rsidRDefault="004C223F" w:rsidP="00A53502">
      <w:pPr>
        <w:pStyle w:val="Heading3"/>
        <w:numPr>
          <w:ilvl w:val="2"/>
          <w:numId w:val="36"/>
        </w:numPr>
        <w:ind w:left="851" w:hanging="851"/>
        <w:rPr>
          <w:rFonts w:cs="Times New Roman"/>
          <w:b w:val="0"/>
          <w:color w:val="000000" w:themeColor="text1"/>
          <w:szCs w:val="24"/>
        </w:rPr>
      </w:pPr>
      <w:bookmarkStart w:id="159" w:name="_Toc48427309"/>
      <w:bookmarkStart w:id="160" w:name="_Toc57902833"/>
      <w:r w:rsidRPr="00A53502">
        <w:lastRenderedPageBreak/>
        <w:t>Emissions</w:t>
      </w:r>
      <w:r w:rsidRPr="00191ACB">
        <w:rPr>
          <w:rFonts w:cs="Times New Roman"/>
          <w:b w:val="0"/>
          <w:color w:val="000000" w:themeColor="text1"/>
          <w:szCs w:val="24"/>
        </w:rPr>
        <w:t xml:space="preserve"> </w:t>
      </w:r>
      <w:r w:rsidRPr="00A53502">
        <w:t>Trends</w:t>
      </w:r>
      <w:r w:rsidRPr="00191ACB">
        <w:rPr>
          <w:rFonts w:cs="Times New Roman"/>
          <w:b w:val="0"/>
          <w:color w:val="000000" w:themeColor="text1"/>
          <w:szCs w:val="24"/>
        </w:rPr>
        <w:t xml:space="preserve"> </w:t>
      </w:r>
      <w:r w:rsidRPr="00A53502">
        <w:t>under</w:t>
      </w:r>
      <w:r w:rsidRPr="00191ACB">
        <w:rPr>
          <w:rFonts w:cs="Times New Roman"/>
          <w:b w:val="0"/>
          <w:color w:val="000000" w:themeColor="text1"/>
          <w:szCs w:val="24"/>
        </w:rPr>
        <w:t xml:space="preserve"> </w:t>
      </w:r>
      <w:r w:rsidRPr="00A53502">
        <w:t>IPPU</w:t>
      </w:r>
      <w:bookmarkEnd w:id="159"/>
      <w:bookmarkEnd w:id="160"/>
      <w:r w:rsidRPr="00191ACB">
        <w:rPr>
          <w:rFonts w:cs="Times New Roman"/>
          <w:b w:val="0"/>
          <w:color w:val="000000" w:themeColor="text1"/>
          <w:szCs w:val="24"/>
        </w:rPr>
        <w:t xml:space="preserve">  </w:t>
      </w:r>
      <w:r w:rsidRPr="00191ACB">
        <w:rPr>
          <w:rFonts w:cs="Times New Roman"/>
          <w:b w:val="0"/>
          <w:color w:val="000000" w:themeColor="text1"/>
          <w:szCs w:val="24"/>
        </w:rPr>
        <w:tab/>
      </w:r>
    </w:p>
    <w:p w14:paraId="213D7E06" w14:textId="4EB66FC5" w:rsidR="004C223F" w:rsidRPr="00191ACB" w:rsidRDefault="004C223F" w:rsidP="007917E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emissions in this sector increased from 428.5 Gg CO</w:t>
      </w:r>
      <w:r w:rsidRPr="00191ACB">
        <w:rPr>
          <w:rFonts w:ascii="Times New Roman" w:hAnsi="Times New Roman" w:cs="Times New Roman"/>
          <w:color w:val="000000" w:themeColor="text1"/>
          <w:sz w:val="24"/>
          <w:szCs w:val="24"/>
          <w:vertAlign w:val="subscript"/>
        </w:rPr>
        <w:t xml:space="preserve">2eq. </w:t>
      </w:r>
      <w:r w:rsidRPr="00191ACB">
        <w:rPr>
          <w:rFonts w:ascii="Times New Roman" w:hAnsi="Times New Roman" w:cs="Times New Roman"/>
          <w:color w:val="000000" w:themeColor="text1"/>
          <w:sz w:val="24"/>
          <w:szCs w:val="24"/>
        </w:rPr>
        <w:t>in 1994 base year to 2,091.0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in 2016. Increase in sectoral emissions observed over the longer term are principally due to growth in emissions associated with the manufacture of mineral products, product uses as substitutes for Ozone Depleting Substances and other product manufacture and use. Figure </w:t>
      </w:r>
      <w:r w:rsidR="00C34ED5" w:rsidRPr="00191ACB">
        <w:rPr>
          <w:rFonts w:ascii="Times New Roman" w:hAnsi="Times New Roman" w:cs="Times New Roman"/>
          <w:color w:val="000000" w:themeColor="text1"/>
          <w:sz w:val="24"/>
          <w:szCs w:val="24"/>
        </w:rPr>
        <w:t>3.14 shows</w:t>
      </w:r>
      <w:r w:rsidRPr="00191ACB">
        <w:rPr>
          <w:rFonts w:ascii="Times New Roman" w:hAnsi="Times New Roman" w:cs="Times New Roman"/>
          <w:color w:val="000000" w:themeColor="text1"/>
          <w:sz w:val="24"/>
          <w:szCs w:val="24"/>
        </w:rPr>
        <w:t xml:space="preserve"> the emissions trends in the IPPU sector.</w:t>
      </w:r>
    </w:p>
    <w:p w14:paraId="4F18704A" w14:textId="77777777" w:rsidR="004C223F" w:rsidRPr="00191ACB" w:rsidRDefault="004C223F" w:rsidP="005E626A">
      <w:pPr>
        <w:spacing w:after="120" w:line="240" w:lineRule="auto"/>
        <w:jc w:val="both"/>
        <w:rPr>
          <w:rFonts w:ascii="Times New Roman" w:hAnsi="Times New Roman" w:cs="Times New Roman"/>
          <w:color w:val="000000" w:themeColor="text1"/>
          <w:sz w:val="24"/>
          <w:szCs w:val="24"/>
        </w:rPr>
      </w:pPr>
    </w:p>
    <w:p w14:paraId="7798A4FD" w14:textId="77777777" w:rsidR="004C223F" w:rsidRPr="00191ACB" w:rsidRDefault="004C223F" w:rsidP="00FB59E0">
      <w:pPr>
        <w:pStyle w:val="NoSpacing"/>
        <w:rPr>
          <w:rFonts w:ascii="Times New Roman" w:hAnsi="Times New Roman" w:cs="Times New Roman"/>
          <w:sz w:val="24"/>
          <w:szCs w:val="24"/>
        </w:rPr>
      </w:pPr>
      <w:r w:rsidRPr="00191ACB">
        <w:rPr>
          <w:rFonts w:ascii="Times New Roman" w:hAnsi="Times New Roman" w:cs="Times New Roman"/>
          <w:noProof/>
          <w:sz w:val="24"/>
          <w:szCs w:val="24"/>
          <w:lang w:val="en-GB" w:eastAsia="en-GB"/>
        </w:rPr>
        <w:drawing>
          <wp:inline distT="0" distB="0" distL="0" distR="0" wp14:anchorId="3EB3032A" wp14:editId="748D4430">
            <wp:extent cx="4572000" cy="2415540"/>
            <wp:effectExtent l="0" t="0" r="0" b="3810"/>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5FE8382" w14:textId="4D020DEB" w:rsidR="004C223F" w:rsidRPr="00191ACB" w:rsidRDefault="009D481C" w:rsidP="009D481C">
      <w:pPr>
        <w:pStyle w:val="Caption"/>
        <w:rPr>
          <w:sz w:val="24"/>
          <w:szCs w:val="24"/>
        </w:rPr>
      </w:pPr>
      <w:r w:rsidRPr="009D481C">
        <w:rPr>
          <w:sz w:val="24"/>
          <w:szCs w:val="24"/>
        </w:rPr>
        <w:t xml:space="preserve">Figure </w:t>
      </w:r>
      <w:r w:rsidRPr="009D481C">
        <w:rPr>
          <w:sz w:val="24"/>
          <w:szCs w:val="24"/>
        </w:rPr>
        <w:fldChar w:fldCharType="begin"/>
      </w:r>
      <w:r w:rsidRPr="009D481C">
        <w:rPr>
          <w:sz w:val="24"/>
          <w:szCs w:val="24"/>
        </w:rPr>
        <w:instrText xml:space="preserve"> STYLEREF 1 \s </w:instrText>
      </w:r>
      <w:r w:rsidRPr="009D481C">
        <w:rPr>
          <w:sz w:val="24"/>
          <w:szCs w:val="24"/>
        </w:rPr>
        <w:fldChar w:fldCharType="separate"/>
      </w:r>
      <w:r w:rsidRPr="009D481C">
        <w:rPr>
          <w:noProof/>
          <w:sz w:val="24"/>
          <w:szCs w:val="24"/>
        </w:rPr>
        <w:t>3</w:t>
      </w:r>
      <w:r w:rsidRPr="009D481C">
        <w:rPr>
          <w:sz w:val="24"/>
          <w:szCs w:val="24"/>
        </w:rPr>
        <w:fldChar w:fldCharType="end"/>
      </w:r>
      <w:r w:rsidRPr="009D481C">
        <w:rPr>
          <w:sz w:val="24"/>
          <w:szCs w:val="24"/>
        </w:rPr>
        <w:t>.</w:t>
      </w:r>
      <w:r w:rsidRPr="009D481C">
        <w:rPr>
          <w:sz w:val="24"/>
          <w:szCs w:val="24"/>
        </w:rPr>
        <w:fldChar w:fldCharType="begin"/>
      </w:r>
      <w:r w:rsidRPr="009D481C">
        <w:rPr>
          <w:sz w:val="24"/>
          <w:szCs w:val="24"/>
        </w:rPr>
        <w:instrText xml:space="preserve"> SEQ Figure \* ARABIC \s 1 </w:instrText>
      </w:r>
      <w:r w:rsidRPr="009D481C">
        <w:rPr>
          <w:sz w:val="24"/>
          <w:szCs w:val="24"/>
        </w:rPr>
        <w:fldChar w:fldCharType="separate"/>
      </w:r>
      <w:r w:rsidRPr="009D481C">
        <w:rPr>
          <w:noProof/>
          <w:sz w:val="24"/>
          <w:szCs w:val="24"/>
        </w:rPr>
        <w:t>14</w:t>
      </w:r>
      <w:r w:rsidRPr="009D481C">
        <w:rPr>
          <w:sz w:val="24"/>
          <w:szCs w:val="24"/>
        </w:rPr>
        <w:fldChar w:fldCharType="end"/>
      </w:r>
      <w:r w:rsidRPr="00191ACB">
        <w:rPr>
          <w:sz w:val="24"/>
          <w:szCs w:val="24"/>
        </w:rPr>
        <w:t>:Emissions trends for IPPU</w:t>
      </w:r>
    </w:p>
    <w:p w14:paraId="3EB63CD9" w14:textId="77777777" w:rsidR="00FB59E0" w:rsidRPr="00191ACB" w:rsidRDefault="00FB59E0" w:rsidP="004C223F">
      <w:pPr>
        <w:jc w:val="both"/>
        <w:rPr>
          <w:rFonts w:ascii="Times New Roman" w:hAnsi="Times New Roman" w:cs="Times New Roman"/>
          <w:color w:val="000000" w:themeColor="text1"/>
          <w:sz w:val="24"/>
          <w:szCs w:val="24"/>
        </w:rPr>
      </w:pPr>
    </w:p>
    <w:p w14:paraId="0007E6FA" w14:textId="2E228DAA" w:rsidR="004C223F" w:rsidRPr="00191ACB"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2016, the highest source of emissions in the IPPU sector was from the mineral industry at 93.3</w:t>
      </w:r>
      <w:r w:rsidR="00D52B1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with emissions generated from lime and cement production followed by Product Uses as Substitutes for Ozone Depleting Substances at 5.3</w:t>
      </w:r>
      <w:r w:rsidR="00D52B1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The third source of emissions </w:t>
      </w:r>
      <w:r w:rsidR="00D52B19" w:rsidRPr="00191ACB">
        <w:rPr>
          <w:rFonts w:ascii="Times New Roman" w:hAnsi="Times New Roman" w:cs="Times New Roman"/>
          <w:color w:val="000000" w:themeColor="text1"/>
          <w:sz w:val="24"/>
          <w:szCs w:val="24"/>
        </w:rPr>
        <w:t>were from</w:t>
      </w:r>
      <w:r w:rsidRPr="00191ACB">
        <w:rPr>
          <w:rFonts w:ascii="Times New Roman" w:hAnsi="Times New Roman" w:cs="Times New Roman"/>
          <w:color w:val="000000" w:themeColor="text1"/>
          <w:sz w:val="24"/>
          <w:szCs w:val="24"/>
        </w:rPr>
        <w:t xml:space="preserve"> Chemical and Metal Industries at 0.2</w:t>
      </w:r>
      <w:r w:rsidR="00D52B1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w:t>
      </w:r>
      <w:r w:rsidR="00D52B19" w:rsidRPr="00191ACB">
        <w:rPr>
          <w:rFonts w:ascii="Times New Roman" w:hAnsi="Times New Roman" w:cs="Times New Roman"/>
          <w:color w:val="000000" w:themeColor="text1"/>
          <w:sz w:val="24"/>
          <w:szCs w:val="24"/>
        </w:rPr>
        <w:t>each</w:t>
      </w:r>
      <w:r w:rsidRPr="00191ACB">
        <w:rPr>
          <w:rFonts w:ascii="Times New Roman" w:hAnsi="Times New Roman" w:cs="Times New Roman"/>
          <w:color w:val="000000" w:themeColor="text1"/>
          <w:sz w:val="24"/>
          <w:szCs w:val="24"/>
        </w:rPr>
        <w:t xml:space="preserve">. Emissions from Other Product Manufacture and Use was almost negligible. Trends of emissions for categories under IPPU are provided in Figure </w:t>
      </w:r>
      <w:r w:rsidR="00026F01" w:rsidRPr="00191ACB">
        <w:rPr>
          <w:rFonts w:ascii="Times New Roman" w:hAnsi="Times New Roman" w:cs="Times New Roman"/>
          <w:color w:val="000000" w:themeColor="text1"/>
          <w:sz w:val="24"/>
          <w:szCs w:val="24"/>
        </w:rPr>
        <w:t>3.15</w:t>
      </w:r>
      <w:r w:rsidRPr="00191ACB">
        <w:rPr>
          <w:rFonts w:ascii="Times New Roman" w:hAnsi="Times New Roman" w:cs="Times New Roman"/>
          <w:color w:val="000000" w:themeColor="text1"/>
          <w:sz w:val="24"/>
          <w:szCs w:val="24"/>
        </w:rPr>
        <w:t>.</w:t>
      </w:r>
    </w:p>
    <w:p w14:paraId="7EA18985" w14:textId="77777777" w:rsidR="00872147" w:rsidRPr="00191ACB" w:rsidRDefault="00872147" w:rsidP="004C223F">
      <w:pPr>
        <w:jc w:val="both"/>
        <w:rPr>
          <w:rFonts w:ascii="Times New Roman" w:hAnsi="Times New Roman" w:cs="Times New Roman"/>
          <w:color w:val="000000" w:themeColor="text1"/>
          <w:sz w:val="24"/>
          <w:szCs w:val="24"/>
        </w:rPr>
      </w:pPr>
    </w:p>
    <w:p w14:paraId="605052A8" w14:textId="5CE8CA82" w:rsidR="004C223F" w:rsidRPr="00191ACB" w:rsidRDefault="0022004A" w:rsidP="004C223F">
      <w:pPr>
        <w:jc w:val="both"/>
        <w:rPr>
          <w:rFonts w:ascii="Times New Roman" w:hAnsi="Times New Roman" w:cs="Times New Roman"/>
          <w:color w:val="000000" w:themeColor="text1"/>
          <w:sz w:val="24"/>
          <w:szCs w:val="24"/>
        </w:rPr>
      </w:pPr>
      <w:r>
        <w:rPr>
          <w:noProof/>
          <w:lang w:val="en-GB" w:eastAsia="en-GB"/>
        </w:rPr>
        <w:lastRenderedPageBreak/>
        <w:drawing>
          <wp:inline distT="0" distB="0" distL="0" distR="0" wp14:anchorId="69ADBFD4" wp14:editId="49A529B7">
            <wp:extent cx="5943600" cy="3817620"/>
            <wp:effectExtent l="0" t="0" r="0" b="1143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47FDFC9" w14:textId="4224B218" w:rsidR="004C223F" w:rsidRPr="00191ACB" w:rsidRDefault="005B62E8" w:rsidP="005B62E8">
      <w:pPr>
        <w:pStyle w:val="Caption"/>
        <w:rPr>
          <w:i w:val="0"/>
          <w:color w:val="000000" w:themeColor="text1"/>
          <w:sz w:val="24"/>
          <w:szCs w:val="24"/>
        </w:rPr>
      </w:pPr>
      <w:bookmarkStart w:id="161" w:name="_Toc56583860"/>
      <w:r w:rsidRPr="0022004A">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15</w:t>
      </w:r>
      <w:r w:rsidR="009D481C">
        <w:rPr>
          <w:sz w:val="24"/>
          <w:szCs w:val="24"/>
        </w:rPr>
        <w:fldChar w:fldCharType="end"/>
      </w:r>
      <w:r w:rsidRPr="0022004A">
        <w:rPr>
          <w:sz w:val="24"/>
          <w:szCs w:val="24"/>
        </w:rPr>
        <w:t>:Trends of emissions by category</w:t>
      </w:r>
      <w:bookmarkEnd w:id="161"/>
    </w:p>
    <w:p w14:paraId="7FA598FC" w14:textId="77777777" w:rsidR="007C135A" w:rsidRPr="00191ACB" w:rsidRDefault="007C135A" w:rsidP="004C223F">
      <w:pPr>
        <w:spacing w:before="240" w:after="240"/>
        <w:rPr>
          <w:rFonts w:ascii="Times New Roman" w:hAnsi="Times New Roman" w:cs="Times New Roman"/>
          <w:b/>
          <w:color w:val="000000" w:themeColor="text1"/>
          <w:sz w:val="24"/>
          <w:szCs w:val="24"/>
        </w:rPr>
      </w:pPr>
    </w:p>
    <w:p w14:paraId="38B8D2F3" w14:textId="07A533FD" w:rsidR="004C223F" w:rsidRPr="00191ACB" w:rsidRDefault="004C223F" w:rsidP="009D481C">
      <w:pPr>
        <w:pStyle w:val="Heading3"/>
        <w:numPr>
          <w:ilvl w:val="2"/>
          <w:numId w:val="36"/>
        </w:numPr>
        <w:ind w:left="851" w:hanging="851"/>
      </w:pPr>
      <w:bookmarkStart w:id="162" w:name="_Toc57902834"/>
      <w:r w:rsidRPr="00191ACB">
        <w:t>Emissions by gas</w:t>
      </w:r>
      <w:bookmarkEnd w:id="162"/>
      <w:r w:rsidRPr="00191ACB">
        <w:t xml:space="preserve">    </w:t>
      </w:r>
    </w:p>
    <w:p w14:paraId="25817F35" w14:textId="1D031DB0" w:rsidR="004C223F" w:rsidRPr="00191ACB"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the year 2016,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was the highest emitted gas in the IPPU sector at 95% followed by HFCs at 5%. SF6 was almost negligible (Figure </w:t>
      </w:r>
      <w:r w:rsidR="00026F01" w:rsidRPr="00191ACB">
        <w:rPr>
          <w:rFonts w:ascii="Times New Roman" w:hAnsi="Times New Roman" w:cs="Times New Roman"/>
          <w:color w:val="000000" w:themeColor="text1"/>
          <w:sz w:val="24"/>
          <w:szCs w:val="24"/>
        </w:rPr>
        <w:t>3.16</w:t>
      </w:r>
      <w:r w:rsidRPr="00191ACB">
        <w:rPr>
          <w:rFonts w:ascii="Times New Roman" w:hAnsi="Times New Roman" w:cs="Times New Roman"/>
          <w:color w:val="000000" w:themeColor="text1"/>
          <w:sz w:val="24"/>
          <w:szCs w:val="24"/>
        </w:rPr>
        <w:t>).</w:t>
      </w:r>
    </w:p>
    <w:p w14:paraId="73F9E04E" w14:textId="77777777" w:rsidR="004C223F" w:rsidRPr="00191ACB" w:rsidRDefault="004C223F" w:rsidP="004C223F">
      <w:pPr>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0CB585BB" wp14:editId="2AD81DE4">
            <wp:extent cx="3093720" cy="2034540"/>
            <wp:effectExtent l="0" t="0" r="11430" b="381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41EF830" w14:textId="6F73B600" w:rsidR="004C223F" w:rsidRPr="00191ACB" w:rsidRDefault="00026F01" w:rsidP="00026F01">
      <w:pPr>
        <w:pStyle w:val="Caption"/>
        <w:rPr>
          <w:i w:val="0"/>
          <w:color w:val="000000" w:themeColor="text1"/>
          <w:sz w:val="24"/>
          <w:szCs w:val="24"/>
        </w:rPr>
      </w:pPr>
      <w:bookmarkStart w:id="163" w:name="_Toc56583861"/>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16</w:t>
      </w:r>
      <w:r w:rsidR="009D481C">
        <w:rPr>
          <w:sz w:val="24"/>
          <w:szCs w:val="24"/>
        </w:rPr>
        <w:fldChar w:fldCharType="end"/>
      </w:r>
      <w:r w:rsidRPr="00191ACB">
        <w:rPr>
          <w:sz w:val="24"/>
          <w:szCs w:val="24"/>
        </w:rPr>
        <w:t>:Emissions by gas in 2016 for the IPPU Sector</w:t>
      </w:r>
      <w:bookmarkEnd w:id="163"/>
    </w:p>
    <w:p w14:paraId="432419FC" w14:textId="77777777" w:rsidR="004C223F" w:rsidRPr="00191ACB"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main contribution to the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in the IPPC sector is cement and lime industries. Lubricant use and iron and steel production also contributes marginally to the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emissions. HFCs are mainly emitted from Refrigeration and Air Conditioning while SF</w:t>
      </w:r>
      <w:r w:rsidRPr="00191ACB">
        <w:rPr>
          <w:rFonts w:ascii="Times New Roman" w:hAnsi="Times New Roman" w:cs="Times New Roman"/>
          <w:color w:val="000000" w:themeColor="text1"/>
          <w:sz w:val="24"/>
          <w:szCs w:val="24"/>
          <w:vertAlign w:val="subscript"/>
        </w:rPr>
        <w:t>6</w:t>
      </w:r>
      <w:r w:rsidRPr="00191ACB">
        <w:rPr>
          <w:rFonts w:ascii="Times New Roman" w:hAnsi="Times New Roman" w:cs="Times New Roman"/>
          <w:color w:val="000000" w:themeColor="text1"/>
          <w:sz w:val="24"/>
          <w:szCs w:val="24"/>
        </w:rPr>
        <w:t xml:space="preserve"> is from electrical equipment. </w:t>
      </w:r>
    </w:p>
    <w:p w14:paraId="448EDB26" w14:textId="77777777" w:rsidR="00CF758F" w:rsidRPr="00191ACB" w:rsidRDefault="00CF758F" w:rsidP="005E626A">
      <w:pPr>
        <w:spacing w:after="120" w:line="240" w:lineRule="auto"/>
        <w:jc w:val="both"/>
        <w:rPr>
          <w:rFonts w:ascii="Times New Roman" w:hAnsi="Times New Roman" w:cs="Times New Roman"/>
          <w:color w:val="000000" w:themeColor="text1"/>
          <w:sz w:val="24"/>
          <w:szCs w:val="24"/>
        </w:rPr>
      </w:pPr>
    </w:p>
    <w:p w14:paraId="5B05BC80" w14:textId="6ACCB397" w:rsidR="004C223F" w:rsidRPr="00191ACB" w:rsidRDefault="004C223F" w:rsidP="009D481C">
      <w:pPr>
        <w:pStyle w:val="Heading3"/>
        <w:numPr>
          <w:ilvl w:val="2"/>
          <w:numId w:val="36"/>
        </w:numPr>
        <w:ind w:left="851" w:hanging="851"/>
      </w:pPr>
      <w:bookmarkStart w:id="164" w:name="_Toc57902835"/>
      <w:r w:rsidRPr="00191ACB">
        <w:lastRenderedPageBreak/>
        <w:t xml:space="preserve">Emissions </w:t>
      </w:r>
      <w:r w:rsidR="003E52C4" w:rsidRPr="00191ACB">
        <w:t xml:space="preserve">Trends by Category Under </w:t>
      </w:r>
      <w:r w:rsidRPr="00191ACB">
        <w:t>IPPU</w:t>
      </w:r>
      <w:bookmarkEnd w:id="164"/>
      <w:r w:rsidRPr="00191ACB">
        <w:t xml:space="preserve"> </w:t>
      </w:r>
    </w:p>
    <w:p w14:paraId="061D602E" w14:textId="77777777" w:rsidR="004C223F" w:rsidRPr="00191ACB" w:rsidRDefault="004C223F" w:rsidP="00F04D87">
      <w:pPr>
        <w:spacing w:after="120" w:line="276" w:lineRule="auto"/>
        <w:jc w:val="both"/>
        <w:rPr>
          <w:rFonts w:ascii="Times New Roman" w:hAnsi="Times New Roman" w:cs="Times New Roman"/>
          <w:b/>
          <w:color w:val="000000" w:themeColor="text1"/>
          <w:sz w:val="24"/>
          <w:szCs w:val="24"/>
        </w:rPr>
      </w:pPr>
      <w:r w:rsidRPr="00191ACB">
        <w:rPr>
          <w:rFonts w:ascii="Times New Roman" w:hAnsi="Times New Roman" w:cs="Times New Roman"/>
          <w:color w:val="000000" w:themeColor="text1"/>
          <w:sz w:val="24"/>
          <w:szCs w:val="24"/>
        </w:rPr>
        <w:t xml:space="preserve">This section provides respective emissions, activity data and emission factors and methodologies for categories under IPPU. </w:t>
      </w:r>
      <w:r w:rsidRPr="00191ACB">
        <w:rPr>
          <w:rFonts w:ascii="Times New Roman" w:hAnsi="Times New Roman" w:cs="Times New Roman"/>
          <w:b/>
          <w:color w:val="000000" w:themeColor="text1"/>
          <w:sz w:val="24"/>
          <w:szCs w:val="24"/>
        </w:rPr>
        <w:t xml:space="preserve">         </w:t>
      </w:r>
      <w:r w:rsidRPr="00191ACB">
        <w:rPr>
          <w:rFonts w:ascii="Times New Roman" w:hAnsi="Times New Roman" w:cs="Times New Roman"/>
          <w:b/>
          <w:color w:val="000000" w:themeColor="text1"/>
          <w:sz w:val="24"/>
          <w:szCs w:val="24"/>
        </w:rPr>
        <w:tab/>
      </w:r>
    </w:p>
    <w:p w14:paraId="2FFF8AD8" w14:textId="43736668" w:rsidR="004C223F" w:rsidRPr="00191ACB" w:rsidRDefault="004C223F" w:rsidP="009D481C">
      <w:pPr>
        <w:pStyle w:val="Heading4"/>
        <w:numPr>
          <w:ilvl w:val="3"/>
          <w:numId w:val="36"/>
        </w:numPr>
        <w:ind w:left="851" w:hanging="851"/>
      </w:pPr>
      <w:r w:rsidRPr="00191ACB">
        <w:t>Mineral Industry</w:t>
      </w:r>
    </w:p>
    <w:p w14:paraId="797E5AE7" w14:textId="77777777" w:rsidR="004C223F" w:rsidRPr="00191ACB" w:rsidRDefault="004C223F" w:rsidP="00F04D87">
      <w:pPr>
        <w:spacing w:after="120" w:line="276" w:lineRule="auto"/>
        <w:jc w:val="both"/>
        <w:rPr>
          <w:rFonts w:ascii="Times New Roman" w:hAnsi="Times New Roman" w:cs="Times New Roman"/>
          <w:b/>
          <w:i/>
          <w:color w:val="000000" w:themeColor="text1"/>
          <w:sz w:val="24"/>
          <w:szCs w:val="24"/>
        </w:rPr>
      </w:pPr>
      <w:r w:rsidRPr="00191ACB">
        <w:rPr>
          <w:rFonts w:ascii="Times New Roman" w:hAnsi="Times New Roman" w:cs="Times New Roman"/>
          <w:color w:val="000000" w:themeColor="text1"/>
          <w:sz w:val="24"/>
          <w:szCs w:val="24"/>
        </w:rPr>
        <w:t>The emissions source categories resulting from the consumption of carbonates from cement and lime production, including non-metallurgical magnesia were considered. Emissions for the mineral industry increased from 322.6Gg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1994 to 1951.6 Gg CO</w:t>
      </w:r>
      <w:r w:rsidRPr="00191ACB">
        <w:rPr>
          <w:rFonts w:ascii="Times New Roman" w:hAnsi="Times New Roman" w:cs="Times New Roman"/>
          <w:color w:val="000000" w:themeColor="text1"/>
          <w:sz w:val="24"/>
          <w:szCs w:val="24"/>
          <w:vertAlign w:val="subscript"/>
        </w:rPr>
        <w:t xml:space="preserve">2 eq. </w:t>
      </w:r>
      <w:r w:rsidRPr="00191ACB">
        <w:rPr>
          <w:rFonts w:ascii="Times New Roman" w:hAnsi="Times New Roman" w:cs="Times New Roman"/>
          <w:color w:val="000000" w:themeColor="text1"/>
          <w:sz w:val="24"/>
          <w:szCs w:val="24"/>
        </w:rPr>
        <w:t>in 2016. The major sources of emissions are attributed to lime production at 52.1% followed by cement production at 47.4% and Other Process Uses of Carbonates contributed 0.5% with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being the only emitted gas from the mineral industry in 2016.</w:t>
      </w:r>
      <w:r w:rsidRPr="00191ACB">
        <w:rPr>
          <w:rFonts w:ascii="Times New Roman" w:hAnsi="Times New Roman" w:cs="Times New Roman"/>
          <w:b/>
          <w:i/>
          <w:color w:val="000000" w:themeColor="text1"/>
          <w:sz w:val="24"/>
          <w:szCs w:val="24"/>
        </w:rPr>
        <w:t xml:space="preserve"> </w:t>
      </w:r>
    </w:p>
    <w:p w14:paraId="7F725955" w14:textId="70BB40C7" w:rsidR="004C223F" w:rsidRPr="00191ACB" w:rsidRDefault="004E5F85" w:rsidP="00F04D87">
      <w:pPr>
        <w:spacing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C</w:t>
      </w:r>
      <w:r w:rsidR="004C223F" w:rsidRPr="00191ACB">
        <w:rPr>
          <w:rFonts w:ascii="Times New Roman" w:hAnsi="Times New Roman" w:cs="Times New Roman"/>
          <w:color w:val="000000" w:themeColor="text1"/>
          <w:sz w:val="24"/>
          <w:szCs w:val="24"/>
          <w:highlight w:val="white"/>
        </w:rPr>
        <w:t xml:space="preserve">ement </w:t>
      </w:r>
      <w:r w:rsidRPr="00191ACB">
        <w:rPr>
          <w:rFonts w:ascii="Times New Roman" w:hAnsi="Times New Roman" w:cs="Times New Roman"/>
          <w:color w:val="000000" w:themeColor="text1"/>
          <w:sz w:val="24"/>
          <w:szCs w:val="24"/>
          <w:highlight w:val="white"/>
        </w:rPr>
        <w:t>production</w:t>
      </w:r>
      <w:r w:rsidR="004C223F" w:rsidRPr="00191ACB">
        <w:rPr>
          <w:rFonts w:ascii="Times New Roman" w:hAnsi="Times New Roman" w:cs="Times New Roman"/>
          <w:color w:val="000000" w:themeColor="text1"/>
          <w:sz w:val="24"/>
          <w:szCs w:val="24"/>
          <w:highlight w:val="white"/>
        </w:rPr>
        <w:t xml:space="preserve"> in Zambia </w:t>
      </w:r>
      <w:r w:rsidRPr="00191ACB">
        <w:rPr>
          <w:rFonts w:ascii="Times New Roman" w:hAnsi="Times New Roman" w:cs="Times New Roman"/>
          <w:color w:val="000000" w:themeColor="text1"/>
          <w:sz w:val="24"/>
          <w:szCs w:val="24"/>
          <w:highlight w:val="white"/>
        </w:rPr>
        <w:t>increased</w:t>
      </w:r>
      <w:r w:rsidR="004C223F" w:rsidRPr="00191ACB">
        <w:rPr>
          <w:rFonts w:ascii="Times New Roman" w:hAnsi="Times New Roman" w:cs="Times New Roman"/>
          <w:color w:val="000000" w:themeColor="text1"/>
          <w:sz w:val="24"/>
          <w:szCs w:val="24"/>
          <w:highlight w:val="white"/>
        </w:rPr>
        <w:t xml:space="preserve"> from around 1,126,772 tonnes in 2011 to 1,953,498 tonnes in 2016. This growth </w:t>
      </w:r>
      <w:r w:rsidRPr="00191ACB">
        <w:rPr>
          <w:rFonts w:ascii="Times New Roman" w:hAnsi="Times New Roman" w:cs="Times New Roman"/>
          <w:color w:val="000000" w:themeColor="text1"/>
          <w:sz w:val="24"/>
          <w:szCs w:val="24"/>
          <w:highlight w:val="white"/>
        </w:rPr>
        <w:t>was</w:t>
      </w:r>
      <w:r w:rsidR="004C223F" w:rsidRPr="00191ACB">
        <w:rPr>
          <w:rFonts w:ascii="Times New Roman" w:hAnsi="Times New Roman" w:cs="Times New Roman"/>
          <w:color w:val="000000" w:themeColor="text1"/>
          <w:sz w:val="24"/>
          <w:szCs w:val="24"/>
          <w:highlight w:val="white"/>
        </w:rPr>
        <w:t xml:space="preserve"> largely driven by the construction industry, </w:t>
      </w:r>
      <w:r w:rsidRPr="00191ACB">
        <w:rPr>
          <w:rFonts w:ascii="Times New Roman" w:hAnsi="Times New Roman" w:cs="Times New Roman"/>
          <w:color w:val="000000" w:themeColor="text1"/>
          <w:sz w:val="24"/>
          <w:szCs w:val="24"/>
          <w:highlight w:val="white"/>
        </w:rPr>
        <w:t xml:space="preserve">due to </w:t>
      </w:r>
      <w:r w:rsidR="004C223F" w:rsidRPr="00191ACB">
        <w:rPr>
          <w:rFonts w:ascii="Times New Roman" w:hAnsi="Times New Roman" w:cs="Times New Roman"/>
          <w:color w:val="000000" w:themeColor="text1"/>
          <w:sz w:val="24"/>
          <w:szCs w:val="24"/>
          <w:highlight w:val="white"/>
        </w:rPr>
        <w:t>continued demand for residential, commercial and public infrastructure projects across the country</w:t>
      </w:r>
      <w:r w:rsidRPr="00191ACB">
        <w:rPr>
          <w:rFonts w:ascii="Times New Roman" w:hAnsi="Times New Roman" w:cs="Times New Roman"/>
          <w:color w:val="000000" w:themeColor="text1"/>
          <w:sz w:val="24"/>
          <w:szCs w:val="24"/>
          <w:highlight w:val="white"/>
        </w:rPr>
        <w:t>.</w:t>
      </w:r>
      <w:r w:rsidR="004C223F" w:rsidRPr="00191ACB">
        <w:rPr>
          <w:rFonts w:ascii="Times New Roman" w:hAnsi="Times New Roman" w:cs="Times New Roman"/>
          <w:color w:val="000000" w:themeColor="text1"/>
          <w:sz w:val="24"/>
          <w:szCs w:val="24"/>
          <w:highlight w:val="white"/>
        </w:rPr>
        <w:t xml:space="preserve"> </w:t>
      </w:r>
    </w:p>
    <w:p w14:paraId="5B138EB0" w14:textId="22ECF8B6" w:rsidR="003C6D42" w:rsidRDefault="004C223F" w:rsidP="00F04D87">
      <w:pPr>
        <w:spacing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There has been a steady increase in lime production in Zambia for the period under review with some fluctuations directly linked to developments and investments in the steel, mining and cement industries. However</w:t>
      </w:r>
      <w:r w:rsidR="002932EE" w:rsidRPr="00191ACB">
        <w:rPr>
          <w:rFonts w:ascii="Times New Roman" w:hAnsi="Times New Roman" w:cs="Times New Roman"/>
          <w:color w:val="000000" w:themeColor="text1"/>
          <w:sz w:val="24"/>
          <w:szCs w:val="24"/>
          <w:highlight w:val="white"/>
        </w:rPr>
        <w:t>,</w:t>
      </w:r>
      <w:r w:rsidRPr="00191ACB">
        <w:rPr>
          <w:rFonts w:ascii="Times New Roman" w:hAnsi="Times New Roman" w:cs="Times New Roman"/>
          <w:color w:val="000000" w:themeColor="text1"/>
          <w:sz w:val="24"/>
          <w:szCs w:val="24"/>
          <w:highlight w:val="white"/>
        </w:rPr>
        <w:t xml:space="preserve"> there was a significant drop in lime production in 2014 attributed to reduced copper production in the mines as a result of reduced copper prices on the global market. Additionally, the drop was also as a result of reduced steel production in the country during this period. </w:t>
      </w:r>
      <w:r w:rsidR="004E5F85" w:rsidRPr="00191ACB">
        <w:rPr>
          <w:rFonts w:ascii="Times New Roman" w:hAnsi="Times New Roman" w:cs="Times New Roman"/>
          <w:color w:val="000000" w:themeColor="text1"/>
          <w:sz w:val="24"/>
          <w:szCs w:val="24"/>
          <w:highlight w:val="white"/>
        </w:rPr>
        <w:t>The target markets for lime manufacturers are mining companies in Zambia and DRC used for industrial processes, environmental waste management, water treatment, agricultural companies, road construction and infrastructure, steel and Cement Manufacture.</w:t>
      </w:r>
    </w:p>
    <w:p w14:paraId="780E20E0" w14:textId="77777777" w:rsidR="009D481C" w:rsidRPr="00191ACB" w:rsidRDefault="009D481C" w:rsidP="00F04D87">
      <w:pPr>
        <w:spacing w:after="120" w:line="276" w:lineRule="auto"/>
        <w:jc w:val="both"/>
        <w:rPr>
          <w:rFonts w:ascii="Times New Roman" w:hAnsi="Times New Roman" w:cs="Times New Roman"/>
          <w:color w:val="000000" w:themeColor="text1"/>
          <w:sz w:val="24"/>
          <w:szCs w:val="24"/>
          <w:highlight w:val="white"/>
        </w:rPr>
      </w:pPr>
    </w:p>
    <w:p w14:paraId="0D96BB75" w14:textId="1A3FB1FD" w:rsidR="004C223F" w:rsidRPr="00191ACB" w:rsidRDefault="004C223F" w:rsidP="009D481C">
      <w:pPr>
        <w:pStyle w:val="Heading4"/>
        <w:numPr>
          <w:ilvl w:val="3"/>
          <w:numId w:val="36"/>
        </w:numPr>
        <w:ind w:left="851" w:hanging="851"/>
        <w:rPr>
          <w:rFonts w:cs="Times New Roman"/>
          <w:b w:val="0"/>
          <w:color w:val="000000" w:themeColor="text1"/>
        </w:rPr>
      </w:pPr>
      <w:r w:rsidRPr="009D481C">
        <w:t>Chemical</w:t>
      </w:r>
      <w:r w:rsidRPr="00191ACB">
        <w:rPr>
          <w:rFonts w:cs="Times New Roman"/>
          <w:b w:val="0"/>
          <w:color w:val="000000" w:themeColor="text1"/>
        </w:rPr>
        <w:t xml:space="preserve"> </w:t>
      </w:r>
      <w:r w:rsidRPr="009D481C">
        <w:t>Industry</w:t>
      </w:r>
      <w:r w:rsidRPr="00191ACB">
        <w:rPr>
          <w:rFonts w:cs="Times New Roman"/>
          <w:b w:val="0"/>
          <w:color w:val="000000" w:themeColor="text1"/>
        </w:rPr>
        <w:t xml:space="preserve"> </w:t>
      </w:r>
      <w:r w:rsidRPr="00191ACB">
        <w:rPr>
          <w:rFonts w:cs="Times New Roman"/>
          <w:b w:val="0"/>
          <w:color w:val="000000" w:themeColor="text1"/>
        </w:rPr>
        <w:tab/>
      </w:r>
    </w:p>
    <w:p w14:paraId="6AA229C7" w14:textId="47DCE8D9" w:rsidR="004C223F" w:rsidRPr="00191ACB" w:rsidRDefault="004C223F" w:rsidP="00F04D87">
      <w:pPr>
        <w:spacing w:after="120" w:line="276" w:lineRule="auto"/>
        <w:jc w:val="both"/>
        <w:rPr>
          <w:rFonts w:ascii="Times New Roman" w:hAnsi="Times New Roman" w:cs="Times New Roman"/>
          <w:b/>
          <w:i/>
          <w:color w:val="000000" w:themeColor="text1"/>
          <w:sz w:val="24"/>
          <w:szCs w:val="24"/>
        </w:rPr>
      </w:pPr>
      <w:r w:rsidRPr="00191ACB">
        <w:rPr>
          <w:rFonts w:ascii="Times New Roman" w:hAnsi="Times New Roman" w:cs="Times New Roman"/>
          <w:color w:val="000000" w:themeColor="text1"/>
          <w:sz w:val="24"/>
          <w:szCs w:val="24"/>
        </w:rPr>
        <w:t>GHG emissions from the chemical industry arise from the production of various inorganic and organic chemicals. The chemical industries include: Ammonia production; nitric acid production; adipic acid production; caprolactam, glyoxal, and glyoxylic acid; production of carbide; titanium dioxide; and soda ash. While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and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were reported for 1994, 2000, 2014 and 2016, no emissions occurred in this category for the years 2005 to 2013 and 2015 and 2010 due to discontinuity in the production of ammonia and nitric acid in Zambia. Emissions in 1994, 2000, 2014 and 2016 were 101.5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23.7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w:t>
      </w:r>
      <w:r w:rsidR="003721BF"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0.6 Gg CO</w:t>
      </w:r>
      <w:r w:rsidRPr="00191ACB">
        <w:rPr>
          <w:rFonts w:ascii="Times New Roman" w:hAnsi="Times New Roman" w:cs="Times New Roman"/>
          <w:color w:val="000000" w:themeColor="text1"/>
          <w:sz w:val="24"/>
          <w:szCs w:val="24"/>
          <w:vertAlign w:val="subscript"/>
        </w:rPr>
        <w:t xml:space="preserve">2 </w:t>
      </w:r>
      <w:r w:rsidR="003721BF" w:rsidRPr="00191ACB">
        <w:rPr>
          <w:rFonts w:ascii="Times New Roman" w:hAnsi="Times New Roman" w:cs="Times New Roman"/>
          <w:color w:val="000000" w:themeColor="text1"/>
          <w:sz w:val="24"/>
          <w:szCs w:val="24"/>
          <w:vertAlign w:val="subscript"/>
        </w:rPr>
        <w:t>eq</w:t>
      </w:r>
      <w:r w:rsidR="003721BF"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and 4.2 Gg CO</w:t>
      </w:r>
      <w:r w:rsidRPr="00191ACB">
        <w:rPr>
          <w:rFonts w:ascii="Times New Roman" w:hAnsi="Times New Roman" w:cs="Times New Roman"/>
          <w:color w:val="000000" w:themeColor="text1"/>
          <w:sz w:val="24"/>
          <w:szCs w:val="24"/>
          <w:vertAlign w:val="subscript"/>
        </w:rPr>
        <w:t>2</w:t>
      </w:r>
      <w:r w:rsidR="003721BF" w:rsidRPr="00191ACB">
        <w:rPr>
          <w:rFonts w:ascii="Times New Roman" w:hAnsi="Times New Roman" w:cs="Times New Roman"/>
          <w:color w:val="000000" w:themeColor="text1"/>
          <w:sz w:val="24"/>
          <w:szCs w:val="24"/>
        </w:rPr>
        <w:t xml:space="preserve"> </w:t>
      </w:r>
      <w:r w:rsidR="003721BF"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respectively.</w:t>
      </w:r>
      <w:r w:rsidRPr="00191ACB">
        <w:rPr>
          <w:rFonts w:ascii="Times New Roman" w:hAnsi="Times New Roman" w:cs="Times New Roman"/>
          <w:b/>
          <w:i/>
          <w:color w:val="000000" w:themeColor="text1"/>
          <w:sz w:val="24"/>
          <w:szCs w:val="24"/>
        </w:rPr>
        <w:t xml:space="preserve"> </w:t>
      </w:r>
    </w:p>
    <w:p w14:paraId="6A29B2EC" w14:textId="13A879CF" w:rsidR="004C223F" w:rsidRPr="00191ACB"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Chemical Industry in Zambia is characterised by nitric acid production. Nitric acid is a raw material used mainly in the production of nitrogenous-based fertilizer. The only fertiliser manufacturing plant in Zambia is called Nitrogen Chemicals of Zambia (NCZ). However, the factory does not operate regularly due to various operational constraints and hence the intermittency in activity data over the period under review. The only activity data available is for the production of Nitric Acid for the years</w:t>
      </w:r>
      <w:r w:rsidR="003721BF"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1994, 200</w:t>
      </w:r>
      <w:r w:rsidR="003721BF" w:rsidRPr="00191ACB">
        <w:rPr>
          <w:rFonts w:ascii="Times New Roman" w:hAnsi="Times New Roman" w:cs="Times New Roman"/>
          <w:color w:val="000000" w:themeColor="text1"/>
          <w:sz w:val="24"/>
          <w:szCs w:val="24"/>
        </w:rPr>
        <w:t>0</w:t>
      </w:r>
      <w:r w:rsidRPr="00191ACB">
        <w:rPr>
          <w:rFonts w:ascii="Times New Roman" w:hAnsi="Times New Roman" w:cs="Times New Roman"/>
          <w:color w:val="000000" w:themeColor="text1"/>
          <w:sz w:val="24"/>
          <w:szCs w:val="24"/>
        </w:rPr>
        <w:t xml:space="preserve">, 2014 and 2016. The production for 2014 was 973.35 tonnes and that for 2016 was 6850.36 tonnes. </w:t>
      </w:r>
    </w:p>
    <w:p w14:paraId="4155C31B" w14:textId="4BE89328" w:rsidR="003E52C4" w:rsidRDefault="003E52C4" w:rsidP="005E626A">
      <w:pPr>
        <w:spacing w:before="240" w:after="120" w:line="240" w:lineRule="auto"/>
        <w:jc w:val="both"/>
        <w:rPr>
          <w:rFonts w:ascii="Times New Roman" w:hAnsi="Times New Roman" w:cs="Times New Roman"/>
          <w:color w:val="000000" w:themeColor="text1"/>
          <w:sz w:val="24"/>
          <w:szCs w:val="24"/>
        </w:rPr>
      </w:pPr>
    </w:p>
    <w:p w14:paraId="3462322F" w14:textId="362C07F2" w:rsidR="004C3E45" w:rsidRDefault="004C3E45" w:rsidP="005E626A">
      <w:pPr>
        <w:spacing w:before="240" w:after="120" w:line="240" w:lineRule="auto"/>
        <w:jc w:val="both"/>
        <w:rPr>
          <w:rFonts w:ascii="Times New Roman" w:hAnsi="Times New Roman" w:cs="Times New Roman"/>
          <w:color w:val="000000" w:themeColor="text1"/>
          <w:sz w:val="24"/>
          <w:szCs w:val="24"/>
        </w:rPr>
      </w:pPr>
    </w:p>
    <w:p w14:paraId="5239A4B5" w14:textId="77777777" w:rsidR="004C3E45" w:rsidRPr="00191ACB" w:rsidRDefault="004C3E45" w:rsidP="005E626A">
      <w:pPr>
        <w:spacing w:before="240" w:after="120" w:line="240" w:lineRule="auto"/>
        <w:jc w:val="both"/>
        <w:rPr>
          <w:rFonts w:ascii="Times New Roman" w:hAnsi="Times New Roman" w:cs="Times New Roman"/>
          <w:color w:val="000000" w:themeColor="text1"/>
          <w:sz w:val="24"/>
          <w:szCs w:val="24"/>
        </w:rPr>
      </w:pPr>
    </w:p>
    <w:p w14:paraId="1843E4E0" w14:textId="4AC6A43C" w:rsidR="004C223F" w:rsidRPr="00F57641" w:rsidRDefault="004C223F" w:rsidP="00F57641">
      <w:pPr>
        <w:pStyle w:val="Heading4"/>
        <w:numPr>
          <w:ilvl w:val="3"/>
          <w:numId w:val="36"/>
        </w:numPr>
        <w:ind w:left="851" w:hanging="851"/>
        <w:rPr>
          <w:bCs/>
        </w:rPr>
      </w:pPr>
      <w:bookmarkStart w:id="165" w:name="_Toc48427310"/>
      <w:r w:rsidRPr="00F57641">
        <w:rPr>
          <w:bCs/>
        </w:rPr>
        <w:lastRenderedPageBreak/>
        <w:t>Metal Industry</w:t>
      </w:r>
      <w:bookmarkEnd w:id="165"/>
    </w:p>
    <w:p w14:paraId="7FB02848" w14:textId="525EC896" w:rsidR="004C223F" w:rsidRPr="00191ACB"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Metal industry covers emissions from the production of iron and steel, metallurgical coke, ferroalloy, aluminum, magnesium, lead and zinc. In this subsector, lead and steel production were the primary sources of emissions. However, there was no data for metal industry production for the years 2000 and 2005. In 1994, the emissions were mainly from lead and zinc production at 0.03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which subsequently ceased as a result of closure of the mine.  In 2010, 1.48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were recorded from the iron and steel industry that were bolstered by resumption and growth of these industries.</w:t>
      </w:r>
      <w:r w:rsidR="00306832" w:rsidRPr="00191ACB">
        <w:rPr>
          <w:rFonts w:ascii="Times New Roman" w:hAnsi="Times New Roman" w:cs="Times New Roman"/>
          <w:color w:val="000000" w:themeColor="text1"/>
          <w:sz w:val="24"/>
          <w:szCs w:val="24"/>
        </w:rPr>
        <w:t xml:space="preserve"> </w:t>
      </w:r>
      <w:r w:rsidR="0096277F" w:rsidRPr="00191ACB">
        <w:rPr>
          <w:rFonts w:ascii="Times New Roman" w:hAnsi="Times New Roman" w:cs="Times New Roman"/>
          <w:color w:val="000000" w:themeColor="text1"/>
          <w:sz w:val="24"/>
          <w:szCs w:val="24"/>
        </w:rPr>
        <w:t>Total e</w:t>
      </w:r>
      <w:r w:rsidRPr="00191ACB">
        <w:rPr>
          <w:rFonts w:ascii="Times New Roman" w:hAnsi="Times New Roman" w:cs="Times New Roman"/>
          <w:color w:val="000000" w:themeColor="text1"/>
          <w:sz w:val="24"/>
          <w:szCs w:val="24"/>
        </w:rPr>
        <w:t xml:space="preserve">missions </w:t>
      </w:r>
      <w:r w:rsidR="0096277F" w:rsidRPr="00191ACB">
        <w:rPr>
          <w:rFonts w:ascii="Times New Roman" w:hAnsi="Times New Roman" w:cs="Times New Roman"/>
          <w:color w:val="000000" w:themeColor="text1"/>
          <w:sz w:val="24"/>
          <w:szCs w:val="24"/>
        </w:rPr>
        <w:t xml:space="preserve">from the metal industry </w:t>
      </w:r>
      <w:r w:rsidRPr="00191ACB">
        <w:rPr>
          <w:rFonts w:ascii="Times New Roman" w:hAnsi="Times New Roman" w:cs="Times New Roman"/>
          <w:color w:val="000000" w:themeColor="text1"/>
          <w:sz w:val="24"/>
          <w:szCs w:val="24"/>
        </w:rPr>
        <w:t xml:space="preserve">increased </w:t>
      </w:r>
      <w:r w:rsidR="0096277F" w:rsidRPr="00191ACB">
        <w:rPr>
          <w:rFonts w:ascii="Times New Roman" w:hAnsi="Times New Roman" w:cs="Times New Roman"/>
          <w:color w:val="000000" w:themeColor="text1"/>
          <w:sz w:val="24"/>
          <w:szCs w:val="24"/>
        </w:rPr>
        <w:t>gradually</w:t>
      </w:r>
      <w:r w:rsidRPr="00191ACB">
        <w:rPr>
          <w:rFonts w:ascii="Times New Roman" w:hAnsi="Times New Roman" w:cs="Times New Roman"/>
          <w:color w:val="000000" w:themeColor="text1"/>
          <w:sz w:val="24"/>
          <w:szCs w:val="24"/>
        </w:rPr>
        <w:t xml:space="preserve"> from</w:t>
      </w:r>
      <w:r w:rsidR="0096277F" w:rsidRPr="00191ACB">
        <w:rPr>
          <w:rFonts w:ascii="Times New Roman" w:hAnsi="Times New Roman" w:cs="Times New Roman"/>
          <w:color w:val="000000" w:themeColor="text1"/>
          <w:sz w:val="24"/>
          <w:szCs w:val="24"/>
        </w:rPr>
        <w:t xml:space="preserve"> 1.5 Gg CO</w:t>
      </w:r>
      <w:r w:rsidR="0096277F" w:rsidRPr="00191ACB">
        <w:rPr>
          <w:rFonts w:ascii="Times New Roman" w:hAnsi="Times New Roman" w:cs="Times New Roman"/>
          <w:color w:val="000000" w:themeColor="text1"/>
          <w:sz w:val="24"/>
          <w:szCs w:val="24"/>
          <w:vertAlign w:val="subscript"/>
        </w:rPr>
        <w:t>2</w:t>
      </w:r>
      <w:r w:rsidR="0096277F" w:rsidRPr="00191ACB">
        <w:rPr>
          <w:rFonts w:ascii="Times New Roman" w:hAnsi="Times New Roman" w:cs="Times New Roman"/>
          <w:color w:val="000000" w:themeColor="text1"/>
          <w:sz w:val="24"/>
          <w:szCs w:val="24"/>
        </w:rPr>
        <w:t xml:space="preserve"> </w:t>
      </w:r>
      <w:r w:rsidR="0096277F"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w:t>
      </w:r>
      <w:r w:rsidR="0096277F" w:rsidRPr="00191ACB">
        <w:rPr>
          <w:rFonts w:ascii="Times New Roman" w:hAnsi="Times New Roman" w:cs="Times New Roman"/>
          <w:color w:val="000000" w:themeColor="text1"/>
          <w:sz w:val="24"/>
          <w:szCs w:val="24"/>
        </w:rPr>
        <w:t xml:space="preserve">in </w:t>
      </w:r>
      <w:r w:rsidRPr="00191ACB">
        <w:rPr>
          <w:rFonts w:ascii="Times New Roman" w:hAnsi="Times New Roman" w:cs="Times New Roman"/>
          <w:color w:val="000000" w:themeColor="text1"/>
          <w:sz w:val="24"/>
          <w:szCs w:val="24"/>
        </w:rPr>
        <w:t>2010 to</w:t>
      </w:r>
      <w:r w:rsidR="0096277F" w:rsidRPr="00191ACB">
        <w:rPr>
          <w:rFonts w:ascii="Times New Roman" w:hAnsi="Times New Roman" w:cs="Times New Roman"/>
          <w:color w:val="000000" w:themeColor="text1"/>
          <w:sz w:val="24"/>
          <w:szCs w:val="24"/>
        </w:rPr>
        <w:t xml:space="preserve"> 7.6 Gg CO</w:t>
      </w:r>
      <w:r w:rsidR="0096277F" w:rsidRPr="00191ACB">
        <w:rPr>
          <w:rFonts w:ascii="Times New Roman" w:hAnsi="Times New Roman" w:cs="Times New Roman"/>
          <w:color w:val="000000" w:themeColor="text1"/>
          <w:sz w:val="24"/>
          <w:szCs w:val="24"/>
          <w:vertAlign w:val="subscript"/>
        </w:rPr>
        <w:t>2</w:t>
      </w:r>
      <w:r w:rsidR="0096277F" w:rsidRPr="00191ACB">
        <w:rPr>
          <w:rFonts w:ascii="Times New Roman" w:hAnsi="Times New Roman" w:cs="Times New Roman"/>
          <w:color w:val="000000" w:themeColor="text1"/>
          <w:sz w:val="24"/>
          <w:szCs w:val="24"/>
        </w:rPr>
        <w:t xml:space="preserve"> </w:t>
      </w:r>
      <w:r w:rsidR="0096277F" w:rsidRPr="00191ACB">
        <w:rPr>
          <w:rFonts w:ascii="Times New Roman" w:hAnsi="Times New Roman" w:cs="Times New Roman"/>
          <w:color w:val="000000" w:themeColor="text1"/>
          <w:sz w:val="24"/>
          <w:szCs w:val="24"/>
          <w:vertAlign w:val="subscript"/>
        </w:rPr>
        <w:t>eq</w:t>
      </w:r>
      <w:r w:rsidR="0096277F" w:rsidRPr="00191ACB">
        <w:rPr>
          <w:rFonts w:ascii="Times New Roman" w:hAnsi="Times New Roman" w:cs="Times New Roman"/>
          <w:color w:val="000000" w:themeColor="text1"/>
          <w:sz w:val="24"/>
          <w:szCs w:val="24"/>
        </w:rPr>
        <w:t xml:space="preserve"> in</w:t>
      </w:r>
      <w:r w:rsidRPr="00191ACB">
        <w:rPr>
          <w:rFonts w:ascii="Times New Roman" w:hAnsi="Times New Roman" w:cs="Times New Roman"/>
          <w:color w:val="000000" w:themeColor="text1"/>
          <w:sz w:val="24"/>
          <w:szCs w:val="24"/>
        </w:rPr>
        <w:t xml:space="preserve"> 2014 and reduced </w:t>
      </w:r>
      <w:r w:rsidR="0096277F" w:rsidRPr="00191ACB">
        <w:rPr>
          <w:rFonts w:ascii="Times New Roman" w:hAnsi="Times New Roman" w:cs="Times New Roman"/>
          <w:color w:val="000000" w:themeColor="text1"/>
          <w:sz w:val="24"/>
          <w:szCs w:val="24"/>
        </w:rPr>
        <w:t>to 4.1 Gg CO</w:t>
      </w:r>
      <w:r w:rsidR="0096277F" w:rsidRPr="00191ACB">
        <w:rPr>
          <w:rFonts w:ascii="Times New Roman" w:hAnsi="Times New Roman" w:cs="Times New Roman"/>
          <w:color w:val="000000" w:themeColor="text1"/>
          <w:sz w:val="24"/>
          <w:szCs w:val="24"/>
          <w:vertAlign w:val="subscript"/>
        </w:rPr>
        <w:t>2</w:t>
      </w:r>
      <w:r w:rsidR="0096277F" w:rsidRPr="00191ACB">
        <w:rPr>
          <w:rFonts w:ascii="Times New Roman" w:hAnsi="Times New Roman" w:cs="Times New Roman"/>
          <w:color w:val="000000" w:themeColor="text1"/>
          <w:sz w:val="24"/>
          <w:szCs w:val="24"/>
        </w:rPr>
        <w:t xml:space="preserve"> </w:t>
      </w:r>
      <w:r w:rsidR="0096277F"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w:t>
      </w:r>
      <w:r w:rsidR="0096277F" w:rsidRPr="00191ACB">
        <w:rPr>
          <w:rFonts w:ascii="Times New Roman" w:hAnsi="Times New Roman" w:cs="Times New Roman"/>
          <w:color w:val="000000" w:themeColor="text1"/>
          <w:sz w:val="24"/>
          <w:szCs w:val="24"/>
        </w:rPr>
        <w:t xml:space="preserve">in </w:t>
      </w:r>
      <w:r w:rsidRPr="00191ACB">
        <w:rPr>
          <w:rFonts w:ascii="Times New Roman" w:hAnsi="Times New Roman" w:cs="Times New Roman"/>
          <w:color w:val="000000" w:themeColor="text1"/>
          <w:sz w:val="24"/>
          <w:szCs w:val="24"/>
        </w:rPr>
        <w:t xml:space="preserve">2016. </w:t>
      </w:r>
    </w:p>
    <w:p w14:paraId="24065A3A" w14:textId="5EBA189D" w:rsidR="004C223F" w:rsidRPr="00191ACB" w:rsidRDefault="004C223F" w:rsidP="00F04D87">
      <w:pPr>
        <w:spacing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In the period under review, the Metal Industry in Zambia was characterised by Iron and Steel production</w:t>
      </w:r>
      <w:r w:rsidR="00192287" w:rsidRPr="00191ACB">
        <w:rPr>
          <w:rFonts w:ascii="Times New Roman" w:hAnsi="Times New Roman" w:cs="Times New Roman"/>
          <w:color w:val="000000" w:themeColor="text1"/>
          <w:sz w:val="24"/>
          <w:szCs w:val="24"/>
          <w:highlight w:val="white"/>
        </w:rPr>
        <w:t xml:space="preserve"> and the industries have been</w:t>
      </w:r>
      <w:r w:rsidRPr="00191ACB">
        <w:rPr>
          <w:rFonts w:ascii="Times New Roman" w:hAnsi="Times New Roman" w:cs="Times New Roman"/>
          <w:color w:val="000000" w:themeColor="text1"/>
          <w:sz w:val="24"/>
          <w:szCs w:val="24"/>
          <w:highlight w:val="white"/>
        </w:rPr>
        <w:t xml:space="preserve"> utilis</w:t>
      </w:r>
      <w:r w:rsidR="00192287" w:rsidRPr="00191ACB">
        <w:rPr>
          <w:rFonts w:ascii="Times New Roman" w:hAnsi="Times New Roman" w:cs="Times New Roman"/>
          <w:color w:val="000000" w:themeColor="text1"/>
          <w:sz w:val="24"/>
          <w:szCs w:val="24"/>
          <w:highlight w:val="white"/>
        </w:rPr>
        <w:t>ing</w:t>
      </w:r>
      <w:r w:rsidRPr="00191ACB">
        <w:rPr>
          <w:rFonts w:ascii="Times New Roman" w:hAnsi="Times New Roman" w:cs="Times New Roman"/>
          <w:color w:val="000000" w:themeColor="text1"/>
          <w:sz w:val="24"/>
          <w:szCs w:val="24"/>
          <w:highlight w:val="white"/>
        </w:rPr>
        <w:t xml:space="preserve"> scrap metal as the primary raw material. T</w:t>
      </w:r>
      <w:r w:rsidR="00192287" w:rsidRPr="00191ACB">
        <w:rPr>
          <w:rFonts w:ascii="Times New Roman" w:hAnsi="Times New Roman" w:cs="Times New Roman"/>
          <w:color w:val="000000" w:themeColor="text1"/>
          <w:sz w:val="24"/>
          <w:szCs w:val="24"/>
          <w:highlight w:val="white"/>
        </w:rPr>
        <w:t>he</w:t>
      </w:r>
      <w:r w:rsidRPr="00191ACB">
        <w:rPr>
          <w:rFonts w:ascii="Times New Roman" w:hAnsi="Times New Roman" w:cs="Times New Roman"/>
          <w:color w:val="000000" w:themeColor="text1"/>
          <w:sz w:val="24"/>
          <w:szCs w:val="24"/>
          <w:highlight w:val="white"/>
        </w:rPr>
        <w:t xml:space="preserve"> increase in iron and steel production between 2011 and 2014</w:t>
      </w:r>
      <w:r w:rsidR="00192287" w:rsidRPr="00191ACB">
        <w:rPr>
          <w:rFonts w:ascii="Times New Roman" w:hAnsi="Times New Roman" w:cs="Times New Roman"/>
          <w:color w:val="000000" w:themeColor="text1"/>
          <w:sz w:val="24"/>
          <w:szCs w:val="24"/>
          <w:highlight w:val="white"/>
        </w:rPr>
        <w:t xml:space="preserve"> was due to availability of scrap metal</w:t>
      </w:r>
      <w:r w:rsidRPr="00191ACB">
        <w:rPr>
          <w:rFonts w:ascii="Times New Roman" w:hAnsi="Times New Roman" w:cs="Times New Roman"/>
          <w:color w:val="000000" w:themeColor="text1"/>
          <w:sz w:val="24"/>
          <w:szCs w:val="24"/>
          <w:highlight w:val="white"/>
        </w:rPr>
        <w:t xml:space="preserve">. However, as steel manufacturers expanded their production, </w:t>
      </w:r>
      <w:r w:rsidR="003367C4" w:rsidRPr="00191ACB">
        <w:rPr>
          <w:rFonts w:ascii="Times New Roman" w:hAnsi="Times New Roman" w:cs="Times New Roman"/>
          <w:color w:val="000000" w:themeColor="text1"/>
          <w:sz w:val="24"/>
          <w:szCs w:val="24"/>
          <w:highlight w:val="white"/>
        </w:rPr>
        <w:t>availability of</w:t>
      </w:r>
      <w:r w:rsidRPr="00191ACB">
        <w:rPr>
          <w:rFonts w:ascii="Times New Roman" w:hAnsi="Times New Roman" w:cs="Times New Roman"/>
          <w:color w:val="000000" w:themeColor="text1"/>
          <w:sz w:val="24"/>
          <w:szCs w:val="24"/>
          <w:highlight w:val="white"/>
        </w:rPr>
        <w:t xml:space="preserve"> scrap</w:t>
      </w:r>
      <w:r w:rsidR="003367C4" w:rsidRPr="00191ACB">
        <w:rPr>
          <w:rFonts w:ascii="Times New Roman" w:hAnsi="Times New Roman" w:cs="Times New Roman"/>
          <w:color w:val="000000" w:themeColor="text1"/>
          <w:sz w:val="24"/>
          <w:szCs w:val="24"/>
          <w:highlight w:val="white"/>
        </w:rPr>
        <w:t xml:space="preserve"> metal</w:t>
      </w:r>
      <w:r w:rsidRPr="00191ACB">
        <w:rPr>
          <w:rFonts w:ascii="Times New Roman" w:hAnsi="Times New Roman" w:cs="Times New Roman"/>
          <w:color w:val="000000" w:themeColor="text1"/>
          <w:sz w:val="24"/>
          <w:szCs w:val="24"/>
          <w:highlight w:val="white"/>
        </w:rPr>
        <w:t xml:space="preserve"> </w:t>
      </w:r>
      <w:r w:rsidR="003367C4" w:rsidRPr="00191ACB">
        <w:rPr>
          <w:rFonts w:ascii="Times New Roman" w:hAnsi="Times New Roman" w:cs="Times New Roman"/>
          <w:color w:val="000000" w:themeColor="text1"/>
          <w:sz w:val="24"/>
          <w:szCs w:val="24"/>
          <w:highlight w:val="white"/>
        </w:rPr>
        <w:t>reduced hence the</w:t>
      </w:r>
      <w:r w:rsidRPr="00191ACB">
        <w:rPr>
          <w:rFonts w:ascii="Times New Roman" w:hAnsi="Times New Roman" w:cs="Times New Roman"/>
          <w:color w:val="000000" w:themeColor="text1"/>
          <w:sz w:val="24"/>
          <w:szCs w:val="24"/>
          <w:highlight w:val="white"/>
        </w:rPr>
        <w:t xml:space="preserve"> decline in production in 2015 and 2016. </w:t>
      </w:r>
    </w:p>
    <w:p w14:paraId="35ACC2C2" w14:textId="77777777" w:rsidR="00FC4FC5" w:rsidRPr="00191ACB" w:rsidRDefault="00FC4FC5" w:rsidP="005E626A">
      <w:pPr>
        <w:spacing w:before="240" w:after="120" w:line="240" w:lineRule="auto"/>
        <w:jc w:val="both"/>
        <w:rPr>
          <w:rFonts w:ascii="Times New Roman" w:hAnsi="Times New Roman" w:cs="Times New Roman"/>
          <w:color w:val="000000" w:themeColor="text1"/>
          <w:sz w:val="24"/>
          <w:szCs w:val="24"/>
          <w:highlight w:val="white"/>
        </w:rPr>
      </w:pPr>
    </w:p>
    <w:p w14:paraId="68AAA372" w14:textId="67461DCF" w:rsidR="004C223F" w:rsidRPr="00191ACB" w:rsidRDefault="004C223F" w:rsidP="00F57641">
      <w:pPr>
        <w:pStyle w:val="Heading4"/>
        <w:numPr>
          <w:ilvl w:val="3"/>
          <w:numId w:val="36"/>
        </w:numPr>
        <w:ind w:left="851" w:hanging="851"/>
      </w:pPr>
      <w:bookmarkStart w:id="166" w:name="_Toc48427311"/>
      <w:r w:rsidRPr="00191ACB">
        <w:t>Non-Energy Products from Fuels and Solvent Use</w:t>
      </w:r>
      <w:bookmarkEnd w:id="166"/>
      <w:r w:rsidRPr="00191ACB">
        <w:t xml:space="preserve">          </w:t>
      </w:r>
      <w:r w:rsidRPr="00191ACB">
        <w:tab/>
      </w:r>
    </w:p>
    <w:p w14:paraId="754D3FE0" w14:textId="184F8627" w:rsidR="004C223F" w:rsidRPr="00191ACB" w:rsidRDefault="004C223F" w:rsidP="00F04D87">
      <w:pPr>
        <w:spacing w:after="120" w:line="276" w:lineRule="auto"/>
        <w:jc w:val="both"/>
        <w:rPr>
          <w:rFonts w:ascii="Times New Roman" w:hAnsi="Times New Roman" w:cs="Times New Roman"/>
          <w:i/>
          <w:color w:val="000000" w:themeColor="text1"/>
          <w:sz w:val="24"/>
          <w:szCs w:val="24"/>
        </w:rPr>
      </w:pPr>
      <w:r w:rsidRPr="00191ACB">
        <w:rPr>
          <w:rFonts w:ascii="Times New Roman" w:hAnsi="Times New Roman" w:cs="Times New Roman"/>
          <w:color w:val="000000" w:themeColor="text1"/>
          <w:sz w:val="24"/>
          <w:szCs w:val="24"/>
        </w:rPr>
        <w:t>This category presents the GHG emissions from the use of non-energy products (lubricants, waxes, greases, and solvents). In 2005, the emissions from Non-Energy products from fuels and Solvent Use was 8.4 Gg CO</w:t>
      </w:r>
      <w:r w:rsidRPr="00191ACB">
        <w:rPr>
          <w:rFonts w:ascii="Times New Roman" w:hAnsi="Times New Roman" w:cs="Times New Roman"/>
          <w:color w:val="000000" w:themeColor="text1"/>
          <w:sz w:val="24"/>
          <w:szCs w:val="24"/>
          <w:vertAlign w:val="subscript"/>
        </w:rPr>
        <w:t>2</w:t>
      </w:r>
      <w:r w:rsidR="003367C4" w:rsidRPr="00191ACB">
        <w:rPr>
          <w:rFonts w:ascii="Times New Roman" w:hAnsi="Times New Roman" w:cs="Times New Roman"/>
          <w:color w:val="000000" w:themeColor="text1"/>
          <w:sz w:val="24"/>
          <w:szCs w:val="24"/>
          <w:vertAlign w:val="subscript"/>
        </w:rPr>
        <w:t xml:space="preserve"> </w:t>
      </w:r>
      <w:r w:rsidR="00FC4FC5"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and increased to 20.1 Gg CO</w:t>
      </w:r>
      <w:r w:rsidRPr="00191ACB">
        <w:rPr>
          <w:rFonts w:ascii="Times New Roman" w:hAnsi="Times New Roman" w:cs="Times New Roman"/>
          <w:color w:val="000000" w:themeColor="text1"/>
          <w:sz w:val="24"/>
          <w:szCs w:val="24"/>
          <w:vertAlign w:val="subscript"/>
        </w:rPr>
        <w:t>2</w:t>
      </w:r>
      <w:r w:rsidR="003367C4" w:rsidRPr="00191ACB">
        <w:rPr>
          <w:rFonts w:ascii="Times New Roman" w:hAnsi="Times New Roman" w:cs="Times New Roman"/>
          <w:color w:val="000000" w:themeColor="text1"/>
          <w:sz w:val="24"/>
          <w:szCs w:val="24"/>
          <w:vertAlign w:val="subscript"/>
        </w:rPr>
        <w:t xml:space="preserve"> </w:t>
      </w:r>
      <w:r w:rsidRPr="00191ACB">
        <w:rPr>
          <w:rFonts w:ascii="Times New Roman" w:hAnsi="Times New Roman" w:cs="Times New Roman"/>
          <w:color w:val="000000" w:themeColor="text1"/>
          <w:sz w:val="24"/>
          <w:szCs w:val="24"/>
          <w:vertAlign w:val="subscript"/>
        </w:rPr>
        <w:t xml:space="preserve">eq </w:t>
      </w:r>
      <w:r w:rsidRPr="00191ACB">
        <w:rPr>
          <w:rFonts w:ascii="Times New Roman" w:hAnsi="Times New Roman" w:cs="Times New Roman"/>
          <w:color w:val="000000" w:themeColor="text1"/>
          <w:sz w:val="24"/>
          <w:szCs w:val="24"/>
        </w:rPr>
        <w:t>in 2016, representing a 140% increase. The emissions were estimated from use of lubricants. Due to lack of data, emissions in this category were not estimated 1994 and 2000.</w:t>
      </w:r>
    </w:p>
    <w:p w14:paraId="2F98710F" w14:textId="0068B485" w:rsidR="004C223F" w:rsidRPr="00191ACB"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Non-energy use of fuels and solvents includes lubricants, paraffin wax and solvents.  Emissions from solvents and paraffin wax are not estimated due to a lack of activity data. Lubricants are mainly used in industrial and transport applications.</w:t>
      </w:r>
    </w:p>
    <w:p w14:paraId="3FB85FA6" w14:textId="77777777" w:rsidR="00FC4FC5" w:rsidRPr="00191ACB" w:rsidRDefault="00FC4FC5" w:rsidP="00C77F0F">
      <w:pPr>
        <w:pStyle w:val="Heading2"/>
        <w:spacing w:after="120" w:line="240" w:lineRule="auto"/>
        <w:ind w:left="1985"/>
        <w:rPr>
          <w:rFonts w:ascii="Times New Roman" w:hAnsi="Times New Roman" w:cs="Times New Roman"/>
          <w:b/>
          <w:color w:val="000000" w:themeColor="text1"/>
          <w:sz w:val="24"/>
          <w:szCs w:val="24"/>
        </w:rPr>
      </w:pPr>
    </w:p>
    <w:p w14:paraId="4A3468F6" w14:textId="4C3184F3" w:rsidR="004C223F" w:rsidRPr="00191ACB" w:rsidRDefault="004C223F" w:rsidP="00F57641">
      <w:pPr>
        <w:pStyle w:val="Heading4"/>
        <w:numPr>
          <w:ilvl w:val="3"/>
          <w:numId w:val="36"/>
        </w:numPr>
        <w:ind w:left="851" w:hanging="851"/>
        <w:rPr>
          <w:rFonts w:cs="Times New Roman"/>
          <w:b w:val="0"/>
          <w:color w:val="000000" w:themeColor="text1"/>
        </w:rPr>
      </w:pPr>
      <w:r w:rsidRPr="00F57641">
        <w:t>Electronics</w:t>
      </w:r>
      <w:r w:rsidRPr="00191ACB">
        <w:rPr>
          <w:rFonts w:cs="Times New Roman"/>
          <w:b w:val="0"/>
          <w:color w:val="000000" w:themeColor="text1"/>
        </w:rPr>
        <w:t xml:space="preserve"> </w:t>
      </w:r>
      <w:r w:rsidRPr="00F57641">
        <w:t>Industry</w:t>
      </w:r>
      <w:r w:rsidRPr="00191ACB">
        <w:rPr>
          <w:rFonts w:cs="Times New Roman"/>
          <w:b w:val="0"/>
          <w:color w:val="000000" w:themeColor="text1"/>
        </w:rPr>
        <w:t xml:space="preserve">    </w:t>
      </w:r>
      <w:r w:rsidRPr="00191ACB">
        <w:rPr>
          <w:rFonts w:cs="Times New Roman"/>
          <w:b w:val="0"/>
          <w:color w:val="000000" w:themeColor="text1"/>
        </w:rPr>
        <w:tab/>
      </w:r>
    </w:p>
    <w:p w14:paraId="36B6E752" w14:textId="77777777" w:rsidR="00FC4FC5" w:rsidRPr="00191ACB"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No activity occurred under this category in Zambia from 1994 to 2016 and hence, emissions estimates were not calculated</w:t>
      </w:r>
      <w:r w:rsidR="00FC4FC5" w:rsidRPr="00191ACB">
        <w:rPr>
          <w:rFonts w:ascii="Times New Roman" w:hAnsi="Times New Roman" w:cs="Times New Roman"/>
          <w:color w:val="000000" w:themeColor="text1"/>
          <w:sz w:val="24"/>
          <w:szCs w:val="24"/>
        </w:rPr>
        <w:t>.</w:t>
      </w:r>
    </w:p>
    <w:p w14:paraId="57AB7D2F" w14:textId="21D50869" w:rsidR="004C223F" w:rsidRPr="00191ACB" w:rsidRDefault="004C223F" w:rsidP="005E626A">
      <w:pPr>
        <w:spacing w:before="240" w:after="120" w:line="240" w:lineRule="auto"/>
        <w:rPr>
          <w:rFonts w:ascii="Times New Roman" w:hAnsi="Times New Roman" w:cs="Times New Roman"/>
          <w:b/>
          <w:i/>
          <w:color w:val="000000" w:themeColor="text1"/>
          <w:sz w:val="24"/>
          <w:szCs w:val="24"/>
          <w:highlight w:val="white"/>
        </w:rPr>
      </w:pPr>
      <w:r w:rsidRPr="00191ACB">
        <w:rPr>
          <w:rFonts w:ascii="Times New Roman" w:hAnsi="Times New Roman" w:cs="Times New Roman"/>
          <w:b/>
          <w:i/>
          <w:color w:val="000000" w:themeColor="text1"/>
          <w:sz w:val="24"/>
          <w:szCs w:val="24"/>
          <w:highlight w:val="white"/>
        </w:rPr>
        <w:t xml:space="preserve"> </w:t>
      </w:r>
    </w:p>
    <w:p w14:paraId="68EE496A" w14:textId="572AB06C" w:rsidR="004C223F" w:rsidRPr="00191ACB" w:rsidRDefault="004C223F" w:rsidP="00F57641">
      <w:pPr>
        <w:pStyle w:val="Heading4"/>
        <w:numPr>
          <w:ilvl w:val="3"/>
          <w:numId w:val="36"/>
        </w:numPr>
        <w:ind w:left="851" w:hanging="851"/>
        <w:rPr>
          <w:rFonts w:cs="Times New Roman"/>
          <w:b w:val="0"/>
          <w:color w:val="000000" w:themeColor="text1"/>
        </w:rPr>
      </w:pPr>
      <w:r w:rsidRPr="00F57641">
        <w:t>Products</w:t>
      </w:r>
      <w:r w:rsidRPr="00191ACB">
        <w:rPr>
          <w:rFonts w:cs="Times New Roman"/>
          <w:b w:val="0"/>
          <w:color w:val="000000" w:themeColor="text1"/>
        </w:rPr>
        <w:t xml:space="preserve"> </w:t>
      </w:r>
      <w:r w:rsidRPr="00F57641">
        <w:rPr>
          <w:rFonts w:cs="Times New Roman"/>
          <w:bCs/>
          <w:color w:val="000000" w:themeColor="text1"/>
        </w:rPr>
        <w:t>Uses as Substitutes for Ozone Depleting Substances</w:t>
      </w:r>
      <w:r w:rsidRPr="00191ACB">
        <w:rPr>
          <w:rFonts w:cs="Times New Roman"/>
          <w:b w:val="0"/>
          <w:color w:val="000000" w:themeColor="text1"/>
        </w:rPr>
        <w:t xml:space="preserve">  </w:t>
      </w:r>
      <w:r w:rsidRPr="00191ACB">
        <w:rPr>
          <w:rFonts w:cs="Times New Roman"/>
          <w:b w:val="0"/>
          <w:color w:val="000000" w:themeColor="text1"/>
        </w:rPr>
        <w:tab/>
      </w:r>
    </w:p>
    <w:p w14:paraId="18836371" w14:textId="10DCA397" w:rsidR="004C223F"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Under this category Hydrofluorocarbons (HFCs) serving as alternatives to Ozone Depleting Substances (ODS) </w:t>
      </w:r>
      <w:r w:rsidR="008F1021" w:rsidRPr="00191ACB">
        <w:rPr>
          <w:rFonts w:ascii="Times New Roman" w:hAnsi="Times New Roman" w:cs="Times New Roman"/>
          <w:color w:val="000000" w:themeColor="text1"/>
          <w:sz w:val="24"/>
          <w:szCs w:val="24"/>
        </w:rPr>
        <w:t>are</w:t>
      </w:r>
      <w:r w:rsidRPr="00191ACB">
        <w:rPr>
          <w:rFonts w:ascii="Times New Roman" w:hAnsi="Times New Roman" w:cs="Times New Roman"/>
          <w:color w:val="000000" w:themeColor="text1"/>
          <w:sz w:val="24"/>
          <w:szCs w:val="24"/>
        </w:rPr>
        <w:t xml:space="preserve"> used in refrigeration and air conditioning; fire suppression and explosion protection; aerosols; solvent cleaning; foam blowing; and other applications. Emissions in this category were mainly from refrigeration and air conditioning and the gas considered was HFC-134a (CH</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FCF</w:t>
      </w:r>
      <w:r w:rsidRPr="00191ACB">
        <w:rPr>
          <w:rFonts w:ascii="Times New Roman" w:hAnsi="Times New Roman" w:cs="Times New Roman"/>
          <w:color w:val="000000" w:themeColor="text1"/>
          <w:sz w:val="24"/>
          <w:szCs w:val="24"/>
          <w:vertAlign w:val="subscript"/>
        </w:rPr>
        <w:t>3</w:t>
      </w:r>
      <w:r w:rsidRPr="00191ACB">
        <w:rPr>
          <w:rFonts w:ascii="Times New Roman" w:hAnsi="Times New Roman" w:cs="Times New Roman"/>
          <w:color w:val="000000" w:themeColor="text1"/>
          <w:sz w:val="24"/>
          <w:szCs w:val="24"/>
        </w:rPr>
        <w:t>). The emissions increased from 4.3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eq. in the 1994 base year to 113.3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eq. in 2016. This significant increase is attributed to both growth in refrigeration and air conditioning.</w:t>
      </w:r>
    </w:p>
    <w:p w14:paraId="6A464053" w14:textId="5E5EE61C" w:rsidR="004C223F" w:rsidRPr="00191ACB" w:rsidRDefault="004C223F" w:rsidP="00F57641">
      <w:pPr>
        <w:pStyle w:val="Heading4"/>
        <w:numPr>
          <w:ilvl w:val="3"/>
          <w:numId w:val="36"/>
        </w:numPr>
        <w:ind w:left="851" w:hanging="851"/>
        <w:rPr>
          <w:rFonts w:cs="Times New Roman"/>
          <w:b w:val="0"/>
          <w:color w:val="000000" w:themeColor="text1"/>
        </w:rPr>
      </w:pPr>
      <w:bookmarkStart w:id="167" w:name="_Toc48427312"/>
      <w:r w:rsidRPr="00F57641">
        <w:t>Other</w:t>
      </w:r>
      <w:r w:rsidRPr="00191ACB">
        <w:rPr>
          <w:rFonts w:cs="Times New Roman"/>
          <w:b w:val="0"/>
          <w:color w:val="000000" w:themeColor="text1"/>
        </w:rPr>
        <w:t xml:space="preserve"> </w:t>
      </w:r>
      <w:r w:rsidRPr="00F57641">
        <w:t>Product</w:t>
      </w:r>
      <w:r w:rsidRPr="00191ACB">
        <w:rPr>
          <w:rFonts w:cs="Times New Roman"/>
          <w:b w:val="0"/>
          <w:color w:val="000000" w:themeColor="text1"/>
        </w:rPr>
        <w:t xml:space="preserve"> </w:t>
      </w:r>
      <w:r w:rsidRPr="00F57641">
        <w:t>Manufacture</w:t>
      </w:r>
      <w:r w:rsidRPr="00191ACB">
        <w:rPr>
          <w:rFonts w:cs="Times New Roman"/>
          <w:b w:val="0"/>
          <w:color w:val="000000" w:themeColor="text1"/>
        </w:rPr>
        <w:t xml:space="preserve"> </w:t>
      </w:r>
      <w:r w:rsidRPr="00F57641">
        <w:t>and</w:t>
      </w:r>
      <w:r w:rsidRPr="00191ACB">
        <w:rPr>
          <w:rFonts w:cs="Times New Roman"/>
          <w:b w:val="0"/>
          <w:color w:val="000000" w:themeColor="text1"/>
        </w:rPr>
        <w:t xml:space="preserve"> </w:t>
      </w:r>
      <w:r w:rsidRPr="00F57641">
        <w:t>Use</w:t>
      </w:r>
      <w:bookmarkEnd w:id="167"/>
    </w:p>
    <w:p w14:paraId="241E9AB4" w14:textId="77777777" w:rsidR="004C223F" w:rsidRPr="00191ACB"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sources of emissions under this category were SF</w:t>
      </w:r>
      <w:r w:rsidRPr="00191ACB">
        <w:rPr>
          <w:rFonts w:ascii="Times New Roman" w:hAnsi="Times New Roman" w:cs="Times New Roman"/>
          <w:color w:val="000000" w:themeColor="text1"/>
          <w:sz w:val="24"/>
          <w:szCs w:val="24"/>
          <w:vertAlign w:val="subscript"/>
        </w:rPr>
        <w:t>6</w:t>
      </w:r>
      <w:r w:rsidRPr="00191ACB">
        <w:rPr>
          <w:rFonts w:ascii="Times New Roman" w:hAnsi="Times New Roman" w:cs="Times New Roman"/>
          <w:color w:val="000000" w:themeColor="text1"/>
          <w:sz w:val="24"/>
          <w:szCs w:val="24"/>
        </w:rPr>
        <w:t xml:space="preserve"> and PFCs from the manufacture and use of electrical equipment.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O emissions are generated from several products, but data was unavailable. </w:t>
      </w:r>
      <w:r w:rsidRPr="00191ACB">
        <w:rPr>
          <w:rFonts w:ascii="Times New Roman" w:hAnsi="Times New Roman" w:cs="Times New Roman"/>
          <w:color w:val="000000" w:themeColor="text1"/>
          <w:sz w:val="24"/>
          <w:szCs w:val="24"/>
        </w:rPr>
        <w:lastRenderedPageBreak/>
        <w:t>Calculations of emissions were based on the use of electric equipment. Emissions increased from 0.003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in 1994 to 0.199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2016. </w:t>
      </w:r>
    </w:p>
    <w:p w14:paraId="04B072E6" w14:textId="77777777" w:rsidR="00FC4FC5" w:rsidRPr="00191ACB" w:rsidRDefault="00FC4FC5" w:rsidP="005E626A">
      <w:pPr>
        <w:spacing w:after="120" w:line="240" w:lineRule="auto"/>
        <w:jc w:val="both"/>
        <w:rPr>
          <w:rFonts w:ascii="Times New Roman" w:hAnsi="Times New Roman" w:cs="Times New Roman"/>
          <w:color w:val="000000" w:themeColor="text1"/>
          <w:sz w:val="24"/>
          <w:szCs w:val="24"/>
        </w:rPr>
      </w:pPr>
    </w:p>
    <w:p w14:paraId="06385B1F" w14:textId="66CB3F65" w:rsidR="009618F6" w:rsidRPr="00191ACB" w:rsidRDefault="009618F6" w:rsidP="005E626A">
      <w:pPr>
        <w:spacing w:after="120" w:line="240" w:lineRule="auto"/>
        <w:jc w:val="both"/>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Methodological Issues</w:t>
      </w:r>
    </w:p>
    <w:p w14:paraId="6B1AA4A2" w14:textId="5331D4E0" w:rsidR="009618F6" w:rsidRPr="00191ACB" w:rsidRDefault="009618F6"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Under this subcategory, estimates were based on the Tier 1 method. For cement production, estimates were based on clinker production estimates inferred from cement production data. Further, correcti</w:t>
      </w:r>
      <w:r w:rsidR="008F1021" w:rsidRPr="00191ACB">
        <w:rPr>
          <w:rFonts w:ascii="Times New Roman" w:hAnsi="Times New Roman" w:cs="Times New Roman"/>
          <w:color w:val="000000" w:themeColor="text1"/>
          <w:sz w:val="24"/>
          <w:szCs w:val="24"/>
        </w:rPr>
        <w:t>on</w:t>
      </w:r>
      <w:r w:rsidRPr="00191ACB">
        <w:rPr>
          <w:rFonts w:ascii="Times New Roman" w:hAnsi="Times New Roman" w:cs="Times New Roman"/>
          <w:color w:val="000000" w:themeColor="text1"/>
          <w:sz w:val="24"/>
          <w:szCs w:val="24"/>
        </w:rPr>
        <w:t xml:space="preserve"> factors were applied for imports and exports of clinker. The Tier 1 method was used for estimating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emissions from ammonia production which requires default emissions factor and data on national production of NH</w:t>
      </w:r>
      <w:r w:rsidRPr="00191ACB">
        <w:rPr>
          <w:rFonts w:ascii="Times New Roman" w:hAnsi="Times New Roman" w:cs="Times New Roman"/>
          <w:color w:val="000000" w:themeColor="text1"/>
          <w:sz w:val="24"/>
          <w:szCs w:val="24"/>
          <w:vertAlign w:val="subscript"/>
        </w:rPr>
        <w:t>3</w:t>
      </w:r>
      <w:r w:rsidRPr="00191ACB">
        <w:rPr>
          <w:rFonts w:ascii="Times New Roman" w:hAnsi="Times New Roman" w:cs="Times New Roman"/>
          <w:color w:val="000000" w:themeColor="text1"/>
          <w:sz w:val="24"/>
          <w:szCs w:val="24"/>
        </w:rPr>
        <w:t>. Tier 1 method was used to estimate emissions across the metal industry mainly from lead, iron and steel production. In Zambia, emissions result from the recycling of iron and steel using the Electric Arc Furnace (EAF) method. Equation 4.5</w:t>
      </w:r>
      <w:r w:rsidR="008F1021" w:rsidRPr="00191ACB">
        <w:rPr>
          <w:rFonts w:ascii="Times New Roman" w:hAnsi="Times New Roman" w:cs="Times New Roman"/>
          <w:color w:val="000000" w:themeColor="text1"/>
          <w:sz w:val="24"/>
          <w:szCs w:val="24"/>
        </w:rPr>
        <w:t xml:space="preserve"> of the 2006 IPCC Guidelines</w:t>
      </w:r>
      <w:r w:rsidRPr="00191ACB">
        <w:rPr>
          <w:rFonts w:ascii="Times New Roman" w:hAnsi="Times New Roman" w:cs="Times New Roman"/>
          <w:color w:val="000000" w:themeColor="text1"/>
          <w:sz w:val="24"/>
          <w:szCs w:val="24"/>
        </w:rPr>
        <w:t xml:space="preserve"> was used to estimate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emissions from iron and steel production. Tier 1 method was used for estimating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emissions from Non-Energy Product Uses. In this method, the default emissions factor is composed of carbon content factor and the factor that represents the fraction of fossil fuel carbon that is Oxidised During Use (ODU). </w:t>
      </w:r>
    </w:p>
    <w:p w14:paraId="1AD2AB7F" w14:textId="0A1706DC" w:rsidR="009618F6" w:rsidRPr="00191ACB" w:rsidRDefault="009618F6"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Tier 1a/b method back-calculates the development of banks of a refrigerant from the current reporting year to the year of its introduction. Tier 1 method was used in which emissions </w:t>
      </w:r>
      <w:r w:rsidR="008F1021" w:rsidRPr="00191ACB">
        <w:rPr>
          <w:rFonts w:ascii="Times New Roman" w:hAnsi="Times New Roman" w:cs="Times New Roman"/>
          <w:color w:val="000000" w:themeColor="text1"/>
          <w:sz w:val="24"/>
          <w:szCs w:val="24"/>
        </w:rPr>
        <w:t>we</w:t>
      </w:r>
      <w:r w:rsidRPr="00191ACB">
        <w:rPr>
          <w:rFonts w:ascii="Times New Roman" w:hAnsi="Times New Roman" w:cs="Times New Roman"/>
          <w:color w:val="000000" w:themeColor="text1"/>
          <w:sz w:val="24"/>
          <w:szCs w:val="24"/>
        </w:rPr>
        <w:t>re estimated by multiplying default regional emission factors by the SF</w:t>
      </w:r>
      <w:r w:rsidRPr="00191ACB">
        <w:rPr>
          <w:rFonts w:ascii="Times New Roman" w:hAnsi="Times New Roman" w:cs="Times New Roman"/>
          <w:color w:val="000000" w:themeColor="text1"/>
          <w:sz w:val="24"/>
          <w:szCs w:val="24"/>
          <w:vertAlign w:val="subscript"/>
        </w:rPr>
        <w:t>6</w:t>
      </w:r>
      <w:r w:rsidRPr="00191ACB">
        <w:rPr>
          <w:rFonts w:ascii="Times New Roman" w:hAnsi="Times New Roman" w:cs="Times New Roman"/>
          <w:color w:val="000000" w:themeColor="text1"/>
          <w:sz w:val="24"/>
          <w:szCs w:val="24"/>
        </w:rPr>
        <w:t xml:space="preserve"> consumption of equipment and the capacity of the equipment at each lifecycle stage.</w:t>
      </w:r>
    </w:p>
    <w:p w14:paraId="0034915D" w14:textId="77777777" w:rsidR="00FC4FC5" w:rsidRPr="00191ACB" w:rsidRDefault="00FC4FC5" w:rsidP="005E626A">
      <w:pPr>
        <w:spacing w:after="120" w:line="240" w:lineRule="auto"/>
        <w:rPr>
          <w:rFonts w:ascii="Times New Roman" w:hAnsi="Times New Roman" w:cs="Times New Roman"/>
          <w:color w:val="000000" w:themeColor="text1"/>
          <w:sz w:val="24"/>
          <w:szCs w:val="24"/>
        </w:rPr>
      </w:pPr>
    </w:p>
    <w:p w14:paraId="680297AA" w14:textId="0B220829" w:rsidR="009618F6" w:rsidRPr="00191ACB" w:rsidRDefault="009618F6" w:rsidP="005E626A">
      <w:pPr>
        <w:pStyle w:val="NoSpacing"/>
        <w:spacing w:after="120"/>
        <w:rPr>
          <w:rFonts w:ascii="Times New Roman" w:hAnsi="Times New Roman" w:cs="Times New Roman"/>
          <w:b/>
          <w:sz w:val="24"/>
          <w:szCs w:val="24"/>
        </w:rPr>
      </w:pPr>
      <w:r w:rsidRPr="00191ACB">
        <w:rPr>
          <w:rFonts w:ascii="Times New Roman" w:hAnsi="Times New Roman" w:cs="Times New Roman"/>
          <w:b/>
          <w:sz w:val="24"/>
          <w:szCs w:val="24"/>
        </w:rPr>
        <w:t>Activity Data</w:t>
      </w:r>
      <w:r w:rsidR="000F44A6" w:rsidRPr="00191ACB">
        <w:rPr>
          <w:rFonts w:ascii="Times New Roman" w:hAnsi="Times New Roman" w:cs="Times New Roman"/>
          <w:b/>
          <w:sz w:val="24"/>
          <w:szCs w:val="24"/>
        </w:rPr>
        <w:t xml:space="preserve"> Sources</w:t>
      </w:r>
    </w:p>
    <w:p w14:paraId="46813B42" w14:textId="6A1C9B69" w:rsidR="009618F6" w:rsidRPr="00191ACB" w:rsidRDefault="009618F6"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Activity data for IPPU was collected from industries, </w:t>
      </w:r>
      <w:r w:rsidR="000F44A6" w:rsidRPr="00191ACB">
        <w:rPr>
          <w:rFonts w:ascii="Times New Roman" w:hAnsi="Times New Roman" w:cs="Times New Roman"/>
          <w:color w:val="000000" w:themeColor="text1"/>
          <w:sz w:val="24"/>
          <w:szCs w:val="24"/>
        </w:rPr>
        <w:t>ZAMSTATS</w:t>
      </w:r>
      <w:r w:rsidRPr="00191ACB">
        <w:rPr>
          <w:rFonts w:ascii="Times New Roman" w:hAnsi="Times New Roman" w:cs="Times New Roman"/>
          <w:color w:val="000000" w:themeColor="text1"/>
          <w:sz w:val="24"/>
          <w:szCs w:val="24"/>
        </w:rPr>
        <w:t>, ZRA and other Government reports.</w:t>
      </w:r>
    </w:p>
    <w:p w14:paraId="7BB94BE9" w14:textId="77777777" w:rsidR="00FC4FC5" w:rsidRPr="00191ACB" w:rsidRDefault="00FC4FC5" w:rsidP="005E626A">
      <w:pPr>
        <w:spacing w:after="120" w:line="240" w:lineRule="auto"/>
        <w:jc w:val="both"/>
        <w:rPr>
          <w:rFonts w:ascii="Times New Roman" w:hAnsi="Times New Roman" w:cs="Times New Roman"/>
          <w:color w:val="000000" w:themeColor="text1"/>
          <w:sz w:val="24"/>
          <w:szCs w:val="24"/>
        </w:rPr>
      </w:pPr>
    </w:p>
    <w:p w14:paraId="14B0854B" w14:textId="28D52C3C" w:rsidR="004C223F" w:rsidRPr="00191ACB" w:rsidRDefault="004C223F" w:rsidP="00F57641">
      <w:pPr>
        <w:pStyle w:val="Heading3"/>
        <w:numPr>
          <w:ilvl w:val="2"/>
          <w:numId w:val="36"/>
        </w:numPr>
        <w:ind w:left="851" w:hanging="851"/>
      </w:pPr>
      <w:bookmarkStart w:id="168" w:name="_Toc57902836"/>
      <w:r w:rsidRPr="00191ACB">
        <w:t>Uncertainties</w:t>
      </w:r>
      <w:bookmarkEnd w:id="168"/>
    </w:p>
    <w:p w14:paraId="52F6447E" w14:textId="721B1CE4" w:rsidR="004C223F" w:rsidRPr="00191ACB"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Uncertainty Analysis (UA) for the year 2010 for IPPU sector was estimated using approach 1 and computed using the IPCC 2006 software and is provided in Table 3.11. Uncertainty arose from the quantity of cement and lime produced. Slight differences were observed between data from Z</w:t>
      </w:r>
      <w:r w:rsidR="000F44A6" w:rsidRPr="00191ACB">
        <w:rPr>
          <w:rFonts w:ascii="Times New Roman" w:hAnsi="Times New Roman" w:cs="Times New Roman"/>
          <w:color w:val="000000" w:themeColor="text1"/>
          <w:sz w:val="24"/>
          <w:szCs w:val="24"/>
        </w:rPr>
        <w:t>R</w:t>
      </w:r>
      <w:r w:rsidRPr="00191ACB">
        <w:rPr>
          <w:rFonts w:ascii="Times New Roman" w:hAnsi="Times New Roman" w:cs="Times New Roman"/>
          <w:color w:val="000000" w:themeColor="text1"/>
          <w:sz w:val="24"/>
          <w:szCs w:val="24"/>
        </w:rPr>
        <w:t xml:space="preserve">A, </w:t>
      </w:r>
      <w:r w:rsidR="000F44A6" w:rsidRPr="00191ACB">
        <w:rPr>
          <w:rFonts w:ascii="Times New Roman" w:hAnsi="Times New Roman" w:cs="Times New Roman"/>
          <w:color w:val="000000" w:themeColor="text1"/>
          <w:sz w:val="24"/>
          <w:szCs w:val="24"/>
        </w:rPr>
        <w:t>ZAMSTATS</w:t>
      </w:r>
      <w:r w:rsidRPr="00191ACB">
        <w:rPr>
          <w:rFonts w:ascii="Times New Roman" w:hAnsi="Times New Roman" w:cs="Times New Roman"/>
          <w:color w:val="000000" w:themeColor="text1"/>
          <w:sz w:val="24"/>
          <w:szCs w:val="24"/>
        </w:rPr>
        <w:t>, and from manufacture</w:t>
      </w:r>
      <w:r w:rsidR="000F44A6" w:rsidRPr="00191ACB">
        <w:rPr>
          <w:rFonts w:ascii="Times New Roman" w:hAnsi="Times New Roman" w:cs="Times New Roman"/>
          <w:color w:val="000000" w:themeColor="text1"/>
          <w:sz w:val="24"/>
          <w:szCs w:val="24"/>
        </w:rPr>
        <w:t>r</w:t>
      </w:r>
      <w:r w:rsidRPr="00191ACB">
        <w:rPr>
          <w:rFonts w:ascii="Times New Roman" w:hAnsi="Times New Roman" w:cs="Times New Roman"/>
          <w:color w:val="000000" w:themeColor="text1"/>
          <w:sz w:val="24"/>
          <w:szCs w:val="24"/>
        </w:rPr>
        <w:t xml:space="preserve">s. As regards nitric acid and ammonia production data was obtained from factory records with uncertainty of ±2%. Data on steel production was obtained from ZRA and </w:t>
      </w:r>
      <w:r w:rsidR="000F44A6" w:rsidRPr="00191ACB">
        <w:rPr>
          <w:rFonts w:ascii="Times New Roman" w:hAnsi="Times New Roman" w:cs="Times New Roman"/>
          <w:color w:val="000000" w:themeColor="text1"/>
          <w:sz w:val="24"/>
          <w:szCs w:val="24"/>
        </w:rPr>
        <w:t>ZAMSTATS</w:t>
      </w:r>
      <w:r w:rsidRPr="00191ACB">
        <w:rPr>
          <w:rFonts w:ascii="Times New Roman" w:hAnsi="Times New Roman" w:cs="Times New Roman"/>
          <w:color w:val="000000" w:themeColor="text1"/>
          <w:sz w:val="24"/>
          <w:szCs w:val="24"/>
        </w:rPr>
        <w:t xml:space="preserve"> data base whose uncertainty was about ±5%. Data on lubricants were obtained from Ministry of Energy data base. Uncertainty for data on SF</w:t>
      </w:r>
      <w:r w:rsidRPr="00191ACB">
        <w:rPr>
          <w:rFonts w:ascii="Times New Roman" w:hAnsi="Times New Roman" w:cs="Times New Roman"/>
          <w:color w:val="000000" w:themeColor="text1"/>
          <w:sz w:val="24"/>
          <w:szCs w:val="24"/>
          <w:vertAlign w:val="subscript"/>
        </w:rPr>
        <w:t>6</w:t>
      </w:r>
      <w:r w:rsidRPr="00191ACB">
        <w:rPr>
          <w:rFonts w:ascii="Times New Roman" w:hAnsi="Times New Roman" w:cs="Times New Roman"/>
          <w:color w:val="000000" w:themeColor="text1"/>
          <w:sz w:val="24"/>
          <w:szCs w:val="24"/>
        </w:rPr>
        <w:t xml:space="preserve"> in electrical equipment was ±2% obtained from nameplate capacity from electricity utility companies.</w:t>
      </w:r>
    </w:p>
    <w:p w14:paraId="5DE80A15" w14:textId="1A171828" w:rsidR="004C223F" w:rsidRPr="00191ACB"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database for ZRA and </w:t>
      </w:r>
      <w:r w:rsidR="000F44A6" w:rsidRPr="00191ACB">
        <w:rPr>
          <w:rFonts w:ascii="Times New Roman" w:hAnsi="Times New Roman" w:cs="Times New Roman"/>
          <w:color w:val="000000" w:themeColor="text1"/>
          <w:sz w:val="24"/>
          <w:szCs w:val="24"/>
        </w:rPr>
        <w:t>ZAMSTATS</w:t>
      </w:r>
      <w:r w:rsidRPr="00191ACB">
        <w:rPr>
          <w:rFonts w:ascii="Times New Roman" w:hAnsi="Times New Roman" w:cs="Times New Roman"/>
          <w:color w:val="000000" w:themeColor="text1"/>
          <w:sz w:val="24"/>
          <w:szCs w:val="24"/>
        </w:rPr>
        <w:t xml:space="preserve"> does not record numbers of refrigeration and air conditioning units by type. Only the mass of the mass of refrigeration and air conditioning units by type is recorded for tax purposes. Thus, the data captured in the ZRA database is not suitable for inventory preparation. For this reason the inventory preparation team devised a methodology to deduce the number of refrigeration and air conditioning units by type by dividing mass of total import of refrigeration by type by average mass of typical refrigeration or air conditioning by type.  This approach gives room for significant estimations of the numbers and it is for this reason that the uncertainty was set at ±50. The emissions factors in the UA were calculated using the 2006 IPCC Software. The AD was </w:t>
      </w:r>
      <w:r w:rsidRPr="00191ACB">
        <w:rPr>
          <w:rFonts w:ascii="Times New Roman" w:hAnsi="Times New Roman" w:cs="Times New Roman"/>
          <w:color w:val="000000" w:themeColor="text1"/>
          <w:sz w:val="24"/>
          <w:szCs w:val="24"/>
        </w:rPr>
        <w:lastRenderedPageBreak/>
        <w:t xml:space="preserve">calculated from confidence levels from source data providers, including </w:t>
      </w:r>
      <w:r w:rsidR="000F44A6" w:rsidRPr="00191ACB">
        <w:rPr>
          <w:rFonts w:ascii="Times New Roman" w:hAnsi="Times New Roman" w:cs="Times New Roman"/>
          <w:color w:val="000000" w:themeColor="text1"/>
          <w:sz w:val="24"/>
          <w:szCs w:val="24"/>
        </w:rPr>
        <w:t>ZAMSTATS</w:t>
      </w:r>
      <w:r w:rsidRPr="00191ACB">
        <w:rPr>
          <w:rFonts w:ascii="Times New Roman" w:hAnsi="Times New Roman" w:cs="Times New Roman"/>
          <w:color w:val="000000" w:themeColor="text1"/>
          <w:sz w:val="24"/>
          <w:szCs w:val="24"/>
        </w:rPr>
        <w:t xml:space="preserve"> and industries. Where applicable, expert judgment was utilised to account for gaps in confidence level in the data.</w:t>
      </w:r>
    </w:p>
    <w:p w14:paraId="5B6C2075" w14:textId="77777777" w:rsidR="00FC4FC5" w:rsidRPr="00191ACB" w:rsidRDefault="00FC4FC5" w:rsidP="005E626A">
      <w:pPr>
        <w:pStyle w:val="Heading2"/>
        <w:spacing w:after="120" w:line="240" w:lineRule="auto"/>
        <w:jc w:val="both"/>
        <w:rPr>
          <w:rFonts w:ascii="Times New Roman" w:hAnsi="Times New Roman" w:cs="Times New Roman"/>
          <w:b/>
          <w:color w:val="000000" w:themeColor="text1"/>
          <w:sz w:val="24"/>
          <w:szCs w:val="24"/>
        </w:rPr>
      </w:pPr>
      <w:bookmarkStart w:id="169" w:name="_Toc15311494"/>
      <w:bookmarkStart w:id="170" w:name="_Toc48427313"/>
    </w:p>
    <w:p w14:paraId="29D7A3B8" w14:textId="491CA718" w:rsidR="004C223F" w:rsidRPr="00191ACB" w:rsidRDefault="004C223F" w:rsidP="00F57641">
      <w:pPr>
        <w:pStyle w:val="Heading3"/>
        <w:numPr>
          <w:ilvl w:val="2"/>
          <w:numId w:val="36"/>
        </w:numPr>
        <w:ind w:left="851" w:hanging="851"/>
        <w:rPr>
          <w:rFonts w:cs="Times New Roman"/>
          <w:b w:val="0"/>
          <w:szCs w:val="24"/>
        </w:rPr>
      </w:pPr>
      <w:bookmarkStart w:id="171" w:name="_Toc57902837"/>
      <w:r w:rsidRPr="00F57641">
        <w:t>QA</w:t>
      </w:r>
      <w:r w:rsidRPr="00191ACB">
        <w:rPr>
          <w:rFonts w:cs="Times New Roman"/>
          <w:b w:val="0"/>
          <w:szCs w:val="24"/>
        </w:rPr>
        <w:t>/</w:t>
      </w:r>
      <w:r w:rsidRPr="00F57641">
        <w:t>QC</w:t>
      </w:r>
      <w:r w:rsidRPr="00191ACB">
        <w:rPr>
          <w:rFonts w:cs="Times New Roman"/>
          <w:b w:val="0"/>
          <w:szCs w:val="24"/>
        </w:rPr>
        <w:t xml:space="preserve"> </w:t>
      </w:r>
      <w:r w:rsidRPr="00F57641">
        <w:t>and</w:t>
      </w:r>
      <w:r w:rsidRPr="00191ACB">
        <w:rPr>
          <w:rFonts w:cs="Times New Roman"/>
          <w:b w:val="0"/>
          <w:szCs w:val="24"/>
        </w:rPr>
        <w:t xml:space="preserve"> </w:t>
      </w:r>
      <w:r w:rsidRPr="00F57641">
        <w:t>verification</w:t>
      </w:r>
      <w:bookmarkEnd w:id="169"/>
      <w:bookmarkEnd w:id="170"/>
      <w:bookmarkEnd w:id="171"/>
    </w:p>
    <w:p w14:paraId="50B08663" w14:textId="6EB0088F" w:rsidR="004C223F" w:rsidRPr="00191ACB"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Activity data used in estimating GHG emissions from the IPPU was obtained from industries, </w:t>
      </w:r>
      <w:r w:rsidR="000F44A6" w:rsidRPr="00191ACB">
        <w:rPr>
          <w:rFonts w:ascii="Times New Roman" w:hAnsi="Times New Roman" w:cs="Times New Roman"/>
          <w:color w:val="000000" w:themeColor="text1"/>
          <w:sz w:val="24"/>
          <w:szCs w:val="24"/>
        </w:rPr>
        <w:t>ZAMSTATS and</w:t>
      </w:r>
      <w:r w:rsidRPr="00191ACB">
        <w:rPr>
          <w:rFonts w:ascii="Times New Roman" w:hAnsi="Times New Roman" w:cs="Times New Roman"/>
          <w:color w:val="000000" w:themeColor="text1"/>
          <w:sz w:val="24"/>
          <w:szCs w:val="24"/>
        </w:rPr>
        <w:t xml:space="preserve"> </w:t>
      </w:r>
      <w:r w:rsidR="000F44A6" w:rsidRPr="00191ACB">
        <w:rPr>
          <w:rFonts w:ascii="Times New Roman" w:hAnsi="Times New Roman" w:cs="Times New Roman"/>
          <w:color w:val="000000" w:themeColor="text1"/>
          <w:sz w:val="24"/>
          <w:szCs w:val="24"/>
        </w:rPr>
        <w:t>Z</w:t>
      </w:r>
      <w:r w:rsidRPr="00191ACB">
        <w:rPr>
          <w:rFonts w:ascii="Times New Roman" w:hAnsi="Times New Roman" w:cs="Times New Roman"/>
          <w:color w:val="000000" w:themeColor="text1"/>
          <w:sz w:val="24"/>
          <w:szCs w:val="24"/>
        </w:rPr>
        <w:t xml:space="preserve">RA. </w:t>
      </w:r>
      <w:r w:rsidR="000F44A6" w:rsidRPr="00191ACB">
        <w:rPr>
          <w:rFonts w:ascii="Times New Roman" w:hAnsi="Times New Roman" w:cs="Times New Roman"/>
          <w:color w:val="000000" w:themeColor="text1"/>
          <w:sz w:val="24"/>
          <w:szCs w:val="24"/>
        </w:rPr>
        <w:t>D</w:t>
      </w:r>
      <w:r w:rsidRPr="00191ACB">
        <w:rPr>
          <w:rFonts w:ascii="Times New Roman" w:hAnsi="Times New Roman" w:cs="Times New Roman"/>
          <w:color w:val="000000" w:themeColor="text1"/>
          <w:sz w:val="24"/>
          <w:szCs w:val="24"/>
        </w:rPr>
        <w:t xml:space="preserve">ata from various sources </w:t>
      </w:r>
      <w:r w:rsidR="000F44A6" w:rsidRPr="00191ACB">
        <w:rPr>
          <w:rFonts w:ascii="Times New Roman" w:hAnsi="Times New Roman" w:cs="Times New Roman"/>
          <w:color w:val="000000" w:themeColor="text1"/>
          <w:sz w:val="24"/>
          <w:szCs w:val="24"/>
        </w:rPr>
        <w:t>was</w:t>
      </w:r>
      <w:r w:rsidRPr="00191ACB">
        <w:rPr>
          <w:rFonts w:ascii="Times New Roman" w:hAnsi="Times New Roman" w:cs="Times New Roman"/>
          <w:color w:val="000000" w:themeColor="text1"/>
          <w:sz w:val="24"/>
          <w:szCs w:val="24"/>
        </w:rPr>
        <w:t xml:space="preserve"> compile</w:t>
      </w:r>
      <w:r w:rsidR="000F44A6" w:rsidRPr="00191ACB">
        <w:rPr>
          <w:rFonts w:ascii="Times New Roman" w:hAnsi="Times New Roman" w:cs="Times New Roman"/>
          <w:color w:val="000000" w:themeColor="text1"/>
          <w:sz w:val="24"/>
          <w:szCs w:val="24"/>
        </w:rPr>
        <w:t>d</w:t>
      </w:r>
      <w:r w:rsidRPr="00191ACB">
        <w:rPr>
          <w:rFonts w:ascii="Times New Roman" w:hAnsi="Times New Roman" w:cs="Times New Roman"/>
          <w:color w:val="000000" w:themeColor="text1"/>
          <w:sz w:val="24"/>
          <w:szCs w:val="24"/>
        </w:rPr>
        <w:t xml:space="preserve"> for use in emissions estimates</w:t>
      </w:r>
      <w:r w:rsidR="008B75C4" w:rsidRPr="00191ACB">
        <w:rPr>
          <w:rFonts w:ascii="Times New Roman" w:hAnsi="Times New Roman" w:cs="Times New Roman"/>
          <w:color w:val="000000" w:themeColor="text1"/>
          <w:sz w:val="24"/>
          <w:szCs w:val="24"/>
        </w:rPr>
        <w:t xml:space="preserve"> and verified</w:t>
      </w:r>
      <w:r w:rsidRPr="00191ACB">
        <w:rPr>
          <w:rFonts w:ascii="Times New Roman" w:hAnsi="Times New Roman" w:cs="Times New Roman"/>
          <w:color w:val="000000" w:themeColor="text1"/>
          <w:sz w:val="24"/>
          <w:szCs w:val="24"/>
        </w:rPr>
        <w:t xml:space="preserve"> to ensure good quality data was utilised in the inventory preparation from the IPPU sector. </w:t>
      </w:r>
    </w:p>
    <w:p w14:paraId="0EA23384" w14:textId="77777777" w:rsidR="00FC4FC5" w:rsidRPr="00191ACB" w:rsidRDefault="00FC4FC5" w:rsidP="005E626A">
      <w:pPr>
        <w:spacing w:after="120" w:line="240" w:lineRule="auto"/>
        <w:jc w:val="both"/>
        <w:rPr>
          <w:rFonts w:ascii="Times New Roman" w:hAnsi="Times New Roman" w:cs="Times New Roman"/>
          <w:color w:val="000000" w:themeColor="text1"/>
          <w:sz w:val="24"/>
          <w:szCs w:val="24"/>
        </w:rPr>
      </w:pPr>
    </w:p>
    <w:p w14:paraId="1F2054D1" w14:textId="79935862" w:rsidR="004C223F" w:rsidRPr="00191ACB" w:rsidRDefault="004C223F" w:rsidP="00F57641">
      <w:pPr>
        <w:pStyle w:val="Heading3"/>
        <w:numPr>
          <w:ilvl w:val="2"/>
          <w:numId w:val="36"/>
        </w:numPr>
        <w:ind w:left="851" w:hanging="851"/>
        <w:rPr>
          <w:rFonts w:cs="Times New Roman"/>
          <w:b w:val="0"/>
          <w:szCs w:val="24"/>
        </w:rPr>
      </w:pPr>
      <w:bookmarkStart w:id="172" w:name="_Toc15311495"/>
      <w:bookmarkStart w:id="173" w:name="_Toc48427314"/>
      <w:bookmarkStart w:id="174" w:name="_Toc57902838"/>
      <w:r w:rsidRPr="00F57641">
        <w:t>Recalculations</w:t>
      </w:r>
      <w:bookmarkEnd w:id="172"/>
      <w:bookmarkEnd w:id="173"/>
      <w:bookmarkEnd w:id="174"/>
    </w:p>
    <w:p w14:paraId="36628907" w14:textId="76FFC92A" w:rsidR="004C223F" w:rsidRPr="00191ACB" w:rsidRDefault="004C223F" w:rsidP="00F04D87">
      <w:pPr>
        <w:spacing w:after="120" w:line="276" w:lineRule="auto"/>
        <w:jc w:val="both"/>
        <w:rPr>
          <w:rFonts w:ascii="Times New Roman" w:hAnsi="Times New Roman" w:cs="Times New Roman"/>
          <w:color w:val="000000" w:themeColor="text1"/>
          <w:sz w:val="24"/>
          <w:szCs w:val="24"/>
        </w:rPr>
      </w:pPr>
      <w:bookmarkStart w:id="175" w:name="_Toc15311496"/>
      <w:r w:rsidRPr="00191ACB">
        <w:rPr>
          <w:rFonts w:ascii="Times New Roman" w:hAnsi="Times New Roman" w:cs="Times New Roman"/>
          <w:color w:val="000000" w:themeColor="text1"/>
          <w:sz w:val="24"/>
          <w:szCs w:val="24"/>
        </w:rPr>
        <w:t>Recalculations were made for the years 1994, 2000, 2005 and 2010 for IPPU, as a result of improved activity data on SF</w:t>
      </w:r>
      <w:r w:rsidRPr="00191ACB">
        <w:rPr>
          <w:rFonts w:ascii="Times New Roman" w:hAnsi="Times New Roman" w:cs="Times New Roman"/>
          <w:color w:val="000000" w:themeColor="text1"/>
          <w:sz w:val="24"/>
          <w:szCs w:val="24"/>
          <w:vertAlign w:val="subscript"/>
        </w:rPr>
        <w:t>6</w:t>
      </w:r>
      <w:r w:rsidRPr="00191ACB">
        <w:rPr>
          <w:rFonts w:ascii="Times New Roman" w:hAnsi="Times New Roman" w:cs="Times New Roman"/>
          <w:color w:val="000000" w:themeColor="text1"/>
          <w:sz w:val="24"/>
          <w:szCs w:val="24"/>
        </w:rPr>
        <w:t xml:space="preserve"> (2.G.1.b - Use of Electrical Equipment). The recalculated figures for 1994, 200</w:t>
      </w:r>
      <w:r w:rsidR="00DD740E" w:rsidRPr="00191ACB">
        <w:rPr>
          <w:rFonts w:ascii="Times New Roman" w:hAnsi="Times New Roman" w:cs="Times New Roman"/>
          <w:color w:val="000000" w:themeColor="text1"/>
          <w:sz w:val="24"/>
          <w:szCs w:val="24"/>
        </w:rPr>
        <w:t>0</w:t>
      </w:r>
      <w:r w:rsidRPr="00191ACB">
        <w:rPr>
          <w:rFonts w:ascii="Times New Roman" w:hAnsi="Times New Roman" w:cs="Times New Roman"/>
          <w:color w:val="000000" w:themeColor="text1"/>
          <w:sz w:val="24"/>
          <w:szCs w:val="24"/>
        </w:rPr>
        <w:t>, 2005 and 2010 were slightly higher than those submitted in the Third National Communication</w:t>
      </w:r>
      <w:r w:rsidR="000C6B0B" w:rsidRPr="00191ACB">
        <w:rPr>
          <w:rFonts w:ascii="Times New Roman" w:hAnsi="Times New Roman" w:cs="Times New Roman"/>
          <w:color w:val="000000" w:themeColor="text1"/>
          <w:sz w:val="24"/>
          <w:szCs w:val="24"/>
        </w:rPr>
        <w:t>.</w:t>
      </w:r>
    </w:p>
    <w:p w14:paraId="7F9F1934" w14:textId="77777777" w:rsidR="00FC4FC5" w:rsidRPr="00191ACB" w:rsidRDefault="00FC4FC5" w:rsidP="005E626A">
      <w:pPr>
        <w:spacing w:after="120" w:line="240" w:lineRule="auto"/>
        <w:jc w:val="both"/>
        <w:rPr>
          <w:rFonts w:ascii="Times New Roman" w:hAnsi="Times New Roman" w:cs="Times New Roman"/>
          <w:color w:val="000000" w:themeColor="text1"/>
          <w:sz w:val="24"/>
          <w:szCs w:val="24"/>
        </w:rPr>
      </w:pPr>
    </w:p>
    <w:p w14:paraId="7D2FA6BC" w14:textId="5F495B4C" w:rsidR="004C223F" w:rsidRPr="00191ACB" w:rsidRDefault="004C223F" w:rsidP="00F57641">
      <w:pPr>
        <w:pStyle w:val="Heading3"/>
        <w:numPr>
          <w:ilvl w:val="2"/>
          <w:numId w:val="36"/>
        </w:numPr>
        <w:ind w:left="851" w:hanging="851"/>
        <w:rPr>
          <w:rFonts w:cs="Times New Roman"/>
          <w:b w:val="0"/>
          <w:szCs w:val="24"/>
        </w:rPr>
      </w:pPr>
      <w:bookmarkStart w:id="176" w:name="_Toc48427315"/>
      <w:bookmarkStart w:id="177" w:name="_Toc57902839"/>
      <w:r w:rsidRPr="00F57641">
        <w:t>Planned</w:t>
      </w:r>
      <w:r w:rsidRPr="00191ACB">
        <w:rPr>
          <w:rFonts w:cs="Times New Roman"/>
          <w:b w:val="0"/>
          <w:szCs w:val="24"/>
        </w:rPr>
        <w:t xml:space="preserve"> </w:t>
      </w:r>
      <w:r w:rsidRPr="00F57641">
        <w:t>improvements</w:t>
      </w:r>
      <w:bookmarkEnd w:id="175"/>
      <w:bookmarkEnd w:id="176"/>
      <w:bookmarkEnd w:id="177"/>
    </w:p>
    <w:p w14:paraId="281C684B" w14:textId="452F2708" w:rsidR="004C223F" w:rsidRPr="00191ACB" w:rsidRDefault="000C6B0B" w:rsidP="00F04D87">
      <w:pPr>
        <w:spacing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rPr>
        <w:t>In order to enhance future inventories, t</w:t>
      </w:r>
      <w:r w:rsidR="004C223F" w:rsidRPr="00191ACB">
        <w:rPr>
          <w:rFonts w:ascii="Times New Roman" w:hAnsi="Times New Roman" w:cs="Times New Roman"/>
          <w:color w:val="000000" w:themeColor="text1"/>
          <w:sz w:val="24"/>
          <w:szCs w:val="24"/>
        </w:rPr>
        <w:t>here is need to incorporate GHG inventory parameters in the ZRA</w:t>
      </w:r>
      <w:r w:rsidRPr="00191ACB">
        <w:rPr>
          <w:rFonts w:ascii="Times New Roman" w:hAnsi="Times New Roman" w:cs="Times New Roman"/>
          <w:color w:val="000000" w:themeColor="text1"/>
          <w:sz w:val="24"/>
          <w:szCs w:val="24"/>
        </w:rPr>
        <w:t xml:space="preserve"> and ZAMSTATS</w:t>
      </w:r>
      <w:r w:rsidR="004C223F" w:rsidRPr="00191ACB">
        <w:rPr>
          <w:rFonts w:ascii="Times New Roman" w:hAnsi="Times New Roman" w:cs="Times New Roman"/>
          <w:color w:val="000000" w:themeColor="text1"/>
          <w:sz w:val="24"/>
          <w:szCs w:val="24"/>
        </w:rPr>
        <w:t xml:space="preserve"> data capturing instruments. This will enable capturing of activity data accurately for refrigeration, fertilisers, petroleum products (lubricants), fire protection, solvents, aerosols and N</w:t>
      </w:r>
      <w:r w:rsidR="004C223F" w:rsidRPr="00191ACB">
        <w:rPr>
          <w:rFonts w:ascii="Times New Roman" w:hAnsi="Times New Roman" w:cs="Times New Roman"/>
          <w:color w:val="000000" w:themeColor="text1"/>
          <w:sz w:val="24"/>
          <w:szCs w:val="24"/>
          <w:vertAlign w:val="subscript"/>
        </w:rPr>
        <w:t>2</w:t>
      </w:r>
      <w:r w:rsidR="004C223F" w:rsidRPr="00191ACB">
        <w:rPr>
          <w:rFonts w:ascii="Times New Roman" w:hAnsi="Times New Roman" w:cs="Times New Roman"/>
          <w:color w:val="000000" w:themeColor="text1"/>
          <w:sz w:val="24"/>
          <w:szCs w:val="24"/>
        </w:rPr>
        <w:t xml:space="preserve">O for medical applications.  </w:t>
      </w:r>
    </w:p>
    <w:p w14:paraId="64D9D199" w14:textId="77777777" w:rsidR="004C223F" w:rsidRPr="00191ACB" w:rsidRDefault="004C223F" w:rsidP="00F04D87">
      <w:pPr>
        <w:spacing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rPr>
        <w:t xml:space="preserve">Improvement in future inventories would require use clinker production quantities as opposed to cement production figures. </w:t>
      </w:r>
      <w:r w:rsidRPr="00191ACB">
        <w:rPr>
          <w:rFonts w:ascii="Times New Roman" w:hAnsi="Times New Roman" w:cs="Times New Roman"/>
          <w:color w:val="000000" w:themeColor="text1"/>
          <w:sz w:val="24"/>
          <w:szCs w:val="24"/>
          <w:highlight w:val="white"/>
        </w:rPr>
        <w:t>The activity data must include the CaO content in the limestone. It is recommended that activity data be collected from all lime production plants in Zambia and obtain information of dolomitic lime. Another improvement would be the development of country-specific emission factors and hydrated lime correction factors. Other activity data gaps in the IPPU Sector include the following:</w:t>
      </w:r>
    </w:p>
    <w:p w14:paraId="347F7ED4" w14:textId="79B82D14" w:rsidR="004C223F" w:rsidRPr="00191ACB" w:rsidRDefault="004C223F" w:rsidP="00F04D87">
      <w:pPr>
        <w:pStyle w:val="NoSpacing"/>
        <w:numPr>
          <w:ilvl w:val="0"/>
          <w:numId w:val="3"/>
        </w:numPr>
        <w:spacing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Limited activity data in fuel used as feedstock and lubricant consumption records</w:t>
      </w:r>
      <w:r w:rsidR="00BF2F56" w:rsidRPr="00191ACB">
        <w:rPr>
          <w:rFonts w:ascii="Times New Roman" w:hAnsi="Times New Roman" w:cs="Times New Roman"/>
          <w:color w:val="000000" w:themeColor="text1"/>
          <w:sz w:val="24"/>
          <w:szCs w:val="24"/>
          <w:highlight w:val="white"/>
        </w:rPr>
        <w:t>;</w:t>
      </w:r>
      <w:r w:rsidRPr="00191ACB">
        <w:rPr>
          <w:rFonts w:ascii="Times New Roman" w:hAnsi="Times New Roman" w:cs="Times New Roman"/>
          <w:color w:val="000000" w:themeColor="text1"/>
          <w:sz w:val="24"/>
          <w:szCs w:val="24"/>
          <w:highlight w:val="white"/>
        </w:rPr>
        <w:t xml:space="preserve">  </w:t>
      </w:r>
    </w:p>
    <w:p w14:paraId="2FA5A62D" w14:textId="579D8426" w:rsidR="00BF2F56" w:rsidRPr="00191ACB" w:rsidRDefault="004C223F" w:rsidP="00F04D87">
      <w:pPr>
        <w:pStyle w:val="NoSpacing"/>
        <w:numPr>
          <w:ilvl w:val="0"/>
          <w:numId w:val="3"/>
        </w:num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highlight w:val="white"/>
        </w:rPr>
        <w:t xml:space="preserve">Inconsistent </w:t>
      </w:r>
      <w:r w:rsidR="00BF2F56" w:rsidRPr="00191ACB">
        <w:rPr>
          <w:rFonts w:ascii="Times New Roman" w:hAnsi="Times New Roman" w:cs="Times New Roman"/>
          <w:color w:val="000000" w:themeColor="text1"/>
          <w:sz w:val="24"/>
          <w:szCs w:val="24"/>
          <w:highlight w:val="white"/>
        </w:rPr>
        <w:t xml:space="preserve">activity </w:t>
      </w:r>
      <w:r w:rsidRPr="00191ACB">
        <w:rPr>
          <w:rFonts w:ascii="Times New Roman" w:hAnsi="Times New Roman" w:cs="Times New Roman"/>
          <w:color w:val="000000" w:themeColor="text1"/>
          <w:sz w:val="24"/>
          <w:szCs w:val="24"/>
          <w:highlight w:val="white"/>
        </w:rPr>
        <w:t>data</w:t>
      </w:r>
      <w:r w:rsidR="001140B7" w:rsidRPr="00191ACB">
        <w:rPr>
          <w:rFonts w:ascii="Times New Roman" w:hAnsi="Times New Roman" w:cs="Times New Roman"/>
          <w:color w:val="000000" w:themeColor="text1"/>
          <w:sz w:val="24"/>
          <w:szCs w:val="24"/>
          <w:highlight w:val="white"/>
        </w:rPr>
        <w:t>:</w:t>
      </w:r>
      <w:r w:rsidRPr="00191ACB">
        <w:rPr>
          <w:rFonts w:ascii="Times New Roman" w:hAnsi="Times New Roman" w:cs="Times New Roman"/>
          <w:color w:val="000000" w:themeColor="text1"/>
          <w:sz w:val="24"/>
          <w:szCs w:val="24"/>
          <w:highlight w:val="white"/>
        </w:rPr>
        <w:t xml:space="preserve"> </w:t>
      </w:r>
      <w:r w:rsidR="00BF2F56" w:rsidRPr="00191ACB">
        <w:rPr>
          <w:rFonts w:ascii="Times New Roman" w:hAnsi="Times New Roman" w:cs="Times New Roman"/>
          <w:color w:val="000000" w:themeColor="text1"/>
          <w:sz w:val="24"/>
          <w:szCs w:val="24"/>
          <w:highlight w:val="white"/>
        </w:rPr>
        <w:t>It was observed during the inventory preparation that there were inconsistencies in the data from some industries and that obtained from ZRA and ZAMSTATS</w:t>
      </w:r>
      <w:r w:rsidRPr="00191ACB">
        <w:rPr>
          <w:rFonts w:ascii="Times New Roman" w:hAnsi="Times New Roman" w:cs="Times New Roman"/>
          <w:color w:val="000000" w:themeColor="text1"/>
          <w:sz w:val="24"/>
          <w:szCs w:val="24"/>
          <w:highlight w:val="white"/>
        </w:rPr>
        <w:t xml:space="preserve">. There is therefore need </w:t>
      </w:r>
      <w:r w:rsidR="000C6B0B" w:rsidRPr="00191ACB">
        <w:rPr>
          <w:rFonts w:ascii="Times New Roman" w:hAnsi="Times New Roman" w:cs="Times New Roman"/>
          <w:color w:val="000000" w:themeColor="text1"/>
          <w:sz w:val="24"/>
          <w:szCs w:val="24"/>
          <w:highlight w:val="white"/>
        </w:rPr>
        <w:t xml:space="preserve">to </w:t>
      </w:r>
      <w:r w:rsidRPr="00191ACB">
        <w:rPr>
          <w:rFonts w:ascii="Times New Roman" w:hAnsi="Times New Roman" w:cs="Times New Roman"/>
          <w:color w:val="000000" w:themeColor="text1"/>
          <w:sz w:val="24"/>
          <w:szCs w:val="24"/>
          <w:highlight w:val="white"/>
        </w:rPr>
        <w:t>harmonise data from these two sources</w:t>
      </w:r>
      <w:r w:rsidR="00BF2F56" w:rsidRPr="00191ACB">
        <w:rPr>
          <w:rFonts w:ascii="Times New Roman" w:hAnsi="Times New Roman" w:cs="Times New Roman"/>
          <w:color w:val="000000" w:themeColor="text1"/>
          <w:sz w:val="24"/>
          <w:szCs w:val="24"/>
          <w:highlight w:val="white"/>
        </w:rPr>
        <w:t xml:space="preserve">; </w:t>
      </w:r>
    </w:p>
    <w:p w14:paraId="1A316289" w14:textId="6A5350FA" w:rsidR="004C223F" w:rsidRPr="00191ACB" w:rsidRDefault="001140B7" w:rsidP="00F04D87">
      <w:pPr>
        <w:pStyle w:val="NoSpacing"/>
        <w:numPr>
          <w:ilvl w:val="0"/>
          <w:numId w:val="3"/>
        </w:num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highlight w:val="white"/>
        </w:rPr>
        <w:t>I</w:t>
      </w:r>
      <w:r w:rsidR="00BF2F56" w:rsidRPr="00191ACB">
        <w:rPr>
          <w:rFonts w:ascii="Times New Roman" w:hAnsi="Times New Roman" w:cs="Times New Roman"/>
          <w:color w:val="000000" w:themeColor="text1"/>
          <w:sz w:val="24"/>
          <w:szCs w:val="24"/>
          <w:highlight w:val="white"/>
        </w:rPr>
        <w:t>nsufficient</w:t>
      </w:r>
      <w:r w:rsidRPr="00191ACB">
        <w:rPr>
          <w:rFonts w:ascii="Times New Roman" w:hAnsi="Times New Roman" w:cs="Times New Roman"/>
          <w:color w:val="000000" w:themeColor="text1"/>
          <w:sz w:val="24"/>
          <w:szCs w:val="24"/>
          <w:highlight w:val="white"/>
        </w:rPr>
        <w:t xml:space="preserve"> </w:t>
      </w:r>
      <w:r w:rsidR="00BF2F56" w:rsidRPr="00191ACB">
        <w:rPr>
          <w:rFonts w:ascii="Times New Roman" w:hAnsi="Times New Roman" w:cs="Times New Roman"/>
          <w:color w:val="000000" w:themeColor="text1"/>
          <w:sz w:val="24"/>
          <w:szCs w:val="24"/>
          <w:highlight w:val="white"/>
        </w:rPr>
        <w:t>activity data</w:t>
      </w:r>
      <w:r w:rsidRPr="00191ACB">
        <w:rPr>
          <w:rFonts w:ascii="Times New Roman" w:hAnsi="Times New Roman" w:cs="Times New Roman"/>
          <w:color w:val="000000" w:themeColor="text1"/>
          <w:sz w:val="24"/>
          <w:szCs w:val="24"/>
          <w:highlight w:val="white"/>
        </w:rPr>
        <w:t>:</w:t>
      </w:r>
      <w:r w:rsidR="00BF2F56" w:rsidRPr="00191ACB">
        <w:rPr>
          <w:rFonts w:ascii="Times New Roman" w:hAnsi="Times New Roman" w:cs="Times New Roman"/>
          <w:color w:val="000000" w:themeColor="text1"/>
          <w:sz w:val="24"/>
          <w:szCs w:val="24"/>
          <w:highlight w:val="white"/>
        </w:rPr>
        <w:t xml:space="preserve"> </w:t>
      </w:r>
      <w:r w:rsidRPr="00191ACB">
        <w:rPr>
          <w:rFonts w:ascii="Times New Roman" w:hAnsi="Times New Roman" w:cs="Times New Roman"/>
          <w:color w:val="000000" w:themeColor="text1"/>
          <w:sz w:val="24"/>
          <w:szCs w:val="24"/>
          <w:highlight w:val="white"/>
        </w:rPr>
        <w:t>Activity data from the</w:t>
      </w:r>
      <w:r w:rsidR="00BF2F56" w:rsidRPr="00191ACB">
        <w:rPr>
          <w:rFonts w:ascii="Times New Roman" w:hAnsi="Times New Roman" w:cs="Times New Roman"/>
          <w:color w:val="000000" w:themeColor="text1"/>
          <w:sz w:val="24"/>
          <w:szCs w:val="24"/>
          <w:highlight w:val="white"/>
        </w:rPr>
        <w:t xml:space="preserve"> Chemical Industry</w:t>
      </w:r>
      <w:r w:rsidRPr="00191ACB">
        <w:rPr>
          <w:rFonts w:ascii="Times New Roman" w:hAnsi="Times New Roman" w:cs="Times New Roman"/>
          <w:color w:val="000000" w:themeColor="text1"/>
          <w:sz w:val="24"/>
          <w:szCs w:val="24"/>
          <w:highlight w:val="white"/>
        </w:rPr>
        <w:t>, Textile and leather, Paper and pulp, Food and Beverage, Wood and wood products</w:t>
      </w:r>
      <w:r w:rsidR="00BF2F56" w:rsidRPr="00191ACB">
        <w:rPr>
          <w:rFonts w:ascii="Times New Roman" w:hAnsi="Times New Roman" w:cs="Times New Roman"/>
          <w:color w:val="000000" w:themeColor="text1"/>
          <w:sz w:val="24"/>
          <w:szCs w:val="24"/>
          <w:highlight w:val="white"/>
        </w:rPr>
        <w:t xml:space="preserve"> </w:t>
      </w:r>
      <w:r w:rsidRPr="00191ACB">
        <w:rPr>
          <w:rFonts w:ascii="Times New Roman" w:hAnsi="Times New Roman" w:cs="Times New Roman"/>
          <w:color w:val="000000" w:themeColor="text1"/>
          <w:sz w:val="24"/>
          <w:szCs w:val="24"/>
          <w:highlight w:val="white"/>
        </w:rPr>
        <w:t>wa</w:t>
      </w:r>
      <w:r w:rsidR="00BF2F56" w:rsidRPr="00191ACB">
        <w:rPr>
          <w:rFonts w:ascii="Times New Roman" w:hAnsi="Times New Roman" w:cs="Times New Roman"/>
          <w:color w:val="000000" w:themeColor="text1"/>
          <w:sz w:val="24"/>
          <w:szCs w:val="24"/>
          <w:highlight w:val="white"/>
        </w:rPr>
        <w:t>s insufficient</w:t>
      </w:r>
      <w:r w:rsidRPr="00191ACB">
        <w:rPr>
          <w:rFonts w:ascii="Times New Roman" w:hAnsi="Times New Roman" w:cs="Times New Roman"/>
          <w:color w:val="000000" w:themeColor="text1"/>
          <w:sz w:val="24"/>
          <w:szCs w:val="24"/>
          <w:highlight w:val="white"/>
        </w:rPr>
        <w:t>. In this regard, there is need to enhance activity data collection from these sources</w:t>
      </w:r>
      <w:r w:rsidR="00BF2F56" w:rsidRPr="00191ACB">
        <w:rPr>
          <w:rFonts w:ascii="Times New Roman" w:hAnsi="Times New Roman" w:cs="Times New Roman"/>
          <w:color w:val="000000" w:themeColor="text1"/>
          <w:sz w:val="24"/>
          <w:szCs w:val="24"/>
          <w:highlight w:val="white"/>
        </w:rPr>
        <w:t>; and</w:t>
      </w:r>
      <w:r w:rsidR="004C223F" w:rsidRPr="00191ACB">
        <w:rPr>
          <w:rFonts w:ascii="Times New Roman" w:hAnsi="Times New Roman" w:cs="Times New Roman"/>
          <w:color w:val="000000" w:themeColor="text1"/>
          <w:sz w:val="24"/>
          <w:szCs w:val="24"/>
          <w:highlight w:val="white"/>
        </w:rPr>
        <w:t xml:space="preserve"> </w:t>
      </w:r>
    </w:p>
    <w:p w14:paraId="739DDB3D" w14:textId="5B1EE9D1" w:rsidR="004C223F" w:rsidRPr="00191ACB" w:rsidRDefault="004C223F" w:rsidP="00F04D87">
      <w:pPr>
        <w:pStyle w:val="NoSpacing"/>
        <w:numPr>
          <w:ilvl w:val="0"/>
          <w:numId w:val="3"/>
        </w:num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highlight w:val="white"/>
        </w:rPr>
        <w:t>Industry specific information lies mainly within the individual manufacturing units</w:t>
      </w:r>
      <w:r w:rsidR="00877638" w:rsidRPr="00191ACB">
        <w:rPr>
          <w:rFonts w:ascii="Times New Roman" w:hAnsi="Times New Roman" w:cs="Times New Roman"/>
          <w:color w:val="000000" w:themeColor="text1"/>
          <w:sz w:val="24"/>
          <w:szCs w:val="24"/>
          <w:highlight w:val="white"/>
        </w:rPr>
        <w:t xml:space="preserve"> that have varying capacities</w:t>
      </w:r>
      <w:r w:rsidRPr="00191ACB">
        <w:rPr>
          <w:rFonts w:ascii="Times New Roman" w:hAnsi="Times New Roman" w:cs="Times New Roman"/>
          <w:color w:val="000000" w:themeColor="text1"/>
          <w:sz w:val="24"/>
          <w:szCs w:val="24"/>
          <w:highlight w:val="white"/>
        </w:rPr>
        <w:t xml:space="preserve">. </w:t>
      </w:r>
      <w:r w:rsidR="001140B7" w:rsidRPr="00191ACB">
        <w:rPr>
          <w:rFonts w:ascii="Times New Roman" w:hAnsi="Times New Roman" w:cs="Times New Roman"/>
          <w:color w:val="000000" w:themeColor="text1"/>
          <w:sz w:val="24"/>
          <w:szCs w:val="24"/>
          <w:highlight w:val="white"/>
        </w:rPr>
        <w:t>It is proposed that capacity assessment for data providers be undertaken</w:t>
      </w:r>
      <w:r w:rsidR="00877638" w:rsidRPr="00191ACB">
        <w:rPr>
          <w:rFonts w:ascii="Times New Roman" w:hAnsi="Times New Roman" w:cs="Times New Roman"/>
          <w:color w:val="000000" w:themeColor="text1"/>
          <w:sz w:val="24"/>
          <w:szCs w:val="24"/>
          <w:highlight w:val="white"/>
        </w:rPr>
        <w:t xml:space="preserve"> including strengthening </w:t>
      </w:r>
      <w:r w:rsidR="00877638" w:rsidRPr="00191ACB">
        <w:rPr>
          <w:rFonts w:ascii="Times New Roman" w:hAnsi="Times New Roman" w:cs="Times New Roman"/>
          <w:color w:val="000000" w:themeColor="text1"/>
          <w:sz w:val="24"/>
          <w:szCs w:val="24"/>
        </w:rPr>
        <w:t>of data collection mechanisms.</w:t>
      </w:r>
      <w:r w:rsidRPr="00191ACB">
        <w:rPr>
          <w:rFonts w:ascii="Times New Roman" w:hAnsi="Times New Roman" w:cs="Times New Roman"/>
          <w:color w:val="000000" w:themeColor="text1"/>
          <w:sz w:val="24"/>
          <w:szCs w:val="24"/>
        </w:rPr>
        <w:br w:type="page"/>
      </w:r>
    </w:p>
    <w:p w14:paraId="09F09937" w14:textId="100E26B1" w:rsidR="004C223F" w:rsidRPr="00191ACB" w:rsidRDefault="004C223F" w:rsidP="007B4855">
      <w:pPr>
        <w:pStyle w:val="Heading2"/>
        <w:numPr>
          <w:ilvl w:val="1"/>
          <w:numId w:val="36"/>
        </w:numPr>
        <w:spacing w:after="120" w:line="240" w:lineRule="auto"/>
        <w:ind w:left="851" w:hanging="851"/>
        <w:rPr>
          <w:rFonts w:ascii="Times New Roman" w:hAnsi="Times New Roman" w:cs="Times New Roman"/>
          <w:b/>
          <w:color w:val="000000" w:themeColor="text1"/>
          <w:sz w:val="24"/>
          <w:szCs w:val="24"/>
        </w:rPr>
      </w:pPr>
      <w:bookmarkStart w:id="178" w:name="_Toc57902840"/>
      <w:bookmarkStart w:id="179" w:name="_Toc48427316"/>
      <w:r w:rsidRPr="00191ACB">
        <w:rPr>
          <w:rFonts w:ascii="Times New Roman" w:hAnsi="Times New Roman" w:cs="Times New Roman"/>
          <w:b/>
          <w:color w:val="000000" w:themeColor="text1"/>
          <w:sz w:val="24"/>
          <w:szCs w:val="24"/>
        </w:rPr>
        <w:lastRenderedPageBreak/>
        <w:t>A</w:t>
      </w:r>
      <w:r w:rsidR="002A3592" w:rsidRPr="00191ACB">
        <w:rPr>
          <w:rFonts w:ascii="Times New Roman" w:hAnsi="Times New Roman" w:cs="Times New Roman"/>
          <w:b/>
          <w:color w:val="000000" w:themeColor="text1"/>
          <w:sz w:val="24"/>
          <w:szCs w:val="24"/>
        </w:rPr>
        <w:t>griculture Forestry and Other Land Use</w:t>
      </w:r>
      <w:bookmarkEnd w:id="178"/>
      <w:r w:rsidR="002A3592" w:rsidRPr="00191ACB">
        <w:rPr>
          <w:rFonts w:ascii="Times New Roman" w:hAnsi="Times New Roman" w:cs="Times New Roman"/>
          <w:b/>
          <w:color w:val="000000" w:themeColor="text1"/>
          <w:sz w:val="24"/>
          <w:szCs w:val="24"/>
        </w:rPr>
        <w:t xml:space="preserve"> </w:t>
      </w:r>
      <w:bookmarkEnd w:id="179"/>
    </w:p>
    <w:p w14:paraId="6E3295BD" w14:textId="3CFADAF3" w:rsidR="004C223F" w:rsidRPr="00191ACB" w:rsidRDefault="004C223F" w:rsidP="00875942">
      <w:pPr>
        <w:pStyle w:val="Heading3"/>
        <w:numPr>
          <w:ilvl w:val="2"/>
          <w:numId w:val="36"/>
        </w:numPr>
        <w:ind w:left="851" w:hanging="851"/>
      </w:pPr>
      <w:bookmarkStart w:id="180" w:name="_Toc48427317"/>
      <w:bookmarkStart w:id="181" w:name="_Toc57902841"/>
      <w:r w:rsidRPr="00191ACB">
        <w:t>Overview</w:t>
      </w:r>
      <w:bookmarkEnd w:id="180"/>
      <w:bookmarkEnd w:id="181"/>
      <w:r w:rsidRPr="00191ACB">
        <w:t xml:space="preserve"> </w:t>
      </w:r>
    </w:p>
    <w:p w14:paraId="25A76DCC" w14:textId="77777777" w:rsidR="004C223F" w:rsidRPr="00191ACB" w:rsidRDefault="004C223F" w:rsidP="005E626A">
      <w:pPr>
        <w:pStyle w:val="NoSpacing"/>
        <w:spacing w:after="120"/>
        <w:rPr>
          <w:rFonts w:ascii="Times New Roman" w:hAnsi="Times New Roman" w:cs="Times New Roman"/>
          <w:b/>
          <w:sz w:val="24"/>
          <w:szCs w:val="24"/>
        </w:rPr>
      </w:pPr>
      <w:r w:rsidRPr="00191ACB">
        <w:rPr>
          <w:rFonts w:ascii="Times New Roman" w:hAnsi="Times New Roman" w:cs="Times New Roman"/>
          <w:b/>
          <w:sz w:val="24"/>
          <w:szCs w:val="24"/>
        </w:rPr>
        <w:t>Livestock</w:t>
      </w:r>
    </w:p>
    <w:p w14:paraId="232BE196" w14:textId="2C876E15" w:rsidR="004C223F" w:rsidRPr="00191ACB" w:rsidRDefault="004C223F" w:rsidP="00F04D87">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 xml:space="preserve">There are three Livestock production systems practiced in Zambia and these are; extensive, semi-intensive and intensive. Under the extensive system, the animal is expected to meet all its nutritional requirements including water, by itself. This is commonly practiced production system among smallholder farmers and is associated with high greenhouse gas emissions. In the semi-intensive production system, the animals are given some supplementary feed in addition to what they fetch on their own. In an intensive production system, the farmers provide all the nutritional requirements of the animal. </w:t>
      </w:r>
    </w:p>
    <w:p w14:paraId="6579ECFD" w14:textId="3D1489B4" w:rsidR="004C223F" w:rsidRPr="00191ACB" w:rsidRDefault="004C223F" w:rsidP="00F04D87">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The extensive production system is commonly practiced according to the 2017/2018 Livestock and Aquaculture census Report Summary. This system mostly involves rearing the livestock in an open and communally grazed rangeland. This means livestock are left to graze in open grasslands which are communally owned and the different herds of livestock mix with each other.  The system is mostly characterised by poor range management largely due to uncontrolled grazing which usually leads to over-grazing and ultimately, soil degradation. In Zambia 72.2% of the Agricultural households are involved in livestock-raising activities and this entails that the majority of the total livestock population is owned by smallholder farmers. The average tropical livestock unit is 450kg which in the extensive grazing system will require 15 hectares of land to survive in the entire year without any feed interventions.</w:t>
      </w:r>
    </w:p>
    <w:p w14:paraId="4D7C4CA4" w14:textId="5668EF66" w:rsidR="004C223F" w:rsidRPr="00191ACB" w:rsidRDefault="004C223F" w:rsidP="00F04D87">
      <w:pPr>
        <w:spacing w:after="120" w:line="276" w:lineRule="auto"/>
        <w:jc w:val="both"/>
        <w:rPr>
          <w:rFonts w:ascii="Times New Roman" w:eastAsia="Garamond" w:hAnsi="Times New Roman" w:cs="Times New Roman"/>
          <w:b/>
          <w:color w:val="000000" w:themeColor="text1"/>
          <w:sz w:val="24"/>
          <w:szCs w:val="24"/>
        </w:rPr>
      </w:pPr>
      <w:r w:rsidRPr="00191ACB">
        <w:rPr>
          <w:rFonts w:ascii="Times New Roman" w:eastAsia="Garamond" w:hAnsi="Times New Roman" w:cs="Times New Roman"/>
          <w:color w:val="000000" w:themeColor="text1"/>
          <w:sz w:val="24"/>
          <w:szCs w:val="24"/>
        </w:rPr>
        <w:t xml:space="preserve">However, most farmers in Zambia do not apply recommended manure management practices, such as roofing animal housing, having a water-proof floor or covering manure during storage, causing large nutrient losses during manure storage, increasing greenhouse gas emissions, and reducing the quality of the manure as a fertilizer. In </w:t>
      </w:r>
      <w:r w:rsidR="008A21F3" w:rsidRPr="00191ACB">
        <w:rPr>
          <w:rFonts w:ascii="Times New Roman" w:eastAsia="Garamond" w:hAnsi="Times New Roman" w:cs="Times New Roman"/>
          <w:color w:val="000000" w:themeColor="text1"/>
          <w:sz w:val="24"/>
          <w:szCs w:val="24"/>
        </w:rPr>
        <w:t>general,</w:t>
      </w:r>
      <w:r w:rsidRPr="00191ACB">
        <w:rPr>
          <w:rFonts w:ascii="Times New Roman" w:eastAsia="Garamond" w:hAnsi="Times New Roman" w:cs="Times New Roman"/>
          <w:color w:val="000000" w:themeColor="text1"/>
          <w:sz w:val="24"/>
          <w:szCs w:val="24"/>
        </w:rPr>
        <w:t xml:space="preserve"> Dairy cattle are kept mostly under a confined system where they are kept in a small area. This entails most of the cow dung is cleaned and piled for use in gardens and field crops as fertilizer. In the recent past Government and its cooperating partners have been promoting the construction of bio digesters using animal manure where farmers can benefit from the gas produced which is used for cooking. Some notable organisations that are promoting the use of bio digesters are SNV and Musika.</w:t>
      </w:r>
    </w:p>
    <w:p w14:paraId="545DA221" w14:textId="77777777" w:rsidR="004C223F" w:rsidRPr="00191ACB" w:rsidRDefault="004C223F" w:rsidP="005E626A">
      <w:pPr>
        <w:pStyle w:val="NoSpacing"/>
        <w:spacing w:after="120"/>
        <w:jc w:val="both"/>
        <w:rPr>
          <w:rFonts w:ascii="Times New Roman" w:hAnsi="Times New Roman" w:cs="Times New Roman"/>
          <w:b/>
          <w:sz w:val="24"/>
          <w:szCs w:val="24"/>
        </w:rPr>
      </w:pPr>
      <w:r w:rsidRPr="00191ACB">
        <w:rPr>
          <w:rFonts w:ascii="Times New Roman" w:hAnsi="Times New Roman" w:cs="Times New Roman"/>
          <w:b/>
          <w:sz w:val="24"/>
          <w:szCs w:val="24"/>
        </w:rPr>
        <w:t>Land</w:t>
      </w:r>
    </w:p>
    <w:p w14:paraId="2721AB13" w14:textId="25031466" w:rsidR="004C223F" w:rsidRPr="00191ACB" w:rsidRDefault="004C223F" w:rsidP="00F04D87">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Zambia, which is one of the most forested countries in Southern Africa has an estimated area of 45.94 million hectares of forest, representing approximately 61.01 percent of its total land</w:t>
      </w:r>
      <w:r w:rsidRPr="00191ACB">
        <w:rPr>
          <w:rFonts w:ascii="Times New Roman" w:eastAsia="Garamond" w:hAnsi="Times New Roman" w:cs="Times New Roman"/>
          <w:b/>
          <w:color w:val="000000" w:themeColor="text1"/>
          <w:sz w:val="24"/>
          <w:szCs w:val="24"/>
        </w:rPr>
        <w:t>.</w:t>
      </w:r>
      <w:r w:rsidRPr="00191ACB">
        <w:rPr>
          <w:rFonts w:ascii="Times New Roman" w:eastAsia="Garamond" w:hAnsi="Times New Roman" w:cs="Times New Roman"/>
          <w:color w:val="000000" w:themeColor="text1"/>
          <w:sz w:val="24"/>
          <w:szCs w:val="24"/>
        </w:rPr>
        <w:t xml:space="preserve"> However, evidence of continued forest cover loss due to deforestation and forest degradation are well acknowledged. Estimates have shown that the </w:t>
      </w:r>
      <w:r w:rsidR="00C77F0F" w:rsidRPr="00191ACB">
        <w:rPr>
          <w:rFonts w:ascii="Times New Roman" w:eastAsia="Garamond" w:hAnsi="Times New Roman" w:cs="Times New Roman"/>
          <w:color w:val="000000" w:themeColor="text1"/>
          <w:sz w:val="24"/>
          <w:szCs w:val="24"/>
        </w:rPr>
        <w:t>current annual</w:t>
      </w:r>
      <w:r w:rsidRPr="00191ACB">
        <w:rPr>
          <w:rFonts w:ascii="Times New Roman" w:eastAsia="Garamond" w:hAnsi="Times New Roman" w:cs="Times New Roman"/>
          <w:color w:val="000000" w:themeColor="text1"/>
          <w:sz w:val="24"/>
          <w:szCs w:val="24"/>
        </w:rPr>
        <w:t xml:space="preserve"> rate of deforestation stands at 276,0</w:t>
      </w:r>
      <w:r w:rsidR="0049124E" w:rsidRPr="00191ACB">
        <w:rPr>
          <w:rFonts w:ascii="Times New Roman" w:eastAsia="Garamond" w:hAnsi="Times New Roman" w:cs="Times New Roman"/>
          <w:color w:val="000000" w:themeColor="text1"/>
          <w:sz w:val="24"/>
          <w:szCs w:val="24"/>
        </w:rPr>
        <w:t>21</w:t>
      </w:r>
      <w:r w:rsidRPr="00191ACB">
        <w:rPr>
          <w:rFonts w:ascii="Times New Roman" w:eastAsia="Garamond" w:hAnsi="Times New Roman" w:cs="Times New Roman"/>
          <w:color w:val="000000" w:themeColor="text1"/>
          <w:sz w:val="24"/>
          <w:szCs w:val="24"/>
        </w:rPr>
        <w:t xml:space="preserve"> hectares which is mainly attributed to agricultural expansion, settlement expansion, wood extraction and uncontrolled fires. According to the Preliminary Study on the Drivers of Deforestation and Potential for REDD+ in Zambia under the UN-REDD Programme, the underlying causes have been elaborated as Policy and Legal Framework, Socio economic, Demography, Institutional and Environmental factors. </w:t>
      </w:r>
    </w:p>
    <w:p w14:paraId="51ACBEA2" w14:textId="2C0202AC" w:rsidR="004C223F" w:rsidRPr="00191ACB" w:rsidRDefault="004C223F" w:rsidP="00F04D87">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During the reporting period</w:t>
      </w:r>
      <w:r w:rsidR="005419B8" w:rsidRPr="00191ACB">
        <w:rPr>
          <w:rFonts w:ascii="Times New Roman" w:eastAsia="Garamond" w:hAnsi="Times New Roman" w:cs="Times New Roman"/>
          <w:color w:val="000000" w:themeColor="text1"/>
          <w:sz w:val="24"/>
          <w:szCs w:val="24"/>
        </w:rPr>
        <w:t xml:space="preserve">, </w:t>
      </w:r>
      <w:r w:rsidRPr="00191ACB">
        <w:rPr>
          <w:rFonts w:ascii="Times New Roman" w:eastAsia="Garamond" w:hAnsi="Times New Roman" w:cs="Times New Roman"/>
          <w:color w:val="000000" w:themeColor="text1"/>
          <w:sz w:val="24"/>
          <w:szCs w:val="24"/>
        </w:rPr>
        <w:t xml:space="preserve">it </w:t>
      </w:r>
      <w:r w:rsidR="005419B8" w:rsidRPr="00191ACB">
        <w:rPr>
          <w:rFonts w:ascii="Times New Roman" w:eastAsia="Garamond" w:hAnsi="Times New Roman" w:cs="Times New Roman"/>
          <w:color w:val="000000" w:themeColor="text1"/>
          <w:sz w:val="24"/>
          <w:szCs w:val="24"/>
        </w:rPr>
        <w:t>w</w:t>
      </w:r>
      <w:r w:rsidRPr="00191ACB">
        <w:rPr>
          <w:rFonts w:ascii="Times New Roman" w:eastAsia="Garamond" w:hAnsi="Times New Roman" w:cs="Times New Roman"/>
          <w:color w:val="000000" w:themeColor="text1"/>
          <w:sz w:val="24"/>
          <w:szCs w:val="24"/>
        </w:rPr>
        <w:t xml:space="preserve">as noted that agricultural expansion </w:t>
      </w:r>
      <w:r w:rsidR="005419B8" w:rsidRPr="00191ACB">
        <w:rPr>
          <w:rFonts w:ascii="Times New Roman" w:eastAsia="Garamond" w:hAnsi="Times New Roman" w:cs="Times New Roman"/>
          <w:color w:val="000000" w:themeColor="text1"/>
          <w:sz w:val="24"/>
          <w:szCs w:val="24"/>
        </w:rPr>
        <w:t>w</w:t>
      </w:r>
      <w:r w:rsidRPr="00191ACB">
        <w:rPr>
          <w:rFonts w:ascii="Times New Roman" w:eastAsia="Garamond" w:hAnsi="Times New Roman" w:cs="Times New Roman"/>
          <w:color w:val="000000" w:themeColor="text1"/>
          <w:sz w:val="24"/>
          <w:szCs w:val="24"/>
        </w:rPr>
        <w:t>a</w:t>
      </w:r>
      <w:r w:rsidR="005419B8" w:rsidRPr="00191ACB">
        <w:rPr>
          <w:rFonts w:ascii="Times New Roman" w:eastAsia="Garamond" w:hAnsi="Times New Roman" w:cs="Times New Roman"/>
          <w:color w:val="000000" w:themeColor="text1"/>
          <w:sz w:val="24"/>
          <w:szCs w:val="24"/>
        </w:rPr>
        <w:t xml:space="preserve">s </w:t>
      </w:r>
      <w:r w:rsidRPr="00191ACB">
        <w:rPr>
          <w:rFonts w:ascii="Times New Roman" w:eastAsia="Garamond" w:hAnsi="Times New Roman" w:cs="Times New Roman"/>
          <w:color w:val="000000" w:themeColor="text1"/>
          <w:sz w:val="24"/>
          <w:szCs w:val="24"/>
        </w:rPr>
        <w:t>evident in the opening up of farm blocks such as Luswishi (Copperbelt Province) and Luombwa in Central Province. Further, migrat</w:t>
      </w:r>
      <w:r w:rsidR="005419B8" w:rsidRPr="00191ACB">
        <w:rPr>
          <w:rFonts w:ascii="Times New Roman" w:eastAsia="Garamond" w:hAnsi="Times New Roman" w:cs="Times New Roman"/>
          <w:color w:val="000000" w:themeColor="text1"/>
          <w:sz w:val="24"/>
          <w:szCs w:val="24"/>
        </w:rPr>
        <w:t>ion of</w:t>
      </w:r>
      <w:r w:rsidRPr="00191ACB">
        <w:rPr>
          <w:rFonts w:ascii="Times New Roman" w:eastAsia="Garamond" w:hAnsi="Times New Roman" w:cs="Times New Roman"/>
          <w:color w:val="000000" w:themeColor="text1"/>
          <w:sz w:val="24"/>
          <w:szCs w:val="24"/>
        </w:rPr>
        <w:t xml:space="preserve"> farmers from </w:t>
      </w:r>
      <w:r w:rsidR="005419B8" w:rsidRPr="00191ACB">
        <w:rPr>
          <w:rFonts w:ascii="Times New Roman" w:eastAsia="Garamond" w:hAnsi="Times New Roman" w:cs="Times New Roman"/>
          <w:color w:val="000000" w:themeColor="text1"/>
          <w:sz w:val="24"/>
          <w:szCs w:val="24"/>
        </w:rPr>
        <w:t xml:space="preserve">regions affected by drought and land degradation to regions that have </w:t>
      </w:r>
      <w:r w:rsidR="005419B8" w:rsidRPr="00191ACB">
        <w:rPr>
          <w:rFonts w:ascii="Times New Roman" w:eastAsia="Garamond" w:hAnsi="Times New Roman" w:cs="Times New Roman"/>
          <w:color w:val="000000" w:themeColor="text1"/>
          <w:sz w:val="24"/>
          <w:szCs w:val="24"/>
        </w:rPr>
        <w:lastRenderedPageBreak/>
        <w:t xml:space="preserve">suitable climatic conditions for farming </w:t>
      </w:r>
      <w:r w:rsidRPr="00191ACB">
        <w:rPr>
          <w:rFonts w:ascii="Times New Roman" w:eastAsia="Garamond" w:hAnsi="Times New Roman" w:cs="Times New Roman"/>
          <w:color w:val="000000" w:themeColor="text1"/>
          <w:sz w:val="24"/>
          <w:szCs w:val="24"/>
        </w:rPr>
        <w:t>have significantly contributed to this problem. The other cause of forest degradation is wood extraction for various purposes such as timber</w:t>
      </w:r>
      <w:r w:rsidR="005419B8" w:rsidRPr="00191ACB">
        <w:rPr>
          <w:rFonts w:ascii="Times New Roman" w:eastAsia="Garamond" w:hAnsi="Times New Roman" w:cs="Times New Roman"/>
          <w:color w:val="000000" w:themeColor="text1"/>
          <w:sz w:val="24"/>
          <w:szCs w:val="24"/>
        </w:rPr>
        <w:t>,</w:t>
      </w:r>
      <w:r w:rsidRPr="00191ACB">
        <w:rPr>
          <w:rFonts w:ascii="Times New Roman" w:eastAsia="Garamond" w:hAnsi="Times New Roman" w:cs="Times New Roman"/>
          <w:color w:val="000000" w:themeColor="text1"/>
          <w:sz w:val="24"/>
          <w:szCs w:val="24"/>
        </w:rPr>
        <w:t xml:space="preserve"> charcoal and fuelwood. </w:t>
      </w:r>
    </w:p>
    <w:p w14:paraId="6B1A38AC" w14:textId="212C0F72" w:rsidR="004C223F" w:rsidRPr="00191ACB" w:rsidRDefault="004C223F" w:rsidP="00F04D87">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The creation of new districts in most parts of the country</w:t>
      </w:r>
      <w:r w:rsidR="00165F56" w:rsidRPr="00191ACB">
        <w:rPr>
          <w:rFonts w:ascii="Times New Roman" w:eastAsia="Garamond" w:hAnsi="Times New Roman" w:cs="Times New Roman"/>
          <w:color w:val="000000" w:themeColor="text1"/>
          <w:sz w:val="24"/>
          <w:szCs w:val="24"/>
        </w:rPr>
        <w:t xml:space="preserve"> </w:t>
      </w:r>
      <w:r w:rsidRPr="00191ACB">
        <w:rPr>
          <w:rFonts w:ascii="Times New Roman" w:eastAsia="Garamond" w:hAnsi="Times New Roman" w:cs="Times New Roman"/>
          <w:color w:val="000000" w:themeColor="text1"/>
          <w:sz w:val="24"/>
          <w:szCs w:val="24"/>
        </w:rPr>
        <w:t xml:space="preserve">led to opening up of forest areas for </w:t>
      </w:r>
      <w:r w:rsidR="005419B8" w:rsidRPr="00191ACB">
        <w:rPr>
          <w:rFonts w:ascii="Times New Roman" w:eastAsia="Garamond" w:hAnsi="Times New Roman" w:cs="Times New Roman"/>
          <w:color w:val="000000" w:themeColor="text1"/>
          <w:sz w:val="24"/>
          <w:szCs w:val="24"/>
        </w:rPr>
        <w:t xml:space="preserve">infrastructure </w:t>
      </w:r>
      <w:r w:rsidR="00165F56" w:rsidRPr="00191ACB">
        <w:rPr>
          <w:rFonts w:ascii="Times New Roman" w:eastAsia="Garamond" w:hAnsi="Times New Roman" w:cs="Times New Roman"/>
          <w:color w:val="000000" w:themeColor="text1"/>
          <w:sz w:val="24"/>
          <w:szCs w:val="24"/>
        </w:rPr>
        <w:t>development</w:t>
      </w:r>
      <w:r w:rsidRPr="00191ACB">
        <w:rPr>
          <w:rFonts w:ascii="Times New Roman" w:eastAsia="Garamond" w:hAnsi="Times New Roman" w:cs="Times New Roman"/>
          <w:color w:val="000000" w:themeColor="text1"/>
          <w:sz w:val="24"/>
          <w:szCs w:val="24"/>
        </w:rPr>
        <w:t xml:space="preserve">. </w:t>
      </w:r>
      <w:r w:rsidR="00165F56" w:rsidRPr="00191ACB">
        <w:rPr>
          <w:rFonts w:ascii="Times New Roman" w:eastAsia="Garamond" w:hAnsi="Times New Roman" w:cs="Times New Roman"/>
          <w:color w:val="000000" w:themeColor="text1"/>
          <w:sz w:val="24"/>
          <w:szCs w:val="24"/>
        </w:rPr>
        <w:t>M</w:t>
      </w:r>
      <w:r w:rsidRPr="00191ACB">
        <w:rPr>
          <w:rFonts w:ascii="Times New Roman" w:eastAsia="Garamond" w:hAnsi="Times New Roman" w:cs="Times New Roman"/>
          <w:color w:val="000000" w:themeColor="text1"/>
          <w:sz w:val="24"/>
          <w:szCs w:val="24"/>
        </w:rPr>
        <w:t xml:space="preserve">ining activities </w:t>
      </w:r>
      <w:r w:rsidR="00165F56" w:rsidRPr="00191ACB">
        <w:rPr>
          <w:rFonts w:ascii="Times New Roman" w:eastAsia="Garamond" w:hAnsi="Times New Roman" w:cs="Times New Roman"/>
          <w:color w:val="000000" w:themeColor="text1"/>
          <w:sz w:val="24"/>
          <w:szCs w:val="24"/>
        </w:rPr>
        <w:t xml:space="preserve">at </w:t>
      </w:r>
      <w:r w:rsidRPr="00191ACB">
        <w:rPr>
          <w:rFonts w:ascii="Times New Roman" w:eastAsia="Garamond" w:hAnsi="Times New Roman" w:cs="Times New Roman"/>
          <w:color w:val="000000" w:themeColor="text1"/>
          <w:sz w:val="24"/>
          <w:szCs w:val="24"/>
        </w:rPr>
        <w:t xml:space="preserve">both </w:t>
      </w:r>
      <w:r w:rsidR="00165F56" w:rsidRPr="00191ACB">
        <w:rPr>
          <w:rFonts w:ascii="Times New Roman" w:eastAsia="Garamond" w:hAnsi="Times New Roman" w:cs="Times New Roman"/>
          <w:color w:val="000000" w:themeColor="text1"/>
          <w:sz w:val="24"/>
          <w:szCs w:val="24"/>
        </w:rPr>
        <w:t xml:space="preserve">small- and large-scale levels have also </w:t>
      </w:r>
      <w:r w:rsidRPr="00191ACB">
        <w:rPr>
          <w:rFonts w:ascii="Times New Roman" w:eastAsia="Garamond" w:hAnsi="Times New Roman" w:cs="Times New Roman"/>
          <w:color w:val="000000" w:themeColor="text1"/>
          <w:sz w:val="24"/>
          <w:szCs w:val="24"/>
        </w:rPr>
        <w:t>contributed to forest cover loss</w:t>
      </w:r>
      <w:r w:rsidR="00165F56" w:rsidRPr="00191ACB">
        <w:rPr>
          <w:rFonts w:ascii="Times New Roman" w:eastAsia="Garamond" w:hAnsi="Times New Roman" w:cs="Times New Roman"/>
          <w:color w:val="000000" w:themeColor="text1"/>
          <w:sz w:val="24"/>
          <w:szCs w:val="24"/>
        </w:rPr>
        <w:t xml:space="preserve"> due to expansion of mining activities particularly </w:t>
      </w:r>
      <w:r w:rsidRPr="00191ACB">
        <w:rPr>
          <w:rFonts w:ascii="Times New Roman" w:eastAsia="Garamond" w:hAnsi="Times New Roman" w:cs="Times New Roman"/>
          <w:color w:val="000000" w:themeColor="text1"/>
          <w:sz w:val="24"/>
          <w:szCs w:val="24"/>
        </w:rPr>
        <w:t>for copper and manganese production and refining</w:t>
      </w:r>
      <w:r w:rsidR="00862B57" w:rsidRPr="00191ACB">
        <w:rPr>
          <w:rFonts w:ascii="Times New Roman" w:eastAsia="Garamond" w:hAnsi="Times New Roman" w:cs="Times New Roman"/>
          <w:color w:val="000000" w:themeColor="text1"/>
          <w:sz w:val="24"/>
          <w:szCs w:val="24"/>
        </w:rPr>
        <w:t>.</w:t>
      </w:r>
      <w:r w:rsidRPr="00191ACB">
        <w:rPr>
          <w:rFonts w:ascii="Times New Roman" w:eastAsia="Garamond" w:hAnsi="Times New Roman" w:cs="Times New Roman"/>
          <w:color w:val="000000" w:themeColor="text1"/>
          <w:sz w:val="24"/>
          <w:szCs w:val="24"/>
        </w:rPr>
        <w:t xml:space="preserve"> The opening up of forest land for plantation</w:t>
      </w:r>
      <w:r w:rsidR="00862B57" w:rsidRPr="00191ACB">
        <w:rPr>
          <w:rFonts w:ascii="Times New Roman" w:eastAsia="Garamond" w:hAnsi="Times New Roman" w:cs="Times New Roman"/>
          <w:color w:val="000000" w:themeColor="text1"/>
          <w:sz w:val="24"/>
          <w:szCs w:val="24"/>
        </w:rPr>
        <w:t xml:space="preserve"> expansion has been </w:t>
      </w:r>
      <w:r w:rsidRPr="00191ACB">
        <w:rPr>
          <w:rFonts w:ascii="Times New Roman" w:eastAsia="Garamond" w:hAnsi="Times New Roman" w:cs="Times New Roman"/>
          <w:color w:val="000000" w:themeColor="text1"/>
          <w:sz w:val="24"/>
          <w:szCs w:val="24"/>
        </w:rPr>
        <w:t>noted as a major contributor to forest loss</w:t>
      </w:r>
      <w:r w:rsidR="00862B57" w:rsidRPr="00191ACB">
        <w:rPr>
          <w:rFonts w:ascii="Times New Roman" w:eastAsia="Garamond" w:hAnsi="Times New Roman" w:cs="Times New Roman"/>
          <w:color w:val="000000" w:themeColor="text1"/>
          <w:sz w:val="24"/>
          <w:szCs w:val="24"/>
        </w:rPr>
        <w:t xml:space="preserve">. However, the loss is compensated by the established plantations. </w:t>
      </w:r>
    </w:p>
    <w:p w14:paraId="67FD06EF" w14:textId="5F774C10" w:rsidR="004C223F" w:rsidRPr="00191ACB" w:rsidRDefault="004C223F" w:rsidP="00F04D87">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 xml:space="preserve">Forest fires play a major role in the perpetuation of the forest ecosystems through enhanced regeneration of various species. However, late forest fire is another cause of forest degradation as it normally disturbs even the regenerating saplings as well as the forest ecosystem as a whole. The forest fires usually occur as a result of poor fire management schedules or plans. It has however been noted that most of the fires that have been occurring are as a result traditional practices such as late burning regimes in </w:t>
      </w:r>
      <w:r w:rsidR="005F3E60" w:rsidRPr="00191ACB">
        <w:rPr>
          <w:rFonts w:ascii="Times New Roman" w:eastAsia="Garamond" w:hAnsi="Times New Roman" w:cs="Times New Roman"/>
          <w:color w:val="000000" w:themeColor="text1"/>
          <w:sz w:val="24"/>
          <w:szCs w:val="24"/>
        </w:rPr>
        <w:t>most regions of the country</w:t>
      </w:r>
      <w:r w:rsidRPr="00191ACB">
        <w:rPr>
          <w:rFonts w:ascii="Times New Roman" w:eastAsia="Garamond" w:hAnsi="Times New Roman" w:cs="Times New Roman"/>
          <w:color w:val="000000" w:themeColor="text1"/>
          <w:sz w:val="24"/>
          <w:szCs w:val="24"/>
        </w:rPr>
        <w:t xml:space="preserve"> to allow for the collection of thatching grass</w:t>
      </w:r>
      <w:r w:rsidR="005F3E60" w:rsidRPr="00191ACB">
        <w:rPr>
          <w:rFonts w:ascii="Times New Roman" w:eastAsia="Garamond" w:hAnsi="Times New Roman" w:cs="Times New Roman"/>
          <w:color w:val="000000" w:themeColor="text1"/>
          <w:sz w:val="24"/>
          <w:szCs w:val="24"/>
        </w:rPr>
        <w:t xml:space="preserve">, </w:t>
      </w:r>
      <w:r w:rsidRPr="00191ACB">
        <w:rPr>
          <w:rFonts w:ascii="Times New Roman" w:eastAsia="Garamond" w:hAnsi="Times New Roman" w:cs="Times New Roman"/>
          <w:color w:val="000000" w:themeColor="text1"/>
          <w:sz w:val="24"/>
          <w:szCs w:val="24"/>
        </w:rPr>
        <w:t>caterpillars breed</w:t>
      </w:r>
      <w:r w:rsidR="005F3E60" w:rsidRPr="00191ACB">
        <w:rPr>
          <w:rFonts w:ascii="Times New Roman" w:eastAsia="Garamond" w:hAnsi="Times New Roman" w:cs="Times New Roman"/>
          <w:color w:val="000000" w:themeColor="text1"/>
          <w:sz w:val="24"/>
          <w:szCs w:val="24"/>
        </w:rPr>
        <w:t>ing and hunting</w:t>
      </w:r>
      <w:r w:rsidRPr="00191ACB">
        <w:rPr>
          <w:rFonts w:ascii="Times New Roman" w:eastAsia="Garamond" w:hAnsi="Times New Roman" w:cs="Times New Roman"/>
          <w:color w:val="000000" w:themeColor="text1"/>
          <w:sz w:val="24"/>
          <w:szCs w:val="24"/>
        </w:rPr>
        <w:t xml:space="preserve">. </w:t>
      </w:r>
    </w:p>
    <w:p w14:paraId="70FFE0C1" w14:textId="57AC615E" w:rsidR="004C223F" w:rsidRPr="00191ACB" w:rsidRDefault="004C223F" w:rsidP="00F04D87">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 xml:space="preserve">Zambia’s classification scheme for the National Land Cover Datasets (NLCD) is the main input dataset for AFOLU and was developed to provide baseline data for the </w:t>
      </w:r>
      <w:r w:rsidR="005F3E60" w:rsidRPr="00191ACB">
        <w:rPr>
          <w:rFonts w:ascii="Times New Roman" w:eastAsia="Garamond" w:hAnsi="Times New Roman" w:cs="Times New Roman"/>
          <w:color w:val="000000" w:themeColor="text1"/>
          <w:sz w:val="24"/>
          <w:szCs w:val="24"/>
        </w:rPr>
        <w:t>L</w:t>
      </w:r>
      <w:r w:rsidRPr="00191ACB">
        <w:rPr>
          <w:rFonts w:ascii="Times New Roman" w:eastAsia="Garamond" w:hAnsi="Times New Roman" w:cs="Times New Roman"/>
          <w:color w:val="000000" w:themeColor="text1"/>
          <w:sz w:val="24"/>
          <w:szCs w:val="24"/>
        </w:rPr>
        <w:t>and</w:t>
      </w:r>
      <w:r w:rsidR="005F3E60" w:rsidRPr="00191ACB">
        <w:rPr>
          <w:rFonts w:ascii="Times New Roman" w:eastAsia="Garamond" w:hAnsi="Times New Roman" w:cs="Times New Roman"/>
          <w:color w:val="000000" w:themeColor="text1"/>
          <w:sz w:val="24"/>
          <w:szCs w:val="24"/>
        </w:rPr>
        <w:t>-u</w:t>
      </w:r>
      <w:r w:rsidRPr="00191ACB">
        <w:rPr>
          <w:rFonts w:ascii="Times New Roman" w:eastAsia="Garamond" w:hAnsi="Times New Roman" w:cs="Times New Roman"/>
          <w:color w:val="000000" w:themeColor="text1"/>
          <w:sz w:val="24"/>
          <w:szCs w:val="24"/>
        </w:rPr>
        <w:t xml:space="preserve">se, </w:t>
      </w:r>
      <w:r w:rsidR="005F3E60" w:rsidRPr="00191ACB">
        <w:rPr>
          <w:rFonts w:ascii="Times New Roman" w:eastAsia="Garamond" w:hAnsi="Times New Roman" w:cs="Times New Roman"/>
          <w:color w:val="000000" w:themeColor="text1"/>
          <w:sz w:val="24"/>
          <w:szCs w:val="24"/>
        </w:rPr>
        <w:t>L</w:t>
      </w:r>
      <w:r w:rsidRPr="00191ACB">
        <w:rPr>
          <w:rFonts w:ascii="Times New Roman" w:eastAsia="Garamond" w:hAnsi="Times New Roman" w:cs="Times New Roman"/>
          <w:color w:val="000000" w:themeColor="text1"/>
          <w:sz w:val="24"/>
          <w:szCs w:val="24"/>
        </w:rPr>
        <w:t xml:space="preserve">and-use </w:t>
      </w:r>
      <w:r w:rsidR="005F3E60" w:rsidRPr="00191ACB">
        <w:rPr>
          <w:rFonts w:ascii="Times New Roman" w:eastAsia="Garamond" w:hAnsi="Times New Roman" w:cs="Times New Roman"/>
          <w:color w:val="000000" w:themeColor="text1"/>
          <w:sz w:val="24"/>
          <w:szCs w:val="24"/>
        </w:rPr>
        <w:t>C</w:t>
      </w:r>
      <w:r w:rsidRPr="00191ACB">
        <w:rPr>
          <w:rFonts w:ascii="Times New Roman" w:eastAsia="Garamond" w:hAnsi="Times New Roman" w:cs="Times New Roman"/>
          <w:color w:val="000000" w:themeColor="text1"/>
          <w:sz w:val="24"/>
          <w:szCs w:val="24"/>
        </w:rPr>
        <w:t xml:space="preserve">hange and </w:t>
      </w:r>
      <w:r w:rsidR="005F3E60" w:rsidRPr="00191ACB">
        <w:rPr>
          <w:rFonts w:ascii="Times New Roman" w:eastAsia="Garamond" w:hAnsi="Times New Roman" w:cs="Times New Roman"/>
          <w:color w:val="000000" w:themeColor="text1"/>
          <w:sz w:val="24"/>
          <w:szCs w:val="24"/>
        </w:rPr>
        <w:t>F</w:t>
      </w:r>
      <w:r w:rsidRPr="00191ACB">
        <w:rPr>
          <w:rFonts w:ascii="Times New Roman" w:eastAsia="Garamond" w:hAnsi="Times New Roman" w:cs="Times New Roman"/>
          <w:color w:val="000000" w:themeColor="text1"/>
          <w:sz w:val="24"/>
          <w:szCs w:val="24"/>
        </w:rPr>
        <w:t>orestry (LULUCF) for GHG monitoring. This resource has multiple applications, including reporting on the annualized deforestation rate for the country, updating the vegetation cover, protected forest areas, deriving and formulating land use plans amongst others.</w:t>
      </w:r>
    </w:p>
    <w:p w14:paraId="7035D8B0" w14:textId="66464483" w:rsidR="004C223F" w:rsidRPr="00191ACB" w:rsidRDefault="004C223F" w:rsidP="00F04D87">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The classification scheme with six land-use categories/land cover classes based on the 2006 IPCC Guidelines were used. These include: forest land, cropland, grassland, wetlands, settlements, and other land</w:t>
      </w:r>
      <w:r w:rsidR="008A21F3" w:rsidRPr="00191ACB">
        <w:rPr>
          <w:rFonts w:ascii="Times New Roman" w:eastAsia="Garamond" w:hAnsi="Times New Roman" w:cs="Times New Roman"/>
          <w:color w:val="000000" w:themeColor="text1"/>
          <w:sz w:val="24"/>
          <w:szCs w:val="24"/>
        </w:rPr>
        <w:t xml:space="preserve"> </w:t>
      </w:r>
      <w:r w:rsidRPr="00191ACB">
        <w:rPr>
          <w:rFonts w:ascii="Times New Roman" w:eastAsia="Garamond" w:hAnsi="Times New Roman" w:cs="Times New Roman"/>
          <w:color w:val="000000" w:themeColor="text1"/>
          <w:sz w:val="24"/>
          <w:szCs w:val="24"/>
        </w:rPr>
        <w:t xml:space="preserve">(Table </w:t>
      </w:r>
      <w:r w:rsidR="00C77F0F" w:rsidRPr="00191ACB">
        <w:rPr>
          <w:rFonts w:ascii="Times New Roman" w:eastAsia="Garamond" w:hAnsi="Times New Roman" w:cs="Times New Roman"/>
          <w:color w:val="000000" w:themeColor="text1"/>
          <w:sz w:val="24"/>
          <w:szCs w:val="24"/>
        </w:rPr>
        <w:t>3.9</w:t>
      </w:r>
      <w:r w:rsidRPr="00191ACB">
        <w:rPr>
          <w:rFonts w:ascii="Times New Roman" w:eastAsia="Garamond" w:hAnsi="Times New Roman" w:cs="Times New Roman"/>
          <w:color w:val="000000" w:themeColor="text1"/>
          <w:sz w:val="24"/>
          <w:szCs w:val="24"/>
        </w:rPr>
        <w:t xml:space="preserve">). Each land-use category was further subdivided into land remaining in that category, such as Forest Land Remaining Forest Land </w:t>
      </w:r>
      <w:r w:rsidR="0097005B" w:rsidRPr="00191ACB">
        <w:rPr>
          <w:rFonts w:ascii="Times New Roman" w:eastAsia="Garamond" w:hAnsi="Times New Roman" w:cs="Times New Roman"/>
          <w:color w:val="000000" w:themeColor="text1"/>
          <w:sz w:val="24"/>
          <w:szCs w:val="24"/>
        </w:rPr>
        <w:t>and</w:t>
      </w:r>
      <w:r w:rsidRPr="00191ACB">
        <w:rPr>
          <w:rFonts w:ascii="Times New Roman" w:eastAsia="Garamond" w:hAnsi="Times New Roman" w:cs="Times New Roman"/>
          <w:color w:val="000000" w:themeColor="text1"/>
          <w:sz w:val="24"/>
          <w:szCs w:val="24"/>
        </w:rPr>
        <w:t xml:space="preserve"> land converted from one category to another e.g., Forest Land converted to Cropland was another subdivision for the estimation of </w:t>
      </w:r>
      <w:r w:rsidR="0097005B" w:rsidRPr="00191ACB">
        <w:rPr>
          <w:rFonts w:ascii="Times New Roman" w:eastAsia="Garamond" w:hAnsi="Times New Roman" w:cs="Times New Roman"/>
          <w:color w:val="000000" w:themeColor="text1"/>
          <w:sz w:val="24"/>
          <w:szCs w:val="24"/>
        </w:rPr>
        <w:t>carbon</w:t>
      </w:r>
      <w:r w:rsidRPr="00191ACB">
        <w:rPr>
          <w:rFonts w:ascii="Times New Roman" w:eastAsia="Garamond" w:hAnsi="Times New Roman" w:cs="Times New Roman"/>
          <w:color w:val="000000" w:themeColor="text1"/>
          <w:sz w:val="24"/>
          <w:szCs w:val="24"/>
        </w:rPr>
        <w:t xml:space="preserve"> stock changes. The total CO</w:t>
      </w:r>
      <w:r w:rsidRPr="00191ACB">
        <w:rPr>
          <w:rFonts w:ascii="Times New Roman" w:eastAsia="Garamond" w:hAnsi="Times New Roman" w:cs="Times New Roman"/>
          <w:color w:val="000000" w:themeColor="text1"/>
          <w:sz w:val="24"/>
          <w:szCs w:val="24"/>
          <w:vertAlign w:val="subscript"/>
        </w:rPr>
        <w:t>2</w:t>
      </w:r>
      <w:r w:rsidRPr="00191ACB">
        <w:rPr>
          <w:rFonts w:ascii="Times New Roman" w:eastAsia="Garamond" w:hAnsi="Times New Roman" w:cs="Times New Roman"/>
          <w:color w:val="000000" w:themeColor="text1"/>
          <w:sz w:val="24"/>
          <w:szCs w:val="24"/>
        </w:rPr>
        <w:t xml:space="preserve"> emissions/removals from </w:t>
      </w:r>
      <w:r w:rsidR="0097005B" w:rsidRPr="00191ACB">
        <w:rPr>
          <w:rFonts w:ascii="Times New Roman" w:eastAsia="Garamond" w:hAnsi="Times New Roman" w:cs="Times New Roman"/>
          <w:color w:val="000000" w:themeColor="text1"/>
          <w:sz w:val="24"/>
          <w:szCs w:val="24"/>
        </w:rPr>
        <w:t>carbon</w:t>
      </w:r>
      <w:r w:rsidRPr="00191ACB">
        <w:rPr>
          <w:rFonts w:ascii="Times New Roman" w:eastAsia="Garamond" w:hAnsi="Times New Roman" w:cs="Times New Roman"/>
          <w:color w:val="000000" w:themeColor="text1"/>
          <w:sz w:val="24"/>
          <w:szCs w:val="24"/>
        </w:rPr>
        <w:t xml:space="preserve"> stock changes for each L</w:t>
      </w:r>
      <w:r w:rsidR="0097005B" w:rsidRPr="00191ACB">
        <w:rPr>
          <w:rFonts w:ascii="Times New Roman" w:eastAsia="Garamond" w:hAnsi="Times New Roman" w:cs="Times New Roman"/>
          <w:color w:val="000000" w:themeColor="text1"/>
          <w:sz w:val="24"/>
          <w:szCs w:val="24"/>
        </w:rPr>
        <w:t>and-use</w:t>
      </w:r>
      <w:r w:rsidRPr="00191ACB">
        <w:rPr>
          <w:rFonts w:ascii="Times New Roman" w:eastAsia="Garamond" w:hAnsi="Times New Roman" w:cs="Times New Roman"/>
          <w:color w:val="000000" w:themeColor="text1"/>
          <w:sz w:val="24"/>
          <w:szCs w:val="24"/>
        </w:rPr>
        <w:t xml:space="preserve"> category is the sum of these two subcategories.</w:t>
      </w:r>
    </w:p>
    <w:p w14:paraId="12B3DA4D" w14:textId="5614D117" w:rsidR="00730AF7" w:rsidRPr="00191ACB" w:rsidRDefault="00730AF7" w:rsidP="00730AF7">
      <w:pPr>
        <w:spacing w:after="120" w:line="240" w:lineRule="auto"/>
        <w:jc w:val="both"/>
        <w:rPr>
          <w:rFonts w:ascii="Times New Roman" w:eastAsia="Garamond" w:hAnsi="Times New Roman" w:cs="Times New Roman"/>
          <w:color w:val="000000" w:themeColor="text1"/>
          <w:sz w:val="24"/>
          <w:szCs w:val="24"/>
        </w:rPr>
      </w:pPr>
    </w:p>
    <w:p w14:paraId="77A634B2" w14:textId="3F745D27" w:rsidR="00730AF7" w:rsidRPr="00191ACB" w:rsidRDefault="00730AF7">
      <w:pPr>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br w:type="page"/>
      </w:r>
    </w:p>
    <w:p w14:paraId="54084745" w14:textId="54863D06" w:rsidR="004C223F" w:rsidRPr="00191ACB" w:rsidRDefault="00C77F0F" w:rsidP="00C77F0F">
      <w:pPr>
        <w:pStyle w:val="Caption"/>
        <w:rPr>
          <w:rFonts w:eastAsia="Garamond"/>
          <w:color w:val="000000" w:themeColor="text1"/>
          <w:sz w:val="24"/>
          <w:szCs w:val="24"/>
        </w:rPr>
      </w:pPr>
      <w:bookmarkStart w:id="182" w:name="_3x8tuzt" w:colFirst="0" w:colLast="0"/>
      <w:bookmarkStart w:id="183" w:name="_Toc56583770"/>
      <w:bookmarkEnd w:id="182"/>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9</w:t>
      </w:r>
      <w:r w:rsidR="00875942">
        <w:rPr>
          <w:sz w:val="24"/>
          <w:szCs w:val="24"/>
        </w:rPr>
        <w:fldChar w:fldCharType="end"/>
      </w:r>
      <w:r w:rsidRPr="00191ACB">
        <w:rPr>
          <w:sz w:val="24"/>
          <w:szCs w:val="24"/>
        </w:rPr>
        <w:t>:Land cover classification scheme</w:t>
      </w:r>
      <w:bookmarkEnd w:id="183"/>
    </w:p>
    <w:tbl>
      <w:tblPr>
        <w:tblW w:w="924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26"/>
        <w:gridCol w:w="1417"/>
        <w:gridCol w:w="7399"/>
      </w:tblGrid>
      <w:tr w:rsidR="003C6D42" w:rsidRPr="00191ACB" w14:paraId="1177988E" w14:textId="77777777" w:rsidTr="003C6D42">
        <w:trPr>
          <w:trHeight w:val="427"/>
        </w:trPr>
        <w:tc>
          <w:tcPr>
            <w:tcW w:w="426" w:type="dxa"/>
          </w:tcPr>
          <w:p w14:paraId="5CA2FC6E"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1417" w:type="dxa"/>
            <w:shd w:val="clear" w:color="auto" w:fill="auto"/>
            <w:tcMar>
              <w:top w:w="100" w:type="dxa"/>
              <w:left w:w="100" w:type="dxa"/>
              <w:bottom w:w="100" w:type="dxa"/>
              <w:right w:w="100" w:type="dxa"/>
            </w:tcMar>
          </w:tcPr>
          <w:p w14:paraId="73BAE40C"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Land cover categories</w:t>
            </w:r>
          </w:p>
        </w:tc>
        <w:tc>
          <w:tcPr>
            <w:tcW w:w="7399" w:type="dxa"/>
            <w:shd w:val="clear" w:color="auto" w:fill="auto"/>
            <w:tcMar>
              <w:top w:w="100" w:type="dxa"/>
              <w:left w:w="100" w:type="dxa"/>
              <w:bottom w:w="100" w:type="dxa"/>
              <w:right w:w="100" w:type="dxa"/>
            </w:tcMar>
          </w:tcPr>
          <w:p w14:paraId="63CB8343"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National land cover descriptions</w:t>
            </w:r>
          </w:p>
        </w:tc>
      </w:tr>
      <w:tr w:rsidR="003C6D42" w:rsidRPr="00191ACB" w14:paraId="687929E6" w14:textId="77777777" w:rsidTr="003C6D42">
        <w:trPr>
          <w:trHeight w:val="446"/>
        </w:trPr>
        <w:tc>
          <w:tcPr>
            <w:tcW w:w="426" w:type="dxa"/>
          </w:tcPr>
          <w:p w14:paraId="342432B0"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w:t>
            </w:r>
          </w:p>
        </w:tc>
        <w:tc>
          <w:tcPr>
            <w:tcW w:w="1417" w:type="dxa"/>
            <w:shd w:val="clear" w:color="auto" w:fill="auto"/>
            <w:tcMar>
              <w:top w:w="100" w:type="dxa"/>
              <w:left w:w="100" w:type="dxa"/>
              <w:bottom w:w="100" w:type="dxa"/>
              <w:right w:w="100" w:type="dxa"/>
            </w:tcMar>
          </w:tcPr>
          <w:p w14:paraId="6BB95F21"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Settlements</w:t>
            </w:r>
          </w:p>
        </w:tc>
        <w:tc>
          <w:tcPr>
            <w:tcW w:w="7399" w:type="dxa"/>
            <w:shd w:val="clear" w:color="auto" w:fill="auto"/>
            <w:tcMar>
              <w:top w:w="100" w:type="dxa"/>
              <w:left w:w="100" w:type="dxa"/>
              <w:bottom w:w="100" w:type="dxa"/>
              <w:right w:w="100" w:type="dxa"/>
            </w:tcMar>
          </w:tcPr>
          <w:p w14:paraId="418362FC"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Land covered mainly by densely populated and organized or irregular settlement patterns surrounding cities, towns, chiefdoms and rural centres commonly referred to as urban and rural built-up areas.</w:t>
            </w:r>
          </w:p>
        </w:tc>
      </w:tr>
      <w:tr w:rsidR="003C6D42" w:rsidRPr="00191ACB" w14:paraId="6D5BED1A" w14:textId="77777777" w:rsidTr="003C6D42">
        <w:trPr>
          <w:trHeight w:val="57"/>
        </w:trPr>
        <w:tc>
          <w:tcPr>
            <w:tcW w:w="426" w:type="dxa"/>
          </w:tcPr>
          <w:p w14:paraId="0B4939EB"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2</w:t>
            </w:r>
          </w:p>
        </w:tc>
        <w:tc>
          <w:tcPr>
            <w:tcW w:w="1417" w:type="dxa"/>
            <w:shd w:val="clear" w:color="auto" w:fill="auto"/>
            <w:tcMar>
              <w:top w:w="100" w:type="dxa"/>
              <w:left w:w="100" w:type="dxa"/>
              <w:bottom w:w="100" w:type="dxa"/>
              <w:right w:w="100" w:type="dxa"/>
            </w:tcMar>
          </w:tcPr>
          <w:p w14:paraId="133FAC4A"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Cropland</w:t>
            </w:r>
          </w:p>
        </w:tc>
        <w:tc>
          <w:tcPr>
            <w:tcW w:w="7399" w:type="dxa"/>
            <w:shd w:val="clear" w:color="auto" w:fill="auto"/>
            <w:tcMar>
              <w:top w:w="100" w:type="dxa"/>
              <w:left w:w="100" w:type="dxa"/>
              <w:bottom w:w="100" w:type="dxa"/>
              <w:right w:w="100" w:type="dxa"/>
            </w:tcMar>
          </w:tcPr>
          <w:p w14:paraId="0CC1440A"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Land actively used to grow agriculture (annual and perennial) crops which may be irrigated or rain-feed for commercial, peasant and small scale farms around urban and rural settlements</w:t>
            </w:r>
          </w:p>
        </w:tc>
      </w:tr>
      <w:tr w:rsidR="003C6D42" w:rsidRPr="00191ACB" w14:paraId="62AB41CD" w14:textId="77777777" w:rsidTr="003C6D42">
        <w:trPr>
          <w:trHeight w:val="57"/>
        </w:trPr>
        <w:tc>
          <w:tcPr>
            <w:tcW w:w="426" w:type="dxa"/>
          </w:tcPr>
          <w:p w14:paraId="7AA3E47F"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3</w:t>
            </w:r>
          </w:p>
        </w:tc>
        <w:tc>
          <w:tcPr>
            <w:tcW w:w="1417" w:type="dxa"/>
            <w:shd w:val="clear" w:color="auto" w:fill="auto"/>
            <w:tcMar>
              <w:top w:w="100" w:type="dxa"/>
              <w:left w:w="100" w:type="dxa"/>
              <w:bottom w:w="100" w:type="dxa"/>
              <w:right w:w="100" w:type="dxa"/>
            </w:tcMar>
          </w:tcPr>
          <w:p w14:paraId="7C81C542"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Grassland</w:t>
            </w:r>
          </w:p>
        </w:tc>
        <w:tc>
          <w:tcPr>
            <w:tcW w:w="7399" w:type="dxa"/>
            <w:shd w:val="clear" w:color="auto" w:fill="auto"/>
            <w:tcMar>
              <w:top w:w="100" w:type="dxa"/>
              <w:left w:w="100" w:type="dxa"/>
              <w:bottom w:w="100" w:type="dxa"/>
              <w:right w:w="100" w:type="dxa"/>
            </w:tcMar>
          </w:tcPr>
          <w:p w14:paraId="19796F30"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Land that includes wooded rangeland that may be covered mainly by grasslands, plains, dambos, pans found along major river basins and water channels.</w:t>
            </w:r>
          </w:p>
        </w:tc>
      </w:tr>
      <w:tr w:rsidR="003C6D42" w:rsidRPr="00191ACB" w14:paraId="5ECB2771" w14:textId="77777777" w:rsidTr="003C6D42">
        <w:trPr>
          <w:trHeight w:val="57"/>
        </w:trPr>
        <w:tc>
          <w:tcPr>
            <w:tcW w:w="426" w:type="dxa"/>
          </w:tcPr>
          <w:p w14:paraId="5F084C9B"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4</w:t>
            </w:r>
          </w:p>
        </w:tc>
        <w:tc>
          <w:tcPr>
            <w:tcW w:w="1417" w:type="dxa"/>
            <w:shd w:val="clear" w:color="auto" w:fill="auto"/>
            <w:tcMar>
              <w:top w:w="100" w:type="dxa"/>
              <w:left w:w="100" w:type="dxa"/>
              <w:bottom w:w="100" w:type="dxa"/>
              <w:right w:w="100" w:type="dxa"/>
            </w:tcMar>
          </w:tcPr>
          <w:p w14:paraId="5C6FCF2B"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Forests</w:t>
            </w:r>
          </w:p>
        </w:tc>
        <w:tc>
          <w:tcPr>
            <w:tcW w:w="7399" w:type="dxa"/>
            <w:shd w:val="clear" w:color="auto" w:fill="auto"/>
            <w:tcMar>
              <w:top w:w="100" w:type="dxa"/>
              <w:left w:w="100" w:type="dxa"/>
              <w:bottom w:w="100" w:type="dxa"/>
              <w:right w:w="100" w:type="dxa"/>
            </w:tcMar>
          </w:tcPr>
          <w:p w14:paraId="486B7DEF"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This is land covered both by natural and planted forest meeting the threshold of 10% canopy cover growing over a minimum area of 0.5 ha with trees growing above 5m height.</w:t>
            </w:r>
          </w:p>
        </w:tc>
      </w:tr>
      <w:tr w:rsidR="003C6D42" w:rsidRPr="00191ACB" w14:paraId="4926DBE7" w14:textId="77777777" w:rsidTr="003C6D42">
        <w:trPr>
          <w:trHeight w:val="57"/>
        </w:trPr>
        <w:tc>
          <w:tcPr>
            <w:tcW w:w="426" w:type="dxa"/>
          </w:tcPr>
          <w:p w14:paraId="32B5104A"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5</w:t>
            </w:r>
          </w:p>
        </w:tc>
        <w:tc>
          <w:tcPr>
            <w:tcW w:w="1417" w:type="dxa"/>
            <w:shd w:val="clear" w:color="auto" w:fill="auto"/>
            <w:tcMar>
              <w:top w:w="100" w:type="dxa"/>
              <w:left w:w="100" w:type="dxa"/>
              <w:bottom w:w="100" w:type="dxa"/>
              <w:right w:w="100" w:type="dxa"/>
            </w:tcMar>
          </w:tcPr>
          <w:p w14:paraId="673EB27C"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Wetlands</w:t>
            </w:r>
          </w:p>
        </w:tc>
        <w:tc>
          <w:tcPr>
            <w:tcW w:w="7399" w:type="dxa"/>
            <w:shd w:val="clear" w:color="auto" w:fill="auto"/>
            <w:tcMar>
              <w:top w:w="100" w:type="dxa"/>
              <w:left w:w="100" w:type="dxa"/>
              <w:bottom w:w="100" w:type="dxa"/>
              <w:right w:w="100" w:type="dxa"/>
            </w:tcMar>
          </w:tcPr>
          <w:p w14:paraId="6B522373"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Land which is waterlogged, may be wooded such as marshland, perennial flooded plains and swampy areas (surface water bodies included).</w:t>
            </w:r>
          </w:p>
        </w:tc>
      </w:tr>
      <w:tr w:rsidR="003C6D42" w:rsidRPr="00191ACB" w14:paraId="73929CE8" w14:textId="77777777" w:rsidTr="003C6D42">
        <w:trPr>
          <w:trHeight w:val="57"/>
        </w:trPr>
        <w:tc>
          <w:tcPr>
            <w:tcW w:w="426" w:type="dxa"/>
          </w:tcPr>
          <w:p w14:paraId="72CF00C3"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6</w:t>
            </w:r>
          </w:p>
        </w:tc>
        <w:tc>
          <w:tcPr>
            <w:tcW w:w="1417" w:type="dxa"/>
            <w:shd w:val="clear" w:color="auto" w:fill="auto"/>
            <w:tcMar>
              <w:top w:w="100" w:type="dxa"/>
              <w:left w:w="100" w:type="dxa"/>
              <w:bottom w:w="100" w:type="dxa"/>
              <w:right w:w="100" w:type="dxa"/>
            </w:tcMar>
          </w:tcPr>
          <w:p w14:paraId="0A5D1C80"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Other land</w:t>
            </w:r>
          </w:p>
        </w:tc>
        <w:tc>
          <w:tcPr>
            <w:tcW w:w="7399" w:type="dxa"/>
            <w:shd w:val="clear" w:color="auto" w:fill="auto"/>
            <w:tcMar>
              <w:top w:w="100" w:type="dxa"/>
              <w:left w:w="100" w:type="dxa"/>
              <w:bottom w:w="100" w:type="dxa"/>
              <w:right w:w="100" w:type="dxa"/>
            </w:tcMar>
          </w:tcPr>
          <w:p w14:paraId="311AFE18"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Barren land covered by natural bare earth / soil such as sandy dunes, beach sand, rocky outcrops and may include old open quarry sites for mines and related infrastructure outside settlements.</w:t>
            </w:r>
          </w:p>
        </w:tc>
      </w:tr>
    </w:tbl>
    <w:p w14:paraId="5A9A6757" w14:textId="77777777" w:rsidR="004C223F" w:rsidRPr="00191ACB" w:rsidRDefault="004C223F" w:rsidP="004C223F">
      <w:pPr>
        <w:spacing w:line="360" w:lineRule="auto"/>
        <w:jc w:val="both"/>
        <w:rPr>
          <w:rFonts w:ascii="Times New Roman" w:eastAsia="Garamond" w:hAnsi="Times New Roman" w:cs="Times New Roman"/>
          <w:i/>
          <w:color w:val="000000" w:themeColor="text1"/>
          <w:sz w:val="24"/>
          <w:szCs w:val="24"/>
        </w:rPr>
      </w:pPr>
      <w:r w:rsidRPr="00191ACB">
        <w:rPr>
          <w:rFonts w:ascii="Times New Roman" w:eastAsia="Garamond" w:hAnsi="Times New Roman" w:cs="Times New Roman"/>
          <w:i/>
          <w:color w:val="000000" w:themeColor="text1"/>
          <w:sz w:val="24"/>
          <w:szCs w:val="24"/>
        </w:rPr>
        <w:t>Adapted from ILUAII, 2016</w:t>
      </w:r>
    </w:p>
    <w:p w14:paraId="491AD371" w14:textId="77777777" w:rsidR="004C223F" w:rsidRPr="00191ACB" w:rsidRDefault="004C223F" w:rsidP="00F04D87">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The GHGi for the forest subcategory of the AFOLU sector covers all CO</w:t>
      </w:r>
      <w:r w:rsidRPr="00191ACB">
        <w:rPr>
          <w:rFonts w:ascii="Times New Roman" w:eastAsia="Garamond" w:hAnsi="Times New Roman" w:cs="Times New Roman"/>
          <w:color w:val="000000" w:themeColor="text1"/>
          <w:sz w:val="24"/>
          <w:szCs w:val="24"/>
          <w:vertAlign w:val="subscript"/>
        </w:rPr>
        <w:t>2</w:t>
      </w:r>
      <w:r w:rsidRPr="00191ACB">
        <w:rPr>
          <w:rFonts w:ascii="Times New Roman" w:eastAsia="Garamond" w:hAnsi="Times New Roman" w:cs="Times New Roman"/>
          <w:color w:val="000000" w:themeColor="text1"/>
          <w:sz w:val="24"/>
          <w:szCs w:val="24"/>
        </w:rPr>
        <w:t xml:space="preserve"> emissions and removals due to gains and losses in the relevant carbon pools of the predefined six land-use categories, as well as non-CO</w:t>
      </w:r>
      <w:r w:rsidRPr="00191ACB">
        <w:rPr>
          <w:rFonts w:ascii="Times New Roman" w:eastAsia="Garamond" w:hAnsi="Times New Roman" w:cs="Times New Roman"/>
          <w:color w:val="000000" w:themeColor="text1"/>
          <w:sz w:val="24"/>
          <w:szCs w:val="24"/>
          <w:vertAlign w:val="subscript"/>
        </w:rPr>
        <w:t>2</w:t>
      </w:r>
      <w:r w:rsidRPr="00191ACB">
        <w:rPr>
          <w:rFonts w:ascii="Times New Roman" w:eastAsia="Garamond" w:hAnsi="Times New Roman" w:cs="Times New Roman"/>
          <w:color w:val="000000" w:themeColor="text1"/>
          <w:sz w:val="24"/>
          <w:szCs w:val="24"/>
        </w:rPr>
        <w:t xml:space="preserve"> emissions from biomass burning and disturbance associated with land-use conversions. GHG emissions estimates were based on comprehensive forestry statistical data presented in the 2016 Integrated Land Use Assessment Final Report. However, default emission factors were used to a limited extent.</w:t>
      </w:r>
    </w:p>
    <w:p w14:paraId="252E7F2D" w14:textId="46310226" w:rsidR="004C223F" w:rsidRPr="00191ACB" w:rsidRDefault="004C223F" w:rsidP="00F04D87">
      <w:pPr>
        <w:spacing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All data relating to the land areas is streamlined and reported according to the six broader forest types of Zambia in accordance with the methodology recommended by</w:t>
      </w:r>
      <w:r w:rsidR="0097005B" w:rsidRPr="00191ACB">
        <w:rPr>
          <w:rFonts w:ascii="Times New Roman" w:eastAsia="Garamond" w:hAnsi="Times New Roman" w:cs="Times New Roman"/>
          <w:color w:val="000000" w:themeColor="text1"/>
          <w:sz w:val="24"/>
          <w:szCs w:val="24"/>
        </w:rPr>
        <w:t xml:space="preserve"> 2006</w:t>
      </w:r>
      <w:r w:rsidRPr="00191ACB">
        <w:rPr>
          <w:rFonts w:ascii="Times New Roman" w:eastAsia="Garamond" w:hAnsi="Times New Roman" w:cs="Times New Roman"/>
          <w:color w:val="000000" w:themeColor="text1"/>
          <w:sz w:val="24"/>
          <w:szCs w:val="24"/>
        </w:rPr>
        <w:t xml:space="preserve"> IPCC</w:t>
      </w:r>
      <w:r w:rsidR="0097005B" w:rsidRPr="00191ACB">
        <w:rPr>
          <w:rFonts w:ascii="Times New Roman" w:eastAsia="Garamond" w:hAnsi="Times New Roman" w:cs="Times New Roman"/>
          <w:color w:val="000000" w:themeColor="text1"/>
          <w:sz w:val="24"/>
          <w:szCs w:val="24"/>
        </w:rPr>
        <w:t xml:space="preserve"> Guidelines</w:t>
      </w:r>
      <w:r w:rsidRPr="00191ACB">
        <w:rPr>
          <w:rFonts w:ascii="Times New Roman" w:eastAsia="Garamond" w:hAnsi="Times New Roman" w:cs="Times New Roman"/>
          <w:color w:val="000000" w:themeColor="text1"/>
          <w:sz w:val="24"/>
          <w:szCs w:val="24"/>
        </w:rPr>
        <w:t xml:space="preserve">. The largest vegetation type is the forest woodlands which comprises of the Kalahari, miombo, mopane and munga woodlands, of which the miombo woodlands alone covers over 60% of all the forest types in Zambia. Other vegetation types used for reporting are: dry deciduous forests; dry evergreen forests; moist evergreen forest; wooded grasslands and forest plantations (Table </w:t>
      </w:r>
      <w:r w:rsidR="00C77F0F" w:rsidRPr="00191ACB">
        <w:rPr>
          <w:rFonts w:ascii="Times New Roman" w:eastAsia="Garamond" w:hAnsi="Times New Roman" w:cs="Times New Roman"/>
          <w:color w:val="000000" w:themeColor="text1"/>
          <w:sz w:val="24"/>
          <w:szCs w:val="24"/>
        </w:rPr>
        <w:t>3.10</w:t>
      </w:r>
      <w:r w:rsidRPr="00191ACB">
        <w:rPr>
          <w:rFonts w:ascii="Times New Roman" w:eastAsia="Garamond" w:hAnsi="Times New Roman" w:cs="Times New Roman"/>
          <w:color w:val="000000" w:themeColor="text1"/>
          <w:sz w:val="24"/>
          <w:szCs w:val="24"/>
        </w:rPr>
        <w:t>). The forest plantations comprise of Broad</w:t>
      </w:r>
      <w:r w:rsidR="0097005B" w:rsidRPr="00191ACB">
        <w:rPr>
          <w:rFonts w:ascii="Times New Roman" w:eastAsia="Garamond" w:hAnsi="Times New Roman" w:cs="Times New Roman"/>
          <w:color w:val="000000" w:themeColor="text1"/>
          <w:sz w:val="24"/>
          <w:szCs w:val="24"/>
        </w:rPr>
        <w:t>-</w:t>
      </w:r>
      <w:r w:rsidRPr="00191ACB">
        <w:rPr>
          <w:rFonts w:ascii="Times New Roman" w:eastAsia="Garamond" w:hAnsi="Times New Roman" w:cs="Times New Roman"/>
          <w:color w:val="000000" w:themeColor="text1"/>
          <w:sz w:val="24"/>
          <w:szCs w:val="24"/>
        </w:rPr>
        <w:t xml:space="preserve">leaved forest plantations (Eucalyptus) and Coniferous forest plantation (Pine).  </w:t>
      </w:r>
    </w:p>
    <w:p w14:paraId="07F93B75" w14:textId="7F6AA8E1" w:rsidR="008A21F3" w:rsidRPr="00191ACB" w:rsidRDefault="008A21F3">
      <w:pPr>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br w:type="page"/>
      </w:r>
    </w:p>
    <w:p w14:paraId="03D1B51F" w14:textId="0D887D26" w:rsidR="004C223F" w:rsidRPr="00191ACB" w:rsidRDefault="00875942" w:rsidP="00875942">
      <w:pPr>
        <w:pStyle w:val="Caption"/>
        <w:rPr>
          <w:rFonts w:eastAsia="Garamond"/>
          <w:color w:val="000000" w:themeColor="text1"/>
          <w:sz w:val="24"/>
          <w:szCs w:val="24"/>
        </w:rPr>
      </w:pPr>
      <w:bookmarkStart w:id="184" w:name="_2ce457m" w:colFirst="0" w:colLast="0"/>
      <w:bookmarkEnd w:id="184"/>
      <w:r w:rsidRPr="00875942">
        <w:rPr>
          <w:sz w:val="24"/>
          <w:szCs w:val="24"/>
        </w:rPr>
        <w:lastRenderedPageBreak/>
        <w:t xml:space="preserve">Table </w:t>
      </w:r>
      <w:r w:rsidRPr="00875942">
        <w:rPr>
          <w:sz w:val="24"/>
          <w:szCs w:val="24"/>
        </w:rPr>
        <w:fldChar w:fldCharType="begin"/>
      </w:r>
      <w:r w:rsidRPr="00875942">
        <w:rPr>
          <w:sz w:val="24"/>
          <w:szCs w:val="24"/>
        </w:rPr>
        <w:instrText xml:space="preserve"> STYLEREF 1 \s </w:instrText>
      </w:r>
      <w:r w:rsidRPr="00875942">
        <w:rPr>
          <w:sz w:val="24"/>
          <w:szCs w:val="24"/>
        </w:rPr>
        <w:fldChar w:fldCharType="separate"/>
      </w:r>
      <w:r w:rsidRPr="00875942">
        <w:rPr>
          <w:noProof/>
          <w:sz w:val="24"/>
          <w:szCs w:val="24"/>
        </w:rPr>
        <w:t>3</w:t>
      </w:r>
      <w:r w:rsidRPr="00875942">
        <w:rPr>
          <w:sz w:val="24"/>
          <w:szCs w:val="24"/>
        </w:rPr>
        <w:fldChar w:fldCharType="end"/>
      </w:r>
      <w:r w:rsidRPr="00875942">
        <w:rPr>
          <w:sz w:val="24"/>
          <w:szCs w:val="24"/>
        </w:rPr>
        <w:t>.</w:t>
      </w:r>
      <w:r w:rsidRPr="00875942">
        <w:rPr>
          <w:sz w:val="24"/>
          <w:szCs w:val="24"/>
        </w:rPr>
        <w:fldChar w:fldCharType="begin"/>
      </w:r>
      <w:r w:rsidRPr="00875942">
        <w:rPr>
          <w:sz w:val="24"/>
          <w:szCs w:val="24"/>
        </w:rPr>
        <w:instrText xml:space="preserve"> SEQ Table \* ARABIC \s 1 </w:instrText>
      </w:r>
      <w:r w:rsidRPr="00875942">
        <w:rPr>
          <w:sz w:val="24"/>
          <w:szCs w:val="24"/>
        </w:rPr>
        <w:fldChar w:fldCharType="separate"/>
      </w:r>
      <w:r w:rsidRPr="00875942">
        <w:rPr>
          <w:noProof/>
          <w:sz w:val="24"/>
          <w:szCs w:val="24"/>
        </w:rPr>
        <w:t>10</w:t>
      </w:r>
      <w:r w:rsidRPr="00875942">
        <w:rPr>
          <w:sz w:val="24"/>
          <w:szCs w:val="24"/>
        </w:rPr>
        <w:fldChar w:fldCharType="end"/>
      </w:r>
      <w:r w:rsidRPr="00191ACB">
        <w:rPr>
          <w:sz w:val="24"/>
          <w:szCs w:val="24"/>
        </w:rPr>
        <w:t>:Major forest types for reporting</w:t>
      </w:r>
    </w:p>
    <w:tbl>
      <w:tblPr>
        <w:tblW w:w="9560" w:type="dxa"/>
        <w:tblInd w:w="-10" w:type="dxa"/>
        <w:tblLayout w:type="fixed"/>
        <w:tblLook w:val="0400" w:firstRow="0" w:lastRow="0" w:firstColumn="0" w:lastColumn="0" w:noHBand="0" w:noVBand="1"/>
      </w:tblPr>
      <w:tblGrid>
        <w:gridCol w:w="4100"/>
        <w:gridCol w:w="5460"/>
      </w:tblGrid>
      <w:tr w:rsidR="004C223F" w:rsidRPr="00191ACB" w14:paraId="40EE031D" w14:textId="77777777" w:rsidTr="006C1BFC">
        <w:trPr>
          <w:trHeight w:val="324"/>
          <w:tblHeader/>
        </w:trPr>
        <w:tc>
          <w:tcPr>
            <w:tcW w:w="410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F1E1C96" w14:textId="77777777" w:rsidR="004C223F" w:rsidRPr="00191ACB" w:rsidRDefault="004C223F" w:rsidP="007C135A">
            <w:pPr>
              <w:pStyle w:val="NoSpacing"/>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Major Vegetation and Other Land</w:t>
            </w:r>
          </w:p>
        </w:tc>
        <w:tc>
          <w:tcPr>
            <w:tcW w:w="5460" w:type="dxa"/>
            <w:tcBorders>
              <w:top w:val="single" w:sz="8" w:space="0" w:color="000000"/>
              <w:left w:val="nil"/>
              <w:bottom w:val="single" w:sz="8" w:space="0" w:color="000000"/>
              <w:right w:val="single" w:sz="8" w:space="0" w:color="000000"/>
            </w:tcBorders>
            <w:shd w:val="clear" w:color="auto" w:fill="auto"/>
            <w:vAlign w:val="center"/>
          </w:tcPr>
          <w:p w14:paraId="613B746A" w14:textId="77777777" w:rsidR="004C223F" w:rsidRPr="00191ACB" w:rsidRDefault="004C223F" w:rsidP="007C135A">
            <w:pPr>
              <w:pStyle w:val="NoSpacing"/>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Floristic Based Forest Types</w:t>
            </w:r>
          </w:p>
        </w:tc>
      </w:tr>
      <w:tr w:rsidR="004C223F" w:rsidRPr="00191ACB" w14:paraId="01C4836D" w14:textId="77777777" w:rsidTr="005C7EBE">
        <w:trPr>
          <w:trHeight w:val="324"/>
        </w:trPr>
        <w:tc>
          <w:tcPr>
            <w:tcW w:w="4100" w:type="dxa"/>
            <w:vMerge w:val="restart"/>
            <w:tcBorders>
              <w:top w:val="nil"/>
              <w:left w:val="single" w:sz="8" w:space="0" w:color="000000"/>
              <w:bottom w:val="single" w:sz="8" w:space="0" w:color="000000"/>
              <w:right w:val="single" w:sz="8" w:space="0" w:color="000000"/>
            </w:tcBorders>
            <w:shd w:val="clear" w:color="auto" w:fill="auto"/>
            <w:vAlign w:val="center"/>
          </w:tcPr>
          <w:p w14:paraId="05FA4C00"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Dry evergreen forest</w:t>
            </w:r>
          </w:p>
        </w:tc>
        <w:tc>
          <w:tcPr>
            <w:tcW w:w="5460" w:type="dxa"/>
            <w:tcBorders>
              <w:top w:val="nil"/>
              <w:left w:val="nil"/>
              <w:bottom w:val="single" w:sz="8" w:space="0" w:color="000000"/>
              <w:right w:val="single" w:sz="8" w:space="0" w:color="000000"/>
            </w:tcBorders>
            <w:shd w:val="clear" w:color="auto" w:fill="auto"/>
            <w:vAlign w:val="center"/>
          </w:tcPr>
          <w:p w14:paraId="6E425505"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Parinari forest and Copperbelt chipya</w:t>
            </w:r>
          </w:p>
        </w:tc>
      </w:tr>
      <w:tr w:rsidR="004C223F" w:rsidRPr="00191ACB" w14:paraId="592F9FAF"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6AF2A192"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792D47FD"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Marquesia forest</w:t>
            </w:r>
          </w:p>
        </w:tc>
      </w:tr>
      <w:tr w:rsidR="004C223F" w:rsidRPr="00191ACB" w14:paraId="3B863D11"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130DD046"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13FBBCCA"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Lake basin chipya</w:t>
            </w:r>
          </w:p>
        </w:tc>
      </w:tr>
      <w:tr w:rsidR="004C223F" w:rsidRPr="00191ACB" w14:paraId="1FEBDED0"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27E18B0C"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12A004FB"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Chryptosepalum forest</w:t>
            </w:r>
          </w:p>
        </w:tc>
      </w:tr>
      <w:tr w:rsidR="004C223F" w:rsidRPr="00191ACB" w14:paraId="29C071AB"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36CF8BEF"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53381668"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Kalahari sand forest</w:t>
            </w:r>
          </w:p>
        </w:tc>
      </w:tr>
      <w:tr w:rsidR="004C223F" w:rsidRPr="00191ACB" w14:paraId="7CB982A7" w14:textId="77777777" w:rsidTr="005C7EBE">
        <w:trPr>
          <w:trHeight w:val="324"/>
        </w:trPr>
        <w:tc>
          <w:tcPr>
            <w:tcW w:w="4100" w:type="dxa"/>
            <w:vMerge w:val="restart"/>
            <w:tcBorders>
              <w:top w:val="nil"/>
              <w:left w:val="single" w:sz="8" w:space="0" w:color="000000"/>
              <w:bottom w:val="single" w:sz="8" w:space="0" w:color="000000"/>
              <w:right w:val="single" w:sz="8" w:space="0" w:color="000000"/>
            </w:tcBorders>
            <w:shd w:val="clear" w:color="auto" w:fill="auto"/>
            <w:vAlign w:val="center"/>
          </w:tcPr>
          <w:p w14:paraId="56D57773"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Dry deciduous forest</w:t>
            </w:r>
          </w:p>
        </w:tc>
        <w:tc>
          <w:tcPr>
            <w:tcW w:w="5460" w:type="dxa"/>
            <w:tcBorders>
              <w:top w:val="nil"/>
              <w:left w:val="nil"/>
              <w:bottom w:val="single" w:sz="8" w:space="0" w:color="000000"/>
              <w:right w:val="single" w:sz="8" w:space="0" w:color="000000"/>
            </w:tcBorders>
            <w:shd w:val="clear" w:color="auto" w:fill="auto"/>
            <w:vAlign w:val="center"/>
          </w:tcPr>
          <w:p w14:paraId="565457CF"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Baikiaea forest and deciduous thicket</w:t>
            </w:r>
          </w:p>
        </w:tc>
      </w:tr>
      <w:tr w:rsidR="004C223F" w:rsidRPr="00191ACB" w14:paraId="36AD550F"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73D6346E"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7BA65239"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Itigi forest</w:t>
            </w:r>
          </w:p>
        </w:tc>
      </w:tr>
      <w:tr w:rsidR="004C223F" w:rsidRPr="00191ACB" w14:paraId="2ECFF673" w14:textId="77777777" w:rsidTr="005C7EBE">
        <w:trPr>
          <w:trHeight w:val="360"/>
        </w:trPr>
        <w:tc>
          <w:tcPr>
            <w:tcW w:w="4100" w:type="dxa"/>
            <w:vMerge w:val="restart"/>
            <w:tcBorders>
              <w:top w:val="nil"/>
              <w:left w:val="single" w:sz="8" w:space="0" w:color="000000"/>
              <w:bottom w:val="single" w:sz="8" w:space="0" w:color="000000"/>
              <w:right w:val="single" w:sz="8" w:space="0" w:color="000000"/>
            </w:tcBorders>
            <w:shd w:val="clear" w:color="auto" w:fill="auto"/>
            <w:vAlign w:val="center"/>
          </w:tcPr>
          <w:p w14:paraId="32A50022"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Moist evergreen forest</w:t>
            </w:r>
          </w:p>
        </w:tc>
        <w:tc>
          <w:tcPr>
            <w:tcW w:w="5460" w:type="dxa"/>
            <w:tcBorders>
              <w:top w:val="nil"/>
              <w:left w:val="nil"/>
              <w:bottom w:val="single" w:sz="8" w:space="0" w:color="000000"/>
              <w:right w:val="single" w:sz="8" w:space="0" w:color="000000"/>
            </w:tcBorders>
            <w:shd w:val="clear" w:color="auto" w:fill="auto"/>
            <w:vAlign w:val="center"/>
          </w:tcPr>
          <w:p w14:paraId="7F02F077"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Montane forest</w:t>
            </w:r>
          </w:p>
        </w:tc>
      </w:tr>
      <w:tr w:rsidR="004C223F" w:rsidRPr="00191ACB" w14:paraId="4DA0D041"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7B2E5EEF"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3CFCE9C4"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Swamp forest</w:t>
            </w:r>
          </w:p>
        </w:tc>
      </w:tr>
      <w:tr w:rsidR="004C223F" w:rsidRPr="00191ACB" w14:paraId="30018482"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2D623577"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2BA9E6A1"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Riparian forest</w:t>
            </w:r>
          </w:p>
        </w:tc>
      </w:tr>
      <w:tr w:rsidR="004C223F" w:rsidRPr="00191ACB" w14:paraId="1DBE8AE7" w14:textId="77777777" w:rsidTr="005C7EBE">
        <w:trPr>
          <w:trHeight w:val="324"/>
        </w:trPr>
        <w:tc>
          <w:tcPr>
            <w:tcW w:w="4100" w:type="dxa"/>
            <w:vMerge w:val="restart"/>
            <w:tcBorders>
              <w:top w:val="nil"/>
              <w:left w:val="single" w:sz="8" w:space="0" w:color="000000"/>
              <w:bottom w:val="single" w:sz="8" w:space="0" w:color="000000"/>
              <w:right w:val="single" w:sz="8" w:space="0" w:color="000000"/>
            </w:tcBorders>
            <w:shd w:val="clear" w:color="auto" w:fill="auto"/>
            <w:vAlign w:val="center"/>
          </w:tcPr>
          <w:p w14:paraId="454536C8"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Forest woodlands</w:t>
            </w:r>
          </w:p>
        </w:tc>
        <w:tc>
          <w:tcPr>
            <w:tcW w:w="5460" w:type="dxa"/>
            <w:tcBorders>
              <w:top w:val="nil"/>
              <w:left w:val="nil"/>
              <w:bottom w:val="single" w:sz="8" w:space="0" w:color="000000"/>
              <w:right w:val="single" w:sz="8" w:space="0" w:color="000000"/>
            </w:tcBorders>
            <w:shd w:val="clear" w:color="auto" w:fill="auto"/>
            <w:vAlign w:val="center"/>
          </w:tcPr>
          <w:p w14:paraId="0B538268"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Miombo woodland on plateau</w:t>
            </w:r>
          </w:p>
        </w:tc>
      </w:tr>
      <w:tr w:rsidR="004C223F" w:rsidRPr="00191ACB" w14:paraId="593F5092"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31E37F75"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7F9D868A"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Miombo woodland on hills</w:t>
            </w:r>
          </w:p>
        </w:tc>
      </w:tr>
      <w:tr w:rsidR="004C223F" w:rsidRPr="00191ACB" w14:paraId="0E2EDD61"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6D02D55E"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20C0594F"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Kalahari woodland on sands</w:t>
            </w:r>
          </w:p>
        </w:tc>
      </w:tr>
      <w:tr w:rsidR="004C223F" w:rsidRPr="00191ACB" w14:paraId="7A623A9C"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36EF9620"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205F12D5"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Mopane woodland on clay</w:t>
            </w:r>
          </w:p>
        </w:tc>
      </w:tr>
      <w:tr w:rsidR="004C223F" w:rsidRPr="00191ACB" w14:paraId="682D3FCD"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256F6C95"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3EA557FC"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Munga woodland on heavy soils</w:t>
            </w:r>
          </w:p>
        </w:tc>
      </w:tr>
      <w:tr w:rsidR="004C223F" w:rsidRPr="00191ACB" w14:paraId="1738B19C" w14:textId="77777777" w:rsidTr="005C7EBE">
        <w:trPr>
          <w:trHeight w:val="324"/>
        </w:trPr>
        <w:tc>
          <w:tcPr>
            <w:tcW w:w="4100" w:type="dxa"/>
            <w:vMerge w:val="restart"/>
            <w:tcBorders>
              <w:top w:val="nil"/>
              <w:left w:val="single" w:sz="8" w:space="0" w:color="000000"/>
              <w:bottom w:val="single" w:sz="8" w:space="0" w:color="000000"/>
              <w:right w:val="single" w:sz="8" w:space="0" w:color="000000"/>
            </w:tcBorders>
            <w:shd w:val="clear" w:color="auto" w:fill="auto"/>
            <w:vAlign w:val="center"/>
          </w:tcPr>
          <w:p w14:paraId="2AF592D6"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Forest plantations</w:t>
            </w:r>
          </w:p>
        </w:tc>
        <w:tc>
          <w:tcPr>
            <w:tcW w:w="5460" w:type="dxa"/>
            <w:tcBorders>
              <w:top w:val="nil"/>
              <w:left w:val="nil"/>
              <w:bottom w:val="single" w:sz="8" w:space="0" w:color="000000"/>
              <w:right w:val="single" w:sz="8" w:space="0" w:color="000000"/>
            </w:tcBorders>
            <w:shd w:val="clear" w:color="auto" w:fill="auto"/>
            <w:vAlign w:val="center"/>
          </w:tcPr>
          <w:p w14:paraId="2A0EDCC8"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Broad leaved forest plantation (Eucalyptus)</w:t>
            </w:r>
          </w:p>
        </w:tc>
      </w:tr>
      <w:tr w:rsidR="004C223F" w:rsidRPr="00191ACB" w14:paraId="5E834947"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7502760D"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7A77BC64"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Coniferous forest plantation (Pine)</w:t>
            </w:r>
          </w:p>
        </w:tc>
      </w:tr>
      <w:tr w:rsidR="004C223F" w:rsidRPr="00191ACB" w14:paraId="76C1722C" w14:textId="77777777" w:rsidTr="005C7EBE">
        <w:trPr>
          <w:trHeight w:val="312"/>
        </w:trPr>
        <w:tc>
          <w:tcPr>
            <w:tcW w:w="4100" w:type="dxa"/>
            <w:vMerge w:val="restart"/>
            <w:tcBorders>
              <w:top w:val="nil"/>
              <w:left w:val="single" w:sz="8" w:space="0" w:color="000000"/>
              <w:bottom w:val="single" w:sz="8" w:space="0" w:color="000000"/>
              <w:right w:val="single" w:sz="8" w:space="0" w:color="000000"/>
            </w:tcBorders>
            <w:shd w:val="clear" w:color="auto" w:fill="auto"/>
            <w:vAlign w:val="center"/>
          </w:tcPr>
          <w:p w14:paraId="6D9F19DB"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Wooded grasslands (including pans and shrubs with some trees)</w:t>
            </w:r>
          </w:p>
        </w:tc>
        <w:tc>
          <w:tcPr>
            <w:tcW w:w="5460" w:type="dxa"/>
            <w:tcBorders>
              <w:top w:val="nil"/>
              <w:left w:val="nil"/>
              <w:bottom w:val="single" w:sz="8" w:space="0" w:color="000000"/>
              <w:right w:val="single" w:sz="8" w:space="0" w:color="000000"/>
            </w:tcBorders>
            <w:shd w:val="clear" w:color="auto" w:fill="auto"/>
            <w:vAlign w:val="center"/>
          </w:tcPr>
          <w:p w14:paraId="0BAFEA70"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Termitary vegetation and bush groups</w:t>
            </w:r>
          </w:p>
        </w:tc>
      </w:tr>
      <w:tr w:rsidR="004C223F" w:rsidRPr="00191ACB" w14:paraId="377721CC" w14:textId="77777777" w:rsidTr="005C7EBE">
        <w:trPr>
          <w:trHeight w:val="324"/>
        </w:trPr>
        <w:tc>
          <w:tcPr>
            <w:tcW w:w="4100" w:type="dxa"/>
            <w:vMerge/>
            <w:tcBorders>
              <w:top w:val="nil"/>
              <w:left w:val="single" w:sz="8" w:space="0" w:color="000000"/>
              <w:bottom w:val="single" w:sz="8" w:space="0" w:color="000000"/>
              <w:right w:val="single" w:sz="8" w:space="0" w:color="000000"/>
            </w:tcBorders>
            <w:shd w:val="clear" w:color="auto" w:fill="auto"/>
            <w:vAlign w:val="center"/>
          </w:tcPr>
          <w:p w14:paraId="7645F79E" w14:textId="77777777" w:rsidR="004C223F" w:rsidRPr="00191ACB" w:rsidRDefault="004C223F" w:rsidP="007C135A">
            <w:pPr>
              <w:pStyle w:val="NoSpacing"/>
              <w:rPr>
                <w:rFonts w:ascii="Times New Roman" w:hAnsi="Times New Roman" w:cs="Times New Roman"/>
                <w:color w:val="000000" w:themeColor="text1"/>
                <w:sz w:val="24"/>
                <w:szCs w:val="24"/>
              </w:rPr>
            </w:pPr>
          </w:p>
        </w:tc>
        <w:tc>
          <w:tcPr>
            <w:tcW w:w="5460" w:type="dxa"/>
            <w:tcBorders>
              <w:top w:val="nil"/>
              <w:left w:val="nil"/>
              <w:bottom w:val="single" w:sz="8" w:space="0" w:color="000000"/>
              <w:right w:val="single" w:sz="8" w:space="0" w:color="000000"/>
            </w:tcBorders>
            <w:shd w:val="clear" w:color="auto" w:fill="auto"/>
            <w:vAlign w:val="center"/>
          </w:tcPr>
          <w:p w14:paraId="75396F7E" w14:textId="77777777" w:rsidR="004C223F" w:rsidRPr="00191ACB" w:rsidRDefault="004C223F" w:rsidP="007C135A">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Shrubs / thickets</w:t>
            </w:r>
          </w:p>
        </w:tc>
      </w:tr>
    </w:tbl>
    <w:p w14:paraId="70584DAC" w14:textId="77777777" w:rsidR="004C223F" w:rsidRPr="00191ACB" w:rsidRDefault="004C223F" w:rsidP="005E626A">
      <w:pPr>
        <w:pBdr>
          <w:top w:val="nil"/>
          <w:left w:val="nil"/>
          <w:bottom w:val="nil"/>
          <w:right w:val="nil"/>
          <w:between w:val="nil"/>
        </w:pBdr>
        <w:spacing w:after="120" w:line="240" w:lineRule="auto"/>
        <w:rPr>
          <w:rFonts w:ascii="Times New Roman" w:eastAsia="Garamond" w:hAnsi="Times New Roman" w:cs="Times New Roman"/>
          <w:color w:val="000000" w:themeColor="text1"/>
          <w:sz w:val="24"/>
          <w:szCs w:val="24"/>
        </w:rPr>
      </w:pPr>
    </w:p>
    <w:p w14:paraId="10E8CA9E" w14:textId="77777777" w:rsidR="004C223F" w:rsidRPr="00191ACB" w:rsidRDefault="004C223F" w:rsidP="005E626A">
      <w:pPr>
        <w:pStyle w:val="NoSpacing"/>
        <w:spacing w:after="120"/>
        <w:rPr>
          <w:rFonts w:ascii="Times New Roman" w:hAnsi="Times New Roman" w:cs="Times New Roman"/>
          <w:b/>
          <w:sz w:val="24"/>
          <w:szCs w:val="24"/>
        </w:rPr>
      </w:pPr>
      <w:r w:rsidRPr="00191ACB">
        <w:rPr>
          <w:rFonts w:ascii="Times New Roman" w:hAnsi="Times New Roman" w:cs="Times New Roman"/>
          <w:b/>
          <w:sz w:val="24"/>
          <w:szCs w:val="24"/>
        </w:rPr>
        <w:t>Cropland</w:t>
      </w:r>
    </w:p>
    <w:p w14:paraId="4DB1D648" w14:textId="6789E721" w:rsidR="004C223F" w:rsidRPr="00191ACB" w:rsidRDefault="004C223F" w:rsidP="00F04D87">
      <w:pPr>
        <w:spacing w:after="120" w:line="276" w:lineRule="auto"/>
        <w:jc w:val="both"/>
        <w:rPr>
          <w:rFonts w:ascii="Times New Roman" w:eastAsia="Garamond" w:hAnsi="Times New Roman" w:cs="Times New Roman"/>
          <w:color w:val="000000" w:themeColor="text1"/>
          <w:sz w:val="24"/>
          <w:szCs w:val="24"/>
        </w:rPr>
      </w:pPr>
      <w:bookmarkStart w:id="185" w:name="_rjefff" w:colFirst="0" w:colLast="0"/>
      <w:bookmarkEnd w:id="185"/>
      <w:r w:rsidRPr="00191ACB">
        <w:rPr>
          <w:rFonts w:ascii="Times New Roman" w:eastAsia="Garamond" w:hAnsi="Times New Roman" w:cs="Times New Roman"/>
          <w:color w:val="000000" w:themeColor="text1"/>
          <w:sz w:val="24"/>
          <w:szCs w:val="24"/>
        </w:rPr>
        <w:t>Cropland includes arable and tillable land, rice fields, and agroforestry systems where the vegetation structure falls below the thresholds used for the Forest Land category, and is not expected to exceed those thresholds at a later time. Cropland includes all annual and perennial crops as well as temporary fallow land (i.e., land set at rest for one or several years before being cultivated again). Crop Land is partitioned into two sub categories namely, Cropland Remaining Cropland (CC) and Land Converted to Cropland (LC) because of the difference in carbon dynamics. Land-use conversions to Cropland from Forest Land, Grassland and Wetlands usually result in a net loss of carbon from biomass and soils as well as N</w:t>
      </w:r>
      <w:r w:rsidRPr="00191ACB">
        <w:rPr>
          <w:rFonts w:ascii="Times New Roman" w:eastAsia="Garamond" w:hAnsi="Times New Roman" w:cs="Times New Roman"/>
          <w:color w:val="000000" w:themeColor="text1"/>
          <w:sz w:val="24"/>
          <w:szCs w:val="24"/>
          <w:vertAlign w:val="subscript"/>
        </w:rPr>
        <w:t>2</w:t>
      </w:r>
      <w:r w:rsidRPr="00191ACB">
        <w:rPr>
          <w:rFonts w:ascii="Times New Roman" w:eastAsia="Garamond" w:hAnsi="Times New Roman" w:cs="Times New Roman"/>
          <w:color w:val="000000" w:themeColor="text1"/>
          <w:sz w:val="24"/>
          <w:szCs w:val="24"/>
        </w:rPr>
        <w:t>O to the atmosphere. The main drivers of cropland expansion in Zambia are</w:t>
      </w:r>
      <w:r w:rsidR="0097005B" w:rsidRPr="00191ACB">
        <w:rPr>
          <w:rFonts w:ascii="Times New Roman" w:eastAsia="Garamond" w:hAnsi="Times New Roman" w:cs="Times New Roman"/>
          <w:color w:val="000000" w:themeColor="text1"/>
          <w:sz w:val="24"/>
          <w:szCs w:val="24"/>
        </w:rPr>
        <w:t>:</w:t>
      </w:r>
    </w:p>
    <w:p w14:paraId="3A765B8D" w14:textId="1391D1F9" w:rsidR="004C223F" w:rsidRPr="00191ACB" w:rsidRDefault="004C223F" w:rsidP="00F04D87">
      <w:pPr>
        <w:spacing w:after="120" w:line="276" w:lineRule="auto"/>
        <w:jc w:val="both"/>
        <w:rPr>
          <w:rFonts w:ascii="Times New Roman" w:eastAsia="Garamond" w:hAnsi="Times New Roman" w:cs="Times New Roman"/>
          <w:b/>
          <w:color w:val="000000" w:themeColor="text1"/>
          <w:sz w:val="24"/>
          <w:szCs w:val="24"/>
        </w:rPr>
      </w:pPr>
      <w:r w:rsidRPr="00191ACB">
        <w:rPr>
          <w:rFonts w:ascii="Times New Roman" w:eastAsia="Garamond" w:hAnsi="Times New Roman" w:cs="Times New Roman"/>
          <w:b/>
          <w:color w:val="000000" w:themeColor="text1"/>
          <w:sz w:val="24"/>
          <w:szCs w:val="24"/>
        </w:rPr>
        <w:t xml:space="preserve">Commodity prices and market demand. </w:t>
      </w:r>
      <w:r w:rsidRPr="00191ACB">
        <w:rPr>
          <w:rFonts w:ascii="Times New Roman" w:eastAsia="Garamond" w:hAnsi="Times New Roman" w:cs="Times New Roman"/>
          <w:color w:val="000000" w:themeColor="text1"/>
          <w:sz w:val="24"/>
          <w:szCs w:val="24"/>
        </w:rPr>
        <w:t>One of the main drivers of cropland expansion in Zambia is commodity prices and market   demand. In the case of maize, the most cultivated crop, the Government sets the annual purchase price on a 50kg quantity for purchase by the country's Food and Reserve Agency (FRA) from small-scale farmers. Private buyers, dominated by agro-processing companies, also purchase maize and other crops from farmers. The crops that fetch attractive prices in a given marketing season normally result in an increase in cropland cultivation for the particular crops in the next cropping season. Crops like maize and soybean have a huge market demand for food and livestock feed. This demand results in an expansion of cultivation on cropland, especially when it is coupled with high commodity prices</w:t>
      </w:r>
      <w:r w:rsidR="00BA4E24" w:rsidRPr="00191ACB">
        <w:rPr>
          <w:rFonts w:ascii="Times New Roman" w:eastAsia="Garamond" w:hAnsi="Times New Roman" w:cs="Times New Roman"/>
          <w:color w:val="000000" w:themeColor="text1"/>
          <w:sz w:val="24"/>
          <w:szCs w:val="24"/>
        </w:rPr>
        <w:t>;</w:t>
      </w:r>
      <w:r w:rsidRPr="00191ACB">
        <w:rPr>
          <w:rFonts w:ascii="Times New Roman" w:eastAsia="Garamond" w:hAnsi="Times New Roman" w:cs="Times New Roman"/>
          <w:color w:val="000000" w:themeColor="text1"/>
          <w:sz w:val="24"/>
          <w:szCs w:val="24"/>
        </w:rPr>
        <w:t xml:space="preserve"> </w:t>
      </w:r>
    </w:p>
    <w:p w14:paraId="69A3106E" w14:textId="5AA8B3F1" w:rsidR="004C223F" w:rsidRPr="00191ACB" w:rsidRDefault="004C223F" w:rsidP="00F04D87">
      <w:pPr>
        <w:numPr>
          <w:ilvl w:val="0"/>
          <w:numId w:val="31"/>
        </w:numPr>
        <w:spacing w:before="240"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b/>
          <w:color w:val="000000" w:themeColor="text1"/>
          <w:sz w:val="24"/>
          <w:szCs w:val="24"/>
        </w:rPr>
        <w:t xml:space="preserve">Policies and regulatory support. </w:t>
      </w:r>
      <w:r w:rsidRPr="00191ACB">
        <w:rPr>
          <w:rFonts w:ascii="Times New Roman" w:eastAsia="Garamond" w:hAnsi="Times New Roman" w:cs="Times New Roman"/>
          <w:color w:val="000000" w:themeColor="text1"/>
          <w:sz w:val="24"/>
          <w:szCs w:val="24"/>
        </w:rPr>
        <w:t xml:space="preserve">Government </w:t>
      </w:r>
      <w:r w:rsidR="00BA4E24" w:rsidRPr="00191ACB">
        <w:rPr>
          <w:rFonts w:ascii="Times New Roman" w:eastAsia="Garamond" w:hAnsi="Times New Roman" w:cs="Times New Roman"/>
          <w:color w:val="000000" w:themeColor="text1"/>
          <w:sz w:val="24"/>
          <w:szCs w:val="24"/>
        </w:rPr>
        <w:t>undertook</w:t>
      </w:r>
      <w:r w:rsidRPr="00191ACB">
        <w:rPr>
          <w:rFonts w:ascii="Times New Roman" w:eastAsia="Garamond" w:hAnsi="Times New Roman" w:cs="Times New Roman"/>
          <w:color w:val="000000" w:themeColor="text1"/>
          <w:sz w:val="24"/>
          <w:szCs w:val="24"/>
        </w:rPr>
        <w:t xml:space="preserve"> commercial development and expansion of the agriculture sector through farm block development</w:t>
      </w:r>
      <w:r w:rsidR="00BA4E24" w:rsidRPr="00191ACB">
        <w:rPr>
          <w:rFonts w:ascii="Times New Roman" w:eastAsia="Garamond" w:hAnsi="Times New Roman" w:cs="Times New Roman"/>
          <w:color w:val="000000" w:themeColor="text1"/>
          <w:sz w:val="24"/>
          <w:szCs w:val="24"/>
        </w:rPr>
        <w:t xml:space="preserve"> a</w:t>
      </w:r>
      <w:r w:rsidRPr="00191ACB">
        <w:rPr>
          <w:rFonts w:ascii="Times New Roman" w:eastAsia="Garamond" w:hAnsi="Times New Roman" w:cs="Times New Roman"/>
          <w:color w:val="000000" w:themeColor="text1"/>
          <w:sz w:val="24"/>
          <w:szCs w:val="24"/>
        </w:rPr>
        <w:t xml:space="preserve">s   contained in the policy and strategic </w:t>
      </w:r>
      <w:r w:rsidRPr="00191ACB">
        <w:rPr>
          <w:rFonts w:ascii="Times New Roman" w:eastAsia="Garamond" w:hAnsi="Times New Roman" w:cs="Times New Roman"/>
          <w:color w:val="000000" w:themeColor="text1"/>
          <w:sz w:val="24"/>
          <w:szCs w:val="24"/>
        </w:rPr>
        <w:lastRenderedPageBreak/>
        <w:t>documents such as Vision 2030</w:t>
      </w:r>
      <w:r w:rsidR="00BA4E24" w:rsidRPr="00191ACB">
        <w:rPr>
          <w:rFonts w:ascii="Times New Roman" w:eastAsia="Garamond" w:hAnsi="Times New Roman" w:cs="Times New Roman"/>
          <w:color w:val="000000" w:themeColor="text1"/>
          <w:sz w:val="24"/>
          <w:szCs w:val="24"/>
        </w:rPr>
        <w:t xml:space="preserve">, </w:t>
      </w:r>
      <w:r w:rsidRPr="00191ACB">
        <w:rPr>
          <w:rFonts w:ascii="Times New Roman" w:eastAsia="Garamond" w:hAnsi="Times New Roman" w:cs="Times New Roman"/>
          <w:color w:val="000000" w:themeColor="text1"/>
          <w:sz w:val="24"/>
          <w:szCs w:val="24"/>
        </w:rPr>
        <w:t xml:space="preserve">the Sixth National Development Plan, Revised Sixth National Development Plan  and The First National Agricultural Policy of 2004 </w:t>
      </w:r>
      <w:r w:rsidR="00BA4E24" w:rsidRPr="00191ACB">
        <w:rPr>
          <w:rFonts w:ascii="Times New Roman" w:eastAsia="Garamond" w:hAnsi="Times New Roman" w:cs="Times New Roman"/>
          <w:color w:val="000000" w:themeColor="text1"/>
          <w:sz w:val="24"/>
          <w:szCs w:val="24"/>
        </w:rPr>
        <w:t>–</w:t>
      </w:r>
      <w:r w:rsidRPr="00191ACB">
        <w:rPr>
          <w:rFonts w:ascii="Times New Roman" w:eastAsia="Garamond" w:hAnsi="Times New Roman" w:cs="Times New Roman"/>
          <w:color w:val="000000" w:themeColor="text1"/>
          <w:sz w:val="24"/>
          <w:szCs w:val="24"/>
        </w:rPr>
        <w:t xml:space="preserve"> 2015</w:t>
      </w:r>
      <w:r w:rsidR="00BA4E24" w:rsidRPr="00191ACB">
        <w:rPr>
          <w:rFonts w:ascii="Times New Roman" w:eastAsia="Garamond" w:hAnsi="Times New Roman" w:cs="Times New Roman"/>
          <w:color w:val="000000" w:themeColor="text1"/>
          <w:sz w:val="24"/>
          <w:szCs w:val="24"/>
        </w:rPr>
        <w:t>; and</w:t>
      </w:r>
    </w:p>
    <w:p w14:paraId="2FBA2E7E" w14:textId="78E91694" w:rsidR="004C223F" w:rsidRPr="00191ACB" w:rsidRDefault="004C223F" w:rsidP="00F04D87">
      <w:pPr>
        <w:numPr>
          <w:ilvl w:val="0"/>
          <w:numId w:val="31"/>
        </w:numPr>
        <w:spacing w:before="240"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b/>
          <w:color w:val="000000" w:themeColor="text1"/>
          <w:sz w:val="24"/>
          <w:szCs w:val="24"/>
        </w:rPr>
        <w:t xml:space="preserve">Internal migration. </w:t>
      </w:r>
      <w:r w:rsidRPr="00191ACB">
        <w:rPr>
          <w:rFonts w:ascii="Times New Roman" w:eastAsia="Garamond" w:hAnsi="Times New Roman" w:cs="Times New Roman"/>
          <w:color w:val="000000" w:themeColor="text1"/>
          <w:sz w:val="24"/>
          <w:szCs w:val="24"/>
        </w:rPr>
        <w:t>The frequent occurrence of droughts and livestock diseases</w:t>
      </w:r>
      <w:r w:rsidR="00BA4E24" w:rsidRPr="00191ACB">
        <w:rPr>
          <w:rFonts w:ascii="Times New Roman" w:eastAsia="Garamond" w:hAnsi="Times New Roman" w:cs="Times New Roman"/>
          <w:color w:val="000000" w:themeColor="text1"/>
          <w:sz w:val="24"/>
          <w:szCs w:val="24"/>
        </w:rPr>
        <w:t xml:space="preserve"> has resulted</w:t>
      </w:r>
      <w:r w:rsidRPr="00191ACB">
        <w:rPr>
          <w:rFonts w:ascii="Times New Roman" w:eastAsia="Garamond" w:hAnsi="Times New Roman" w:cs="Times New Roman"/>
          <w:color w:val="000000" w:themeColor="text1"/>
          <w:sz w:val="24"/>
          <w:szCs w:val="24"/>
        </w:rPr>
        <w:t xml:space="preserve"> in the migration of farm</w:t>
      </w:r>
      <w:r w:rsidR="00BA4E24" w:rsidRPr="00191ACB">
        <w:rPr>
          <w:rFonts w:ascii="Times New Roman" w:eastAsia="Garamond" w:hAnsi="Times New Roman" w:cs="Times New Roman"/>
          <w:color w:val="000000" w:themeColor="text1"/>
          <w:sz w:val="24"/>
          <w:szCs w:val="24"/>
        </w:rPr>
        <w:t>er</w:t>
      </w:r>
      <w:r w:rsidRPr="00191ACB">
        <w:rPr>
          <w:rFonts w:ascii="Times New Roman" w:eastAsia="Garamond" w:hAnsi="Times New Roman" w:cs="Times New Roman"/>
          <w:color w:val="000000" w:themeColor="text1"/>
          <w:sz w:val="24"/>
          <w:szCs w:val="24"/>
        </w:rPr>
        <w:t>s to other</w:t>
      </w:r>
      <w:r w:rsidR="00BA4E24" w:rsidRPr="00191ACB">
        <w:rPr>
          <w:rFonts w:ascii="Times New Roman" w:eastAsia="Garamond" w:hAnsi="Times New Roman" w:cs="Times New Roman"/>
          <w:color w:val="000000" w:themeColor="text1"/>
          <w:sz w:val="24"/>
          <w:szCs w:val="24"/>
        </w:rPr>
        <w:t xml:space="preserve"> regions with favorable climatic conditions</w:t>
      </w:r>
      <w:r w:rsidRPr="00191ACB">
        <w:rPr>
          <w:rFonts w:ascii="Times New Roman" w:eastAsia="Garamond" w:hAnsi="Times New Roman" w:cs="Times New Roman"/>
          <w:color w:val="000000" w:themeColor="text1"/>
          <w:sz w:val="24"/>
          <w:szCs w:val="24"/>
        </w:rPr>
        <w:t xml:space="preserve"> for crop and </w:t>
      </w:r>
      <w:r w:rsidR="00C77F0F" w:rsidRPr="00191ACB">
        <w:rPr>
          <w:rFonts w:ascii="Times New Roman" w:eastAsia="Garamond" w:hAnsi="Times New Roman" w:cs="Times New Roman"/>
          <w:color w:val="000000" w:themeColor="text1"/>
          <w:sz w:val="24"/>
          <w:szCs w:val="24"/>
        </w:rPr>
        <w:t>livestock production</w:t>
      </w:r>
      <w:r w:rsidRPr="00191ACB">
        <w:rPr>
          <w:rFonts w:ascii="Times New Roman" w:eastAsia="Garamond" w:hAnsi="Times New Roman" w:cs="Times New Roman"/>
          <w:color w:val="000000" w:themeColor="text1"/>
          <w:sz w:val="24"/>
          <w:szCs w:val="24"/>
        </w:rPr>
        <w:t>.</w:t>
      </w:r>
    </w:p>
    <w:p w14:paraId="755F82AE" w14:textId="77777777" w:rsidR="00FC4FC5" w:rsidRPr="00191ACB" w:rsidRDefault="00FC4FC5" w:rsidP="00FC4FC5">
      <w:pPr>
        <w:spacing w:before="240" w:after="120" w:line="240" w:lineRule="auto"/>
        <w:ind w:left="360"/>
        <w:jc w:val="both"/>
        <w:rPr>
          <w:rFonts w:ascii="Times New Roman" w:eastAsia="Garamond" w:hAnsi="Times New Roman" w:cs="Times New Roman"/>
          <w:color w:val="000000" w:themeColor="text1"/>
          <w:sz w:val="24"/>
          <w:szCs w:val="24"/>
        </w:rPr>
      </w:pPr>
    </w:p>
    <w:p w14:paraId="14966C25" w14:textId="4C428773" w:rsidR="004C223F" w:rsidRPr="00191ACB" w:rsidRDefault="004C223F" w:rsidP="00875942">
      <w:pPr>
        <w:pStyle w:val="Heading3"/>
        <w:numPr>
          <w:ilvl w:val="2"/>
          <w:numId w:val="36"/>
        </w:numPr>
        <w:ind w:left="851" w:hanging="851"/>
      </w:pPr>
      <w:bookmarkStart w:id="186" w:name="_Toc48427318"/>
      <w:bookmarkStart w:id="187" w:name="_Toc57902842"/>
      <w:r w:rsidRPr="00191ACB">
        <w:t xml:space="preserve">Emissions </w:t>
      </w:r>
      <w:r w:rsidR="00C77F0F" w:rsidRPr="00191ACB">
        <w:t>Trend by Category</w:t>
      </w:r>
      <w:bookmarkEnd w:id="186"/>
      <w:bookmarkEnd w:id="187"/>
      <w:r w:rsidR="00C77F0F" w:rsidRPr="00191ACB">
        <w:t xml:space="preserve">    </w:t>
      </w:r>
    </w:p>
    <w:p w14:paraId="69BF8F25" w14:textId="77777777" w:rsidR="004C223F" w:rsidRPr="00191ACB" w:rsidRDefault="004C223F" w:rsidP="00F04D87">
      <w:pPr>
        <w:spacing w:before="240" w:after="120" w:line="276" w:lineRule="auto"/>
        <w:jc w:val="both"/>
        <w:rPr>
          <w:rFonts w:ascii="Times New Roman" w:hAnsi="Times New Roman" w:cs="Times New Roman"/>
          <w:b/>
          <w:color w:val="000000" w:themeColor="text1"/>
          <w:sz w:val="24"/>
          <w:szCs w:val="24"/>
        </w:rPr>
      </w:pPr>
      <w:r w:rsidRPr="00191ACB">
        <w:rPr>
          <w:rFonts w:ascii="Times New Roman" w:hAnsi="Times New Roman" w:cs="Times New Roman"/>
          <w:color w:val="000000" w:themeColor="text1"/>
          <w:sz w:val="24"/>
          <w:szCs w:val="24"/>
        </w:rPr>
        <w:t xml:space="preserve">AFOLU consist of three categories namely Livestock, Land and </w:t>
      </w:r>
      <w:r w:rsidRPr="00191ACB">
        <w:rPr>
          <w:rFonts w:ascii="Times New Roman" w:hAnsi="Times New Roman" w:cs="Times New Roman"/>
          <w:bCs/>
          <w:color w:val="000000" w:themeColor="text1"/>
          <w:sz w:val="24"/>
          <w:szCs w:val="24"/>
        </w:rPr>
        <w:t>Aggregate Sources and Non CO</w:t>
      </w:r>
      <w:r w:rsidRPr="00191ACB">
        <w:rPr>
          <w:rFonts w:ascii="Times New Roman" w:hAnsi="Times New Roman" w:cs="Times New Roman"/>
          <w:bCs/>
          <w:color w:val="000000" w:themeColor="text1"/>
          <w:sz w:val="24"/>
          <w:szCs w:val="24"/>
          <w:vertAlign w:val="subscript"/>
        </w:rPr>
        <w:t>2</w:t>
      </w:r>
      <w:r w:rsidRPr="00191ACB">
        <w:rPr>
          <w:rFonts w:ascii="Times New Roman" w:hAnsi="Times New Roman" w:cs="Times New Roman"/>
          <w:b/>
          <w:color w:val="000000" w:themeColor="text1"/>
          <w:sz w:val="24"/>
          <w:szCs w:val="24"/>
        </w:rPr>
        <w:t xml:space="preserve"> </w:t>
      </w:r>
      <w:r w:rsidRPr="00191ACB">
        <w:rPr>
          <w:rFonts w:ascii="Times New Roman" w:hAnsi="Times New Roman" w:cs="Times New Roman"/>
          <w:bCs/>
          <w:color w:val="000000" w:themeColor="text1"/>
          <w:sz w:val="24"/>
          <w:szCs w:val="24"/>
        </w:rPr>
        <w:t>emissions on land.</w:t>
      </w:r>
      <w:r w:rsidRPr="00191ACB">
        <w:rPr>
          <w:rFonts w:ascii="Times New Roman" w:hAnsi="Times New Roman" w:cs="Times New Roman"/>
          <w:b/>
          <w:color w:val="000000" w:themeColor="text1"/>
          <w:sz w:val="24"/>
          <w:szCs w:val="24"/>
        </w:rPr>
        <w:t xml:space="preserve"> </w:t>
      </w:r>
      <w:r w:rsidRPr="00191ACB">
        <w:rPr>
          <w:rFonts w:ascii="Times New Roman" w:hAnsi="Times New Roman" w:cs="Times New Roman"/>
          <w:color w:val="000000" w:themeColor="text1"/>
          <w:sz w:val="24"/>
          <w:szCs w:val="24"/>
        </w:rPr>
        <w:t xml:space="preserve">Livestock is a subcategory of the AFOLU sector and estimates GHG emissions from enteric fermentation and manure management. Land is a subcategory of the AFOLU sector and estimates GHG emission from land conversion. The six land-use categories in the 2006 IPCC Guidelines namely: Forest land, cropland, grassland, wetlands, settlements, and other land. Each land-use category is further subdivided into land remaining in that category and converted from one category to another (e.g. Forest Land converted to Cropland). </w:t>
      </w:r>
      <w:r w:rsidRPr="00191ACB">
        <w:rPr>
          <w:rFonts w:ascii="Times New Roman" w:hAnsi="Times New Roman" w:cs="Times New Roman"/>
          <w:bCs/>
          <w:color w:val="000000" w:themeColor="text1"/>
          <w:sz w:val="24"/>
          <w:szCs w:val="24"/>
        </w:rPr>
        <w:t>Aggregate Sources and Non CO</w:t>
      </w:r>
      <w:r w:rsidRPr="00191ACB">
        <w:rPr>
          <w:rFonts w:ascii="Times New Roman" w:hAnsi="Times New Roman" w:cs="Times New Roman"/>
          <w:bCs/>
          <w:color w:val="000000" w:themeColor="text1"/>
          <w:sz w:val="24"/>
          <w:szCs w:val="24"/>
          <w:vertAlign w:val="subscript"/>
        </w:rPr>
        <w:t>2</w:t>
      </w:r>
      <w:r w:rsidRPr="00191ACB">
        <w:rPr>
          <w:rFonts w:ascii="Times New Roman" w:hAnsi="Times New Roman" w:cs="Times New Roman"/>
          <w:bCs/>
          <w:color w:val="000000" w:themeColor="text1"/>
          <w:sz w:val="24"/>
          <w:szCs w:val="24"/>
        </w:rPr>
        <w:t xml:space="preserve"> emissions on land</w:t>
      </w:r>
      <w:r w:rsidRPr="00191ACB">
        <w:rPr>
          <w:rFonts w:ascii="Times New Roman" w:hAnsi="Times New Roman" w:cs="Times New Roman"/>
          <w:color w:val="000000" w:themeColor="text1"/>
          <w:sz w:val="24"/>
          <w:szCs w:val="24"/>
        </w:rPr>
        <w:t xml:space="preserve"> is a category that estimates emissions from Emissions from Biomass burning, Liming, Urea application, Direct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emissions from managed soils, Indirect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emissions from managed soils, Indirect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emissions from manure management, Rice cultivation and Other.</w:t>
      </w:r>
    </w:p>
    <w:p w14:paraId="74E3781F" w14:textId="3B8A272B" w:rsidR="004C223F" w:rsidRPr="00191ACB" w:rsidRDefault="004C223F"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There </w:t>
      </w:r>
      <w:r w:rsidR="004713A4" w:rsidRPr="00191ACB">
        <w:rPr>
          <w:rFonts w:ascii="Times New Roman" w:hAnsi="Times New Roman" w:cs="Times New Roman"/>
          <w:color w:val="000000" w:themeColor="text1"/>
          <w:sz w:val="24"/>
          <w:szCs w:val="24"/>
        </w:rPr>
        <w:t>was</w:t>
      </w:r>
      <w:r w:rsidRPr="00191ACB">
        <w:rPr>
          <w:rFonts w:ascii="Times New Roman" w:hAnsi="Times New Roman" w:cs="Times New Roman"/>
          <w:color w:val="000000" w:themeColor="text1"/>
          <w:sz w:val="24"/>
          <w:szCs w:val="24"/>
        </w:rPr>
        <w:t xml:space="preserve"> a progressive increase in emissions from AFOLU across the trend. Overall emissions from AFOLU increased by 42.1% from 82,990.1 Gg CO</w:t>
      </w:r>
      <w:r w:rsidRPr="00191ACB">
        <w:rPr>
          <w:rFonts w:ascii="Times New Roman" w:hAnsi="Times New Roman" w:cs="Times New Roman"/>
          <w:color w:val="000000" w:themeColor="text1"/>
          <w:sz w:val="24"/>
          <w:szCs w:val="24"/>
          <w:vertAlign w:val="subscript"/>
        </w:rPr>
        <w:t xml:space="preserve">2 eq. </w:t>
      </w:r>
      <w:r w:rsidRPr="00191ACB">
        <w:rPr>
          <w:rFonts w:ascii="Times New Roman" w:hAnsi="Times New Roman" w:cs="Times New Roman"/>
          <w:color w:val="000000" w:themeColor="text1"/>
          <w:sz w:val="24"/>
          <w:szCs w:val="24"/>
        </w:rPr>
        <w:t>in 1994 base year to 117,887.0Gg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2016 (Figure </w:t>
      </w:r>
      <w:r w:rsidR="00C77F0F" w:rsidRPr="00191ACB">
        <w:rPr>
          <w:rFonts w:ascii="Times New Roman" w:hAnsi="Times New Roman" w:cs="Times New Roman"/>
          <w:color w:val="000000" w:themeColor="text1"/>
          <w:sz w:val="24"/>
          <w:szCs w:val="24"/>
        </w:rPr>
        <w:t>3.17</w:t>
      </w:r>
      <w:r w:rsidRPr="00191ACB">
        <w:rPr>
          <w:rFonts w:ascii="Times New Roman" w:hAnsi="Times New Roman" w:cs="Times New Roman"/>
          <w:color w:val="000000" w:themeColor="text1"/>
          <w:sz w:val="24"/>
          <w:szCs w:val="24"/>
        </w:rPr>
        <w:t>). On the other hand, total removals reduced from -142,929.15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in 1994 base year to -136,266 Gg CO</w:t>
      </w:r>
      <w:r w:rsidRPr="00191ACB">
        <w:rPr>
          <w:rFonts w:ascii="Times New Roman" w:hAnsi="Times New Roman" w:cs="Times New Roman"/>
          <w:color w:val="000000" w:themeColor="text1"/>
          <w:sz w:val="24"/>
          <w:szCs w:val="24"/>
          <w:vertAlign w:val="subscript"/>
        </w:rPr>
        <w:t>2</w:t>
      </w:r>
      <w:r w:rsidR="004713A4" w:rsidRPr="00191ACB">
        <w:rPr>
          <w:rFonts w:ascii="Times New Roman" w:hAnsi="Times New Roman" w:cs="Times New Roman"/>
          <w:color w:val="000000" w:themeColor="text1"/>
          <w:sz w:val="24"/>
          <w:szCs w:val="24"/>
          <w:vertAlign w:val="subscript"/>
        </w:rPr>
        <w:t xml:space="preserve"> eq</w:t>
      </w:r>
      <w:r w:rsidRPr="00191ACB">
        <w:rPr>
          <w:rFonts w:ascii="Times New Roman" w:hAnsi="Times New Roman" w:cs="Times New Roman"/>
          <w:color w:val="000000" w:themeColor="text1"/>
          <w:sz w:val="24"/>
          <w:szCs w:val="24"/>
        </w:rPr>
        <w:t xml:space="preserve"> in 2016, representing a reduction of 4.7%. </w:t>
      </w:r>
    </w:p>
    <w:p w14:paraId="55843CDD" w14:textId="77777777" w:rsidR="004C223F" w:rsidRPr="00191ACB" w:rsidRDefault="004C223F" w:rsidP="004C223F">
      <w:pPr>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3FFF8E31" wp14:editId="49FEC9E3">
            <wp:extent cx="5928360" cy="2767965"/>
            <wp:effectExtent l="0" t="0" r="15240" b="1333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D1FD103" w14:textId="4D773170" w:rsidR="004C223F" w:rsidRPr="00191ACB" w:rsidRDefault="00C77F0F" w:rsidP="00C77F0F">
      <w:pPr>
        <w:pStyle w:val="Caption"/>
        <w:rPr>
          <w:i w:val="0"/>
          <w:color w:val="000000" w:themeColor="text1"/>
          <w:sz w:val="24"/>
          <w:szCs w:val="24"/>
          <w:lang w:val="en-US"/>
        </w:rPr>
      </w:pPr>
      <w:bookmarkStart w:id="188" w:name="_Toc56583862"/>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17</w:t>
      </w:r>
      <w:r w:rsidR="009D481C">
        <w:rPr>
          <w:sz w:val="24"/>
          <w:szCs w:val="24"/>
        </w:rPr>
        <w:fldChar w:fldCharType="end"/>
      </w:r>
      <w:r w:rsidRPr="00191ACB">
        <w:rPr>
          <w:sz w:val="24"/>
          <w:szCs w:val="24"/>
        </w:rPr>
        <w:t>:Trends of emissions and removals for AFOLU</w:t>
      </w:r>
      <w:bookmarkEnd w:id="188"/>
    </w:p>
    <w:p w14:paraId="58A23B0D" w14:textId="7CE41F93" w:rsidR="004C223F" w:rsidRPr="00191ACB" w:rsidRDefault="004C223F"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Trends show increasing growth of emissions from Livestock, Land, and Aggregate sources and non-CO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emissions sources on land (Figure </w:t>
      </w:r>
      <w:r w:rsidR="00C77F0F" w:rsidRPr="00191ACB">
        <w:rPr>
          <w:rFonts w:ascii="Times New Roman" w:hAnsi="Times New Roman" w:cs="Times New Roman"/>
          <w:color w:val="000000" w:themeColor="text1"/>
          <w:sz w:val="24"/>
          <w:szCs w:val="24"/>
        </w:rPr>
        <w:t>3.18</w:t>
      </w:r>
      <w:r w:rsidRPr="00191ACB">
        <w:rPr>
          <w:rFonts w:ascii="Times New Roman" w:hAnsi="Times New Roman" w:cs="Times New Roman"/>
          <w:color w:val="000000" w:themeColor="text1"/>
          <w:sz w:val="24"/>
          <w:szCs w:val="24"/>
        </w:rPr>
        <w:t>). In 2016, the highest emissions contribution was from Land with 87.0</w:t>
      </w:r>
      <w:r w:rsidR="004713A4"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(102,607.5Gg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vertAlign w:val="subscript"/>
        </w:rPr>
        <w:t xml:space="preserve"> </w:t>
      </w:r>
      <w:r w:rsidRPr="00191ACB">
        <w:rPr>
          <w:rFonts w:ascii="Times New Roman" w:hAnsi="Times New Roman" w:cs="Times New Roman"/>
          <w:color w:val="000000" w:themeColor="text1"/>
          <w:sz w:val="24"/>
          <w:szCs w:val="24"/>
        </w:rPr>
        <w:t>followed by “Aggregate sources and non-CO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emissions sources on land” at 9.4</w:t>
      </w:r>
      <w:r w:rsidR="004713A4"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(11, 079.6CO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The least was livestock which contributed 3.6</w:t>
      </w:r>
      <w:r w:rsidR="004713A4"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(42004.4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w:t>
      </w:r>
    </w:p>
    <w:p w14:paraId="06AAF31B" w14:textId="77777777" w:rsidR="004C223F" w:rsidRPr="00191ACB" w:rsidRDefault="004C223F" w:rsidP="004C223F">
      <w:pPr>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lastRenderedPageBreak/>
        <w:drawing>
          <wp:inline distT="0" distB="0" distL="0" distR="0" wp14:anchorId="4E93EC5F" wp14:editId="1BDFC95D">
            <wp:extent cx="5943600" cy="3562350"/>
            <wp:effectExtent l="0" t="0" r="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73D004A" w14:textId="5E00E82D" w:rsidR="004C223F" w:rsidRPr="00191ACB" w:rsidRDefault="00C77F0F" w:rsidP="00C77F0F">
      <w:pPr>
        <w:pStyle w:val="Caption"/>
        <w:rPr>
          <w:i w:val="0"/>
          <w:color w:val="000000" w:themeColor="text1"/>
          <w:sz w:val="24"/>
          <w:szCs w:val="24"/>
          <w:lang w:val="en-US"/>
        </w:rPr>
      </w:pPr>
      <w:bookmarkStart w:id="189" w:name="_Toc56583863"/>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18</w:t>
      </w:r>
      <w:r w:rsidR="009D481C">
        <w:rPr>
          <w:sz w:val="24"/>
          <w:szCs w:val="24"/>
        </w:rPr>
        <w:fldChar w:fldCharType="end"/>
      </w:r>
      <w:r w:rsidRPr="00191ACB">
        <w:rPr>
          <w:sz w:val="24"/>
          <w:szCs w:val="24"/>
        </w:rPr>
        <w:t>:Emissions trends and contribution by category from AFOLU sector</w:t>
      </w:r>
      <w:bookmarkEnd w:id="189"/>
    </w:p>
    <w:p w14:paraId="28B3AD18" w14:textId="77777777" w:rsidR="0051717A" w:rsidRPr="00191ACB" w:rsidRDefault="0051717A" w:rsidP="005E626A">
      <w:pPr>
        <w:spacing w:after="120" w:line="240" w:lineRule="auto"/>
        <w:rPr>
          <w:rFonts w:ascii="Times New Roman" w:hAnsi="Times New Roman" w:cs="Times New Roman"/>
          <w:color w:val="000000" w:themeColor="text1"/>
          <w:sz w:val="24"/>
          <w:szCs w:val="24"/>
        </w:rPr>
      </w:pPr>
    </w:p>
    <w:p w14:paraId="2A40FA8A" w14:textId="2A5B1D7F" w:rsidR="004C223F" w:rsidRPr="00191ACB" w:rsidRDefault="004C223F" w:rsidP="00875942">
      <w:pPr>
        <w:pStyle w:val="Heading3"/>
        <w:numPr>
          <w:ilvl w:val="2"/>
          <w:numId w:val="36"/>
        </w:numPr>
        <w:ind w:left="851" w:hanging="851"/>
        <w:rPr>
          <w:rFonts w:cs="Times New Roman"/>
          <w:b w:val="0"/>
          <w:color w:val="000000" w:themeColor="text1"/>
          <w:szCs w:val="24"/>
        </w:rPr>
      </w:pPr>
      <w:bookmarkStart w:id="190" w:name="_Toc48427319"/>
      <w:bookmarkStart w:id="191" w:name="_Toc57902843"/>
      <w:r w:rsidRPr="00875942">
        <w:t>Emissions</w:t>
      </w:r>
      <w:r w:rsidRPr="00191ACB">
        <w:rPr>
          <w:rFonts w:cs="Times New Roman"/>
          <w:b w:val="0"/>
          <w:color w:val="000000" w:themeColor="text1"/>
          <w:szCs w:val="24"/>
        </w:rPr>
        <w:t xml:space="preserve"> </w:t>
      </w:r>
      <w:r w:rsidR="00C77F0F" w:rsidRPr="00875942">
        <w:t>T</w:t>
      </w:r>
      <w:r w:rsidRPr="00875942">
        <w:t>rend</w:t>
      </w:r>
      <w:r w:rsidRPr="00191ACB">
        <w:rPr>
          <w:rFonts w:cs="Times New Roman"/>
          <w:b w:val="0"/>
          <w:color w:val="000000" w:themeColor="text1"/>
          <w:szCs w:val="24"/>
        </w:rPr>
        <w:t xml:space="preserve"> </w:t>
      </w:r>
      <w:r w:rsidRPr="00875942">
        <w:t>by</w:t>
      </w:r>
      <w:r w:rsidRPr="00191ACB">
        <w:rPr>
          <w:rFonts w:cs="Times New Roman"/>
          <w:b w:val="0"/>
          <w:color w:val="000000" w:themeColor="text1"/>
          <w:szCs w:val="24"/>
        </w:rPr>
        <w:t xml:space="preserve"> </w:t>
      </w:r>
      <w:r w:rsidRPr="00875942">
        <w:t>Gas</w:t>
      </w:r>
      <w:r w:rsidRPr="00191ACB">
        <w:rPr>
          <w:rFonts w:cs="Times New Roman"/>
          <w:b w:val="0"/>
          <w:color w:val="000000" w:themeColor="text1"/>
          <w:szCs w:val="24"/>
        </w:rPr>
        <w:t xml:space="preserve"> </w:t>
      </w:r>
      <w:r w:rsidRPr="00875942">
        <w:t>for</w:t>
      </w:r>
      <w:r w:rsidRPr="00191ACB">
        <w:rPr>
          <w:rFonts w:cs="Times New Roman"/>
          <w:b w:val="0"/>
          <w:color w:val="000000" w:themeColor="text1"/>
          <w:szCs w:val="24"/>
        </w:rPr>
        <w:t xml:space="preserve"> </w:t>
      </w:r>
      <w:r w:rsidRPr="00875942">
        <w:t>AFOLU</w:t>
      </w:r>
      <w:bookmarkEnd w:id="190"/>
      <w:bookmarkEnd w:id="191"/>
      <w:r w:rsidRPr="00191ACB">
        <w:rPr>
          <w:rFonts w:cs="Times New Roman"/>
          <w:b w:val="0"/>
          <w:color w:val="000000" w:themeColor="text1"/>
          <w:szCs w:val="24"/>
        </w:rPr>
        <w:t xml:space="preserve">  </w:t>
      </w:r>
    </w:p>
    <w:p w14:paraId="19D849F1" w14:textId="5090CA64" w:rsidR="004C223F" w:rsidRPr="00191ACB" w:rsidRDefault="004C223F"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Table </w:t>
      </w:r>
      <w:r w:rsidR="00C77F0F" w:rsidRPr="00191ACB">
        <w:rPr>
          <w:rFonts w:ascii="Times New Roman" w:hAnsi="Times New Roman" w:cs="Times New Roman"/>
          <w:color w:val="000000" w:themeColor="text1"/>
          <w:sz w:val="24"/>
          <w:szCs w:val="24"/>
        </w:rPr>
        <w:t>3.11</w:t>
      </w:r>
      <w:r w:rsidRPr="00191ACB">
        <w:rPr>
          <w:rFonts w:ascii="Times New Roman" w:hAnsi="Times New Roman" w:cs="Times New Roman"/>
          <w:color w:val="000000" w:themeColor="text1"/>
          <w:sz w:val="24"/>
          <w:szCs w:val="24"/>
        </w:rPr>
        <w:t xml:space="preserve"> shows emission by gas for the period 1994 to 2016. The most dominant gas across the timeline was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followed by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xml:space="preserve"> and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Emissions of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increased by 43.7% from 82,054.1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eq.in 1994 base year to 117887.5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in 2016. As regards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xml:space="preserve">, it registered an increase by 59.4% from </w:t>
      </w:r>
      <w:r w:rsidRPr="00191ACB">
        <w:rPr>
          <w:rFonts w:ascii="Times New Roman" w:eastAsia="Times New Roman" w:hAnsi="Times New Roman" w:cs="Times New Roman"/>
          <w:color w:val="000000" w:themeColor="text1"/>
          <w:sz w:val="24"/>
          <w:szCs w:val="24"/>
        </w:rPr>
        <w:t>6998.7</w:t>
      </w:r>
      <w:r w:rsidRPr="00191ACB">
        <w:rPr>
          <w:rFonts w:ascii="Times New Roman" w:hAnsi="Times New Roman" w:cs="Times New Roman"/>
          <w:color w:val="000000" w:themeColor="text1"/>
          <w:sz w:val="24"/>
          <w:szCs w:val="24"/>
        </w:rPr>
        <w:t>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in 1994 base year to </w:t>
      </w:r>
      <w:r w:rsidRPr="00191ACB">
        <w:rPr>
          <w:rFonts w:ascii="Times New Roman" w:eastAsia="Times New Roman" w:hAnsi="Times New Roman" w:cs="Times New Roman"/>
          <w:color w:val="000000" w:themeColor="text1"/>
          <w:sz w:val="24"/>
          <w:szCs w:val="24"/>
        </w:rPr>
        <w:t xml:space="preserve">11158.0 </w:t>
      </w:r>
      <w:r w:rsidRPr="00191ACB">
        <w:rPr>
          <w:rFonts w:ascii="Times New Roman" w:hAnsi="Times New Roman" w:cs="Times New Roman"/>
          <w:color w:val="000000" w:themeColor="text1"/>
          <w:sz w:val="24"/>
          <w:szCs w:val="24"/>
        </w:rPr>
        <w:t>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in 2016. In case of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O, the emissions grew by 72.4% from </w:t>
      </w:r>
      <w:r w:rsidRPr="00191ACB">
        <w:rPr>
          <w:rFonts w:ascii="Times New Roman" w:eastAsia="Times New Roman" w:hAnsi="Times New Roman" w:cs="Times New Roman"/>
          <w:color w:val="000000" w:themeColor="text1"/>
          <w:sz w:val="24"/>
          <w:szCs w:val="24"/>
        </w:rPr>
        <w:t>2329.9</w:t>
      </w:r>
      <w:r w:rsidRPr="00191ACB">
        <w:rPr>
          <w:rFonts w:ascii="Times New Roman" w:hAnsi="Times New Roman" w:cs="Times New Roman"/>
          <w:color w:val="000000" w:themeColor="text1"/>
          <w:sz w:val="24"/>
          <w:szCs w:val="24"/>
        </w:rPr>
        <w:t xml:space="preserve">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in 1994 to </w:t>
      </w:r>
      <w:r w:rsidRPr="00191ACB">
        <w:rPr>
          <w:rFonts w:ascii="Times New Roman" w:eastAsia="Times New Roman" w:hAnsi="Times New Roman" w:cs="Times New Roman"/>
          <w:color w:val="000000" w:themeColor="text1"/>
          <w:sz w:val="24"/>
          <w:szCs w:val="24"/>
        </w:rPr>
        <w:t xml:space="preserve">4016.5 </w:t>
      </w:r>
      <w:r w:rsidRPr="00191ACB">
        <w:rPr>
          <w:rFonts w:ascii="Times New Roman" w:hAnsi="Times New Roman" w:cs="Times New Roman"/>
          <w:color w:val="000000" w:themeColor="text1"/>
          <w:sz w:val="24"/>
          <w:szCs w:val="24"/>
        </w:rPr>
        <w:t>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in 2010 </w:t>
      </w:r>
    </w:p>
    <w:p w14:paraId="6143344F" w14:textId="77777777" w:rsidR="00C77F0F" w:rsidRPr="00191ACB" w:rsidRDefault="00C77F0F" w:rsidP="005E626A">
      <w:pPr>
        <w:spacing w:after="120" w:line="240" w:lineRule="auto"/>
        <w:jc w:val="both"/>
        <w:rPr>
          <w:rFonts w:ascii="Times New Roman" w:hAnsi="Times New Roman" w:cs="Times New Roman"/>
          <w:color w:val="000000" w:themeColor="text1"/>
          <w:sz w:val="24"/>
          <w:szCs w:val="24"/>
        </w:rPr>
      </w:pPr>
    </w:p>
    <w:p w14:paraId="2A0A81C7" w14:textId="11EC7112" w:rsidR="004C223F" w:rsidRPr="00191ACB" w:rsidRDefault="004C223F" w:rsidP="00C77F0F">
      <w:pPr>
        <w:pStyle w:val="Caption"/>
        <w:rPr>
          <w:color w:val="000000" w:themeColor="text1"/>
          <w:sz w:val="24"/>
          <w:szCs w:val="24"/>
        </w:rPr>
      </w:pPr>
      <w:r w:rsidRPr="00191ACB">
        <w:rPr>
          <w:b/>
          <w:color w:val="000000" w:themeColor="text1"/>
          <w:sz w:val="24"/>
          <w:szCs w:val="24"/>
        </w:rPr>
        <w:t xml:space="preserve"> </w:t>
      </w:r>
      <w:bookmarkStart w:id="192" w:name="_Toc56583772"/>
      <w:r w:rsidR="00C77F0F"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11</w:t>
      </w:r>
      <w:r w:rsidR="00875942">
        <w:rPr>
          <w:sz w:val="24"/>
          <w:szCs w:val="24"/>
        </w:rPr>
        <w:fldChar w:fldCharType="end"/>
      </w:r>
      <w:r w:rsidR="00C77F0F" w:rsidRPr="00191ACB">
        <w:rPr>
          <w:sz w:val="24"/>
          <w:szCs w:val="24"/>
        </w:rPr>
        <w:t>:Trend of Emissions by Gas for AFOLU (Gg CO2 eq.)</w:t>
      </w:r>
      <w:bookmarkEnd w:id="192"/>
    </w:p>
    <w:tbl>
      <w:tblPr>
        <w:tblW w:w="5000" w:type="pct"/>
        <w:tblLook w:val="04A0" w:firstRow="1" w:lastRow="0" w:firstColumn="1" w:lastColumn="0" w:noHBand="0" w:noVBand="1"/>
      </w:tblPr>
      <w:tblGrid>
        <w:gridCol w:w="2184"/>
        <w:gridCol w:w="3328"/>
        <w:gridCol w:w="2114"/>
        <w:gridCol w:w="2113"/>
      </w:tblGrid>
      <w:tr w:rsidR="003C6D42" w:rsidRPr="00191ACB" w14:paraId="491F422E" w14:textId="77777777" w:rsidTr="005E626A">
        <w:trPr>
          <w:trHeight w:val="264"/>
        </w:trPr>
        <w:tc>
          <w:tcPr>
            <w:tcW w:w="112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217A12"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 </w:t>
            </w:r>
          </w:p>
        </w:tc>
        <w:tc>
          <w:tcPr>
            <w:tcW w:w="1708" w:type="pct"/>
            <w:tcBorders>
              <w:top w:val="single" w:sz="4" w:space="0" w:color="auto"/>
              <w:left w:val="nil"/>
              <w:bottom w:val="single" w:sz="4" w:space="0" w:color="auto"/>
              <w:right w:val="single" w:sz="4" w:space="0" w:color="auto"/>
            </w:tcBorders>
            <w:shd w:val="clear" w:color="auto" w:fill="auto"/>
            <w:noWrap/>
            <w:vAlign w:val="bottom"/>
            <w:hideMark/>
          </w:tcPr>
          <w:p w14:paraId="4F54E904"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CO</w:t>
            </w:r>
            <w:r w:rsidRPr="00191ACB">
              <w:rPr>
                <w:rFonts w:ascii="Times New Roman" w:hAnsi="Times New Roman" w:cs="Times New Roman"/>
                <w:sz w:val="24"/>
                <w:szCs w:val="24"/>
                <w:vertAlign w:val="subscript"/>
              </w:rPr>
              <w:t>2</w:t>
            </w:r>
          </w:p>
        </w:tc>
        <w:tc>
          <w:tcPr>
            <w:tcW w:w="1085" w:type="pct"/>
            <w:tcBorders>
              <w:top w:val="single" w:sz="4" w:space="0" w:color="auto"/>
              <w:left w:val="nil"/>
              <w:bottom w:val="single" w:sz="4" w:space="0" w:color="auto"/>
              <w:right w:val="single" w:sz="4" w:space="0" w:color="auto"/>
            </w:tcBorders>
            <w:shd w:val="clear" w:color="auto" w:fill="auto"/>
            <w:noWrap/>
            <w:vAlign w:val="bottom"/>
            <w:hideMark/>
          </w:tcPr>
          <w:p w14:paraId="077C2EA0"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CH</w:t>
            </w:r>
            <w:r w:rsidRPr="00191ACB">
              <w:rPr>
                <w:rFonts w:ascii="Times New Roman" w:hAnsi="Times New Roman" w:cs="Times New Roman"/>
                <w:sz w:val="24"/>
                <w:szCs w:val="24"/>
                <w:vertAlign w:val="subscript"/>
              </w:rPr>
              <w:t>4</w:t>
            </w:r>
          </w:p>
        </w:tc>
        <w:tc>
          <w:tcPr>
            <w:tcW w:w="1085" w:type="pct"/>
            <w:tcBorders>
              <w:top w:val="single" w:sz="4" w:space="0" w:color="auto"/>
              <w:left w:val="nil"/>
              <w:bottom w:val="single" w:sz="4" w:space="0" w:color="auto"/>
              <w:right w:val="single" w:sz="4" w:space="0" w:color="auto"/>
            </w:tcBorders>
            <w:shd w:val="clear" w:color="auto" w:fill="auto"/>
            <w:noWrap/>
            <w:vAlign w:val="bottom"/>
            <w:hideMark/>
          </w:tcPr>
          <w:p w14:paraId="42156061"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N</w:t>
            </w:r>
            <w:r w:rsidRPr="00191ACB">
              <w:rPr>
                <w:rFonts w:ascii="Times New Roman" w:hAnsi="Times New Roman" w:cs="Times New Roman"/>
                <w:sz w:val="24"/>
                <w:szCs w:val="24"/>
                <w:vertAlign w:val="subscript"/>
              </w:rPr>
              <w:t>2</w:t>
            </w:r>
            <w:r w:rsidRPr="00191ACB">
              <w:rPr>
                <w:rFonts w:ascii="Times New Roman" w:hAnsi="Times New Roman" w:cs="Times New Roman"/>
                <w:sz w:val="24"/>
                <w:szCs w:val="24"/>
              </w:rPr>
              <w:t>O</w:t>
            </w:r>
          </w:p>
        </w:tc>
      </w:tr>
      <w:tr w:rsidR="003C6D42" w:rsidRPr="00191ACB" w14:paraId="4B5C9BA5" w14:textId="77777777" w:rsidTr="005E626A">
        <w:trPr>
          <w:trHeight w:val="264"/>
        </w:trPr>
        <w:tc>
          <w:tcPr>
            <w:tcW w:w="1121" w:type="pct"/>
            <w:tcBorders>
              <w:top w:val="nil"/>
              <w:left w:val="single" w:sz="4" w:space="0" w:color="auto"/>
              <w:bottom w:val="single" w:sz="4" w:space="0" w:color="auto"/>
              <w:right w:val="single" w:sz="4" w:space="0" w:color="auto"/>
            </w:tcBorders>
            <w:shd w:val="clear" w:color="auto" w:fill="auto"/>
            <w:noWrap/>
            <w:vAlign w:val="bottom"/>
            <w:hideMark/>
          </w:tcPr>
          <w:p w14:paraId="4F3AA97D"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1994</w:t>
            </w:r>
          </w:p>
        </w:tc>
        <w:tc>
          <w:tcPr>
            <w:tcW w:w="1708" w:type="pct"/>
            <w:tcBorders>
              <w:top w:val="nil"/>
              <w:left w:val="nil"/>
              <w:bottom w:val="single" w:sz="4" w:space="0" w:color="auto"/>
              <w:right w:val="single" w:sz="4" w:space="0" w:color="auto"/>
            </w:tcBorders>
            <w:shd w:val="clear" w:color="auto" w:fill="auto"/>
            <w:noWrap/>
            <w:vAlign w:val="bottom"/>
            <w:hideMark/>
          </w:tcPr>
          <w:p w14:paraId="188504E4"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82054.1</w:t>
            </w:r>
          </w:p>
        </w:tc>
        <w:tc>
          <w:tcPr>
            <w:tcW w:w="1085" w:type="pct"/>
            <w:tcBorders>
              <w:top w:val="nil"/>
              <w:left w:val="nil"/>
              <w:bottom w:val="single" w:sz="4" w:space="0" w:color="auto"/>
              <w:right w:val="single" w:sz="4" w:space="0" w:color="auto"/>
            </w:tcBorders>
            <w:shd w:val="clear" w:color="auto" w:fill="auto"/>
            <w:noWrap/>
            <w:vAlign w:val="bottom"/>
            <w:hideMark/>
          </w:tcPr>
          <w:p w14:paraId="4219688F"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6998.7</w:t>
            </w:r>
          </w:p>
        </w:tc>
        <w:tc>
          <w:tcPr>
            <w:tcW w:w="1085" w:type="pct"/>
            <w:tcBorders>
              <w:top w:val="nil"/>
              <w:left w:val="nil"/>
              <w:bottom w:val="single" w:sz="4" w:space="0" w:color="auto"/>
              <w:right w:val="single" w:sz="4" w:space="0" w:color="auto"/>
            </w:tcBorders>
            <w:shd w:val="clear" w:color="auto" w:fill="auto"/>
            <w:noWrap/>
            <w:vAlign w:val="bottom"/>
            <w:hideMark/>
          </w:tcPr>
          <w:p w14:paraId="63CD0599"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2329.9</w:t>
            </w:r>
          </w:p>
        </w:tc>
      </w:tr>
      <w:tr w:rsidR="003C6D42" w:rsidRPr="00191ACB" w14:paraId="50999DF7" w14:textId="77777777" w:rsidTr="005E626A">
        <w:trPr>
          <w:trHeight w:val="264"/>
        </w:trPr>
        <w:tc>
          <w:tcPr>
            <w:tcW w:w="1121" w:type="pct"/>
            <w:tcBorders>
              <w:top w:val="nil"/>
              <w:left w:val="single" w:sz="4" w:space="0" w:color="auto"/>
              <w:bottom w:val="single" w:sz="4" w:space="0" w:color="auto"/>
              <w:right w:val="single" w:sz="4" w:space="0" w:color="auto"/>
            </w:tcBorders>
            <w:shd w:val="clear" w:color="auto" w:fill="auto"/>
            <w:noWrap/>
            <w:vAlign w:val="bottom"/>
            <w:hideMark/>
          </w:tcPr>
          <w:p w14:paraId="3ACBD359"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2000</w:t>
            </w:r>
          </w:p>
        </w:tc>
        <w:tc>
          <w:tcPr>
            <w:tcW w:w="1708" w:type="pct"/>
            <w:tcBorders>
              <w:top w:val="nil"/>
              <w:left w:val="nil"/>
              <w:bottom w:val="single" w:sz="4" w:space="0" w:color="auto"/>
              <w:right w:val="single" w:sz="4" w:space="0" w:color="auto"/>
            </w:tcBorders>
            <w:shd w:val="clear" w:color="auto" w:fill="auto"/>
            <w:noWrap/>
            <w:vAlign w:val="bottom"/>
            <w:hideMark/>
          </w:tcPr>
          <w:p w14:paraId="3877BEF8"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95783.8</w:t>
            </w:r>
          </w:p>
        </w:tc>
        <w:tc>
          <w:tcPr>
            <w:tcW w:w="1085" w:type="pct"/>
            <w:tcBorders>
              <w:top w:val="nil"/>
              <w:left w:val="nil"/>
              <w:bottom w:val="single" w:sz="4" w:space="0" w:color="auto"/>
              <w:right w:val="single" w:sz="4" w:space="0" w:color="auto"/>
            </w:tcBorders>
            <w:shd w:val="clear" w:color="auto" w:fill="auto"/>
            <w:noWrap/>
            <w:vAlign w:val="bottom"/>
            <w:hideMark/>
          </w:tcPr>
          <w:p w14:paraId="64E60E6D"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7829.1</w:t>
            </w:r>
          </w:p>
        </w:tc>
        <w:tc>
          <w:tcPr>
            <w:tcW w:w="1085" w:type="pct"/>
            <w:tcBorders>
              <w:top w:val="nil"/>
              <w:left w:val="nil"/>
              <w:bottom w:val="single" w:sz="4" w:space="0" w:color="auto"/>
              <w:right w:val="single" w:sz="4" w:space="0" w:color="auto"/>
            </w:tcBorders>
            <w:shd w:val="clear" w:color="auto" w:fill="auto"/>
            <w:noWrap/>
            <w:vAlign w:val="bottom"/>
            <w:hideMark/>
          </w:tcPr>
          <w:p w14:paraId="68C45FBC"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2775.0</w:t>
            </w:r>
          </w:p>
        </w:tc>
      </w:tr>
      <w:tr w:rsidR="003C6D42" w:rsidRPr="00191ACB" w14:paraId="740C4665" w14:textId="77777777" w:rsidTr="005E626A">
        <w:trPr>
          <w:trHeight w:val="264"/>
        </w:trPr>
        <w:tc>
          <w:tcPr>
            <w:tcW w:w="1121" w:type="pct"/>
            <w:tcBorders>
              <w:top w:val="nil"/>
              <w:left w:val="single" w:sz="4" w:space="0" w:color="auto"/>
              <w:bottom w:val="single" w:sz="4" w:space="0" w:color="auto"/>
              <w:right w:val="single" w:sz="4" w:space="0" w:color="auto"/>
            </w:tcBorders>
            <w:shd w:val="clear" w:color="auto" w:fill="auto"/>
            <w:noWrap/>
            <w:vAlign w:val="bottom"/>
            <w:hideMark/>
          </w:tcPr>
          <w:p w14:paraId="304DF16F"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2005</w:t>
            </w:r>
          </w:p>
        </w:tc>
        <w:tc>
          <w:tcPr>
            <w:tcW w:w="1708" w:type="pct"/>
            <w:tcBorders>
              <w:top w:val="nil"/>
              <w:left w:val="nil"/>
              <w:bottom w:val="single" w:sz="4" w:space="0" w:color="auto"/>
              <w:right w:val="single" w:sz="4" w:space="0" w:color="auto"/>
            </w:tcBorders>
            <w:shd w:val="clear" w:color="auto" w:fill="auto"/>
            <w:noWrap/>
            <w:vAlign w:val="bottom"/>
            <w:hideMark/>
          </w:tcPr>
          <w:p w14:paraId="39340DF6"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99800.3</w:t>
            </w:r>
          </w:p>
        </w:tc>
        <w:tc>
          <w:tcPr>
            <w:tcW w:w="1085" w:type="pct"/>
            <w:tcBorders>
              <w:top w:val="nil"/>
              <w:left w:val="nil"/>
              <w:bottom w:val="single" w:sz="4" w:space="0" w:color="auto"/>
              <w:right w:val="single" w:sz="4" w:space="0" w:color="auto"/>
            </w:tcBorders>
            <w:shd w:val="clear" w:color="auto" w:fill="auto"/>
            <w:noWrap/>
            <w:vAlign w:val="bottom"/>
            <w:hideMark/>
          </w:tcPr>
          <w:p w14:paraId="1D0859A8"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7772.2</w:t>
            </w:r>
          </w:p>
        </w:tc>
        <w:tc>
          <w:tcPr>
            <w:tcW w:w="1085" w:type="pct"/>
            <w:tcBorders>
              <w:top w:val="nil"/>
              <w:left w:val="nil"/>
              <w:bottom w:val="single" w:sz="4" w:space="0" w:color="auto"/>
              <w:right w:val="single" w:sz="4" w:space="0" w:color="auto"/>
            </w:tcBorders>
            <w:shd w:val="clear" w:color="auto" w:fill="auto"/>
            <w:noWrap/>
            <w:vAlign w:val="bottom"/>
            <w:hideMark/>
          </w:tcPr>
          <w:p w14:paraId="646439DA"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3030.0</w:t>
            </w:r>
          </w:p>
        </w:tc>
      </w:tr>
      <w:tr w:rsidR="003C6D42" w:rsidRPr="00191ACB" w14:paraId="2F9FBB1A" w14:textId="77777777" w:rsidTr="005E626A">
        <w:trPr>
          <w:trHeight w:val="264"/>
        </w:trPr>
        <w:tc>
          <w:tcPr>
            <w:tcW w:w="1121" w:type="pct"/>
            <w:tcBorders>
              <w:top w:val="nil"/>
              <w:left w:val="single" w:sz="4" w:space="0" w:color="auto"/>
              <w:bottom w:val="single" w:sz="4" w:space="0" w:color="auto"/>
              <w:right w:val="single" w:sz="4" w:space="0" w:color="auto"/>
            </w:tcBorders>
            <w:shd w:val="clear" w:color="auto" w:fill="auto"/>
            <w:noWrap/>
            <w:vAlign w:val="bottom"/>
            <w:hideMark/>
          </w:tcPr>
          <w:p w14:paraId="15F5879B"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2010</w:t>
            </w:r>
          </w:p>
        </w:tc>
        <w:tc>
          <w:tcPr>
            <w:tcW w:w="1708" w:type="pct"/>
            <w:tcBorders>
              <w:top w:val="nil"/>
              <w:left w:val="nil"/>
              <w:bottom w:val="single" w:sz="4" w:space="0" w:color="auto"/>
              <w:right w:val="single" w:sz="4" w:space="0" w:color="auto"/>
            </w:tcBorders>
            <w:shd w:val="clear" w:color="auto" w:fill="auto"/>
            <w:noWrap/>
            <w:vAlign w:val="bottom"/>
            <w:hideMark/>
          </w:tcPr>
          <w:p w14:paraId="076002FA"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111768.5</w:t>
            </w:r>
          </w:p>
        </w:tc>
        <w:tc>
          <w:tcPr>
            <w:tcW w:w="1085" w:type="pct"/>
            <w:tcBorders>
              <w:top w:val="nil"/>
              <w:left w:val="nil"/>
              <w:bottom w:val="single" w:sz="4" w:space="0" w:color="auto"/>
              <w:right w:val="single" w:sz="4" w:space="0" w:color="auto"/>
            </w:tcBorders>
            <w:shd w:val="clear" w:color="auto" w:fill="auto"/>
            <w:noWrap/>
            <w:vAlign w:val="bottom"/>
            <w:hideMark/>
          </w:tcPr>
          <w:p w14:paraId="095EF71B"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9452.7</w:t>
            </w:r>
          </w:p>
        </w:tc>
        <w:tc>
          <w:tcPr>
            <w:tcW w:w="1085" w:type="pct"/>
            <w:tcBorders>
              <w:top w:val="nil"/>
              <w:left w:val="nil"/>
              <w:bottom w:val="single" w:sz="4" w:space="0" w:color="auto"/>
              <w:right w:val="single" w:sz="4" w:space="0" w:color="auto"/>
            </w:tcBorders>
            <w:shd w:val="clear" w:color="auto" w:fill="auto"/>
            <w:noWrap/>
            <w:vAlign w:val="bottom"/>
            <w:hideMark/>
          </w:tcPr>
          <w:p w14:paraId="1B3A88D3"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3862.0</w:t>
            </w:r>
          </w:p>
        </w:tc>
      </w:tr>
      <w:tr w:rsidR="003C6D42" w:rsidRPr="00191ACB" w14:paraId="518AE757" w14:textId="77777777" w:rsidTr="005E626A">
        <w:trPr>
          <w:trHeight w:val="264"/>
        </w:trPr>
        <w:tc>
          <w:tcPr>
            <w:tcW w:w="1121" w:type="pct"/>
            <w:tcBorders>
              <w:top w:val="nil"/>
              <w:left w:val="single" w:sz="4" w:space="0" w:color="auto"/>
              <w:bottom w:val="single" w:sz="4" w:space="0" w:color="auto"/>
              <w:right w:val="single" w:sz="4" w:space="0" w:color="auto"/>
            </w:tcBorders>
            <w:shd w:val="clear" w:color="auto" w:fill="auto"/>
            <w:noWrap/>
            <w:vAlign w:val="bottom"/>
            <w:hideMark/>
          </w:tcPr>
          <w:p w14:paraId="1DD9B3FB"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2011</w:t>
            </w:r>
          </w:p>
        </w:tc>
        <w:tc>
          <w:tcPr>
            <w:tcW w:w="1708" w:type="pct"/>
            <w:tcBorders>
              <w:top w:val="nil"/>
              <w:left w:val="nil"/>
              <w:bottom w:val="single" w:sz="4" w:space="0" w:color="auto"/>
              <w:right w:val="single" w:sz="4" w:space="0" w:color="auto"/>
            </w:tcBorders>
            <w:shd w:val="clear" w:color="auto" w:fill="auto"/>
            <w:noWrap/>
            <w:vAlign w:val="bottom"/>
            <w:hideMark/>
          </w:tcPr>
          <w:p w14:paraId="43DA6E5D"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112399.6</w:t>
            </w:r>
          </w:p>
        </w:tc>
        <w:tc>
          <w:tcPr>
            <w:tcW w:w="1085" w:type="pct"/>
            <w:tcBorders>
              <w:top w:val="nil"/>
              <w:left w:val="nil"/>
              <w:bottom w:val="single" w:sz="4" w:space="0" w:color="auto"/>
              <w:right w:val="single" w:sz="4" w:space="0" w:color="auto"/>
            </w:tcBorders>
            <w:shd w:val="clear" w:color="auto" w:fill="auto"/>
            <w:noWrap/>
            <w:vAlign w:val="bottom"/>
            <w:hideMark/>
          </w:tcPr>
          <w:p w14:paraId="2DC8B8E2"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9564.3</w:t>
            </w:r>
          </w:p>
        </w:tc>
        <w:tc>
          <w:tcPr>
            <w:tcW w:w="1085" w:type="pct"/>
            <w:tcBorders>
              <w:top w:val="nil"/>
              <w:left w:val="nil"/>
              <w:bottom w:val="single" w:sz="4" w:space="0" w:color="auto"/>
              <w:right w:val="single" w:sz="4" w:space="0" w:color="auto"/>
            </w:tcBorders>
            <w:shd w:val="clear" w:color="auto" w:fill="auto"/>
            <w:noWrap/>
            <w:vAlign w:val="bottom"/>
            <w:hideMark/>
          </w:tcPr>
          <w:p w14:paraId="08697A71"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4031.6</w:t>
            </w:r>
          </w:p>
        </w:tc>
      </w:tr>
      <w:tr w:rsidR="003C6D42" w:rsidRPr="00191ACB" w14:paraId="1B077A74" w14:textId="77777777" w:rsidTr="005E626A">
        <w:trPr>
          <w:trHeight w:val="264"/>
        </w:trPr>
        <w:tc>
          <w:tcPr>
            <w:tcW w:w="1121" w:type="pct"/>
            <w:tcBorders>
              <w:top w:val="nil"/>
              <w:left w:val="single" w:sz="4" w:space="0" w:color="auto"/>
              <w:bottom w:val="single" w:sz="4" w:space="0" w:color="auto"/>
              <w:right w:val="single" w:sz="4" w:space="0" w:color="auto"/>
            </w:tcBorders>
            <w:shd w:val="clear" w:color="auto" w:fill="auto"/>
            <w:noWrap/>
            <w:vAlign w:val="bottom"/>
            <w:hideMark/>
          </w:tcPr>
          <w:p w14:paraId="58D9C77A"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2012</w:t>
            </w:r>
          </w:p>
        </w:tc>
        <w:tc>
          <w:tcPr>
            <w:tcW w:w="1708" w:type="pct"/>
            <w:tcBorders>
              <w:top w:val="nil"/>
              <w:left w:val="nil"/>
              <w:bottom w:val="single" w:sz="4" w:space="0" w:color="auto"/>
              <w:right w:val="single" w:sz="4" w:space="0" w:color="auto"/>
            </w:tcBorders>
            <w:shd w:val="clear" w:color="auto" w:fill="auto"/>
            <w:noWrap/>
            <w:vAlign w:val="bottom"/>
            <w:hideMark/>
          </w:tcPr>
          <w:p w14:paraId="35C6691D"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113022.2</w:t>
            </w:r>
          </w:p>
        </w:tc>
        <w:tc>
          <w:tcPr>
            <w:tcW w:w="1085" w:type="pct"/>
            <w:tcBorders>
              <w:top w:val="nil"/>
              <w:left w:val="nil"/>
              <w:bottom w:val="single" w:sz="4" w:space="0" w:color="auto"/>
              <w:right w:val="single" w:sz="4" w:space="0" w:color="auto"/>
            </w:tcBorders>
            <w:shd w:val="clear" w:color="auto" w:fill="auto"/>
            <w:noWrap/>
            <w:vAlign w:val="bottom"/>
            <w:hideMark/>
          </w:tcPr>
          <w:p w14:paraId="17BB568E"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9546.9</w:t>
            </w:r>
          </w:p>
        </w:tc>
        <w:tc>
          <w:tcPr>
            <w:tcW w:w="1085" w:type="pct"/>
            <w:tcBorders>
              <w:top w:val="nil"/>
              <w:left w:val="nil"/>
              <w:bottom w:val="single" w:sz="4" w:space="0" w:color="auto"/>
              <w:right w:val="single" w:sz="4" w:space="0" w:color="auto"/>
            </w:tcBorders>
            <w:shd w:val="clear" w:color="auto" w:fill="auto"/>
            <w:noWrap/>
            <w:vAlign w:val="bottom"/>
            <w:hideMark/>
          </w:tcPr>
          <w:p w14:paraId="08F430F9"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3772.7</w:t>
            </w:r>
          </w:p>
        </w:tc>
      </w:tr>
      <w:tr w:rsidR="003C6D42" w:rsidRPr="00191ACB" w14:paraId="72988A20" w14:textId="77777777" w:rsidTr="005E626A">
        <w:trPr>
          <w:trHeight w:val="264"/>
        </w:trPr>
        <w:tc>
          <w:tcPr>
            <w:tcW w:w="1121" w:type="pct"/>
            <w:tcBorders>
              <w:top w:val="nil"/>
              <w:left w:val="single" w:sz="4" w:space="0" w:color="auto"/>
              <w:bottom w:val="single" w:sz="4" w:space="0" w:color="auto"/>
              <w:right w:val="single" w:sz="4" w:space="0" w:color="auto"/>
            </w:tcBorders>
            <w:shd w:val="clear" w:color="auto" w:fill="auto"/>
            <w:noWrap/>
            <w:vAlign w:val="bottom"/>
            <w:hideMark/>
          </w:tcPr>
          <w:p w14:paraId="08F17E40"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2013</w:t>
            </w:r>
          </w:p>
        </w:tc>
        <w:tc>
          <w:tcPr>
            <w:tcW w:w="1708" w:type="pct"/>
            <w:tcBorders>
              <w:top w:val="nil"/>
              <w:left w:val="nil"/>
              <w:bottom w:val="single" w:sz="4" w:space="0" w:color="auto"/>
              <w:right w:val="single" w:sz="4" w:space="0" w:color="auto"/>
            </w:tcBorders>
            <w:shd w:val="clear" w:color="auto" w:fill="auto"/>
            <w:noWrap/>
            <w:vAlign w:val="bottom"/>
            <w:hideMark/>
          </w:tcPr>
          <w:p w14:paraId="33850304"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114054.4</w:t>
            </w:r>
          </w:p>
        </w:tc>
        <w:tc>
          <w:tcPr>
            <w:tcW w:w="1085" w:type="pct"/>
            <w:tcBorders>
              <w:top w:val="nil"/>
              <w:left w:val="nil"/>
              <w:bottom w:val="single" w:sz="4" w:space="0" w:color="auto"/>
              <w:right w:val="single" w:sz="4" w:space="0" w:color="auto"/>
            </w:tcBorders>
            <w:shd w:val="clear" w:color="auto" w:fill="auto"/>
            <w:noWrap/>
            <w:vAlign w:val="bottom"/>
            <w:hideMark/>
          </w:tcPr>
          <w:p w14:paraId="10D178E9"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9699.6</w:t>
            </w:r>
          </w:p>
        </w:tc>
        <w:tc>
          <w:tcPr>
            <w:tcW w:w="1085" w:type="pct"/>
            <w:tcBorders>
              <w:top w:val="nil"/>
              <w:left w:val="nil"/>
              <w:bottom w:val="single" w:sz="4" w:space="0" w:color="auto"/>
              <w:right w:val="single" w:sz="4" w:space="0" w:color="auto"/>
            </w:tcBorders>
            <w:shd w:val="clear" w:color="auto" w:fill="auto"/>
            <w:noWrap/>
            <w:vAlign w:val="bottom"/>
            <w:hideMark/>
          </w:tcPr>
          <w:p w14:paraId="4F184EEC"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3721.9</w:t>
            </w:r>
          </w:p>
        </w:tc>
      </w:tr>
      <w:tr w:rsidR="003C6D42" w:rsidRPr="00191ACB" w14:paraId="0718F467" w14:textId="77777777" w:rsidTr="005E626A">
        <w:trPr>
          <w:trHeight w:val="264"/>
        </w:trPr>
        <w:tc>
          <w:tcPr>
            <w:tcW w:w="1121" w:type="pct"/>
            <w:tcBorders>
              <w:top w:val="nil"/>
              <w:left w:val="single" w:sz="4" w:space="0" w:color="auto"/>
              <w:bottom w:val="single" w:sz="4" w:space="0" w:color="auto"/>
              <w:right w:val="single" w:sz="4" w:space="0" w:color="auto"/>
            </w:tcBorders>
            <w:shd w:val="clear" w:color="auto" w:fill="auto"/>
            <w:noWrap/>
            <w:vAlign w:val="bottom"/>
            <w:hideMark/>
          </w:tcPr>
          <w:p w14:paraId="60F7D806"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2014</w:t>
            </w:r>
          </w:p>
        </w:tc>
        <w:tc>
          <w:tcPr>
            <w:tcW w:w="1708" w:type="pct"/>
            <w:tcBorders>
              <w:top w:val="nil"/>
              <w:left w:val="nil"/>
              <w:bottom w:val="single" w:sz="4" w:space="0" w:color="auto"/>
              <w:right w:val="single" w:sz="4" w:space="0" w:color="auto"/>
            </w:tcBorders>
            <w:shd w:val="clear" w:color="auto" w:fill="auto"/>
            <w:noWrap/>
            <w:vAlign w:val="bottom"/>
            <w:hideMark/>
          </w:tcPr>
          <w:p w14:paraId="1F273553"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115374.9</w:t>
            </w:r>
          </w:p>
        </w:tc>
        <w:tc>
          <w:tcPr>
            <w:tcW w:w="1085" w:type="pct"/>
            <w:tcBorders>
              <w:top w:val="nil"/>
              <w:left w:val="nil"/>
              <w:bottom w:val="single" w:sz="4" w:space="0" w:color="auto"/>
              <w:right w:val="single" w:sz="4" w:space="0" w:color="auto"/>
            </w:tcBorders>
            <w:shd w:val="clear" w:color="auto" w:fill="auto"/>
            <w:noWrap/>
            <w:vAlign w:val="bottom"/>
            <w:hideMark/>
          </w:tcPr>
          <w:p w14:paraId="3E356E25"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9908.7</w:t>
            </w:r>
          </w:p>
        </w:tc>
        <w:tc>
          <w:tcPr>
            <w:tcW w:w="1085" w:type="pct"/>
            <w:tcBorders>
              <w:top w:val="nil"/>
              <w:left w:val="nil"/>
              <w:bottom w:val="single" w:sz="4" w:space="0" w:color="auto"/>
              <w:right w:val="single" w:sz="4" w:space="0" w:color="auto"/>
            </w:tcBorders>
            <w:shd w:val="clear" w:color="auto" w:fill="auto"/>
            <w:noWrap/>
            <w:vAlign w:val="bottom"/>
            <w:hideMark/>
          </w:tcPr>
          <w:p w14:paraId="22CF55BD"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3849.1</w:t>
            </w:r>
          </w:p>
        </w:tc>
      </w:tr>
      <w:tr w:rsidR="003C6D42" w:rsidRPr="00191ACB" w14:paraId="44A5E6D9" w14:textId="77777777" w:rsidTr="005E626A">
        <w:trPr>
          <w:trHeight w:val="264"/>
        </w:trPr>
        <w:tc>
          <w:tcPr>
            <w:tcW w:w="1121" w:type="pct"/>
            <w:tcBorders>
              <w:top w:val="nil"/>
              <w:left w:val="single" w:sz="4" w:space="0" w:color="auto"/>
              <w:bottom w:val="single" w:sz="4" w:space="0" w:color="auto"/>
              <w:right w:val="single" w:sz="4" w:space="0" w:color="auto"/>
            </w:tcBorders>
            <w:shd w:val="clear" w:color="auto" w:fill="auto"/>
            <w:noWrap/>
            <w:vAlign w:val="bottom"/>
            <w:hideMark/>
          </w:tcPr>
          <w:p w14:paraId="6364C47F"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2015</w:t>
            </w:r>
          </w:p>
        </w:tc>
        <w:tc>
          <w:tcPr>
            <w:tcW w:w="1708" w:type="pct"/>
            <w:tcBorders>
              <w:top w:val="nil"/>
              <w:left w:val="nil"/>
              <w:bottom w:val="single" w:sz="4" w:space="0" w:color="auto"/>
              <w:right w:val="single" w:sz="4" w:space="0" w:color="auto"/>
            </w:tcBorders>
            <w:shd w:val="clear" w:color="auto" w:fill="auto"/>
            <w:noWrap/>
            <w:vAlign w:val="bottom"/>
            <w:hideMark/>
          </w:tcPr>
          <w:p w14:paraId="2BD31501"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117141.0</w:t>
            </w:r>
          </w:p>
        </w:tc>
        <w:tc>
          <w:tcPr>
            <w:tcW w:w="1085" w:type="pct"/>
            <w:tcBorders>
              <w:top w:val="nil"/>
              <w:left w:val="nil"/>
              <w:bottom w:val="single" w:sz="4" w:space="0" w:color="auto"/>
              <w:right w:val="single" w:sz="4" w:space="0" w:color="auto"/>
            </w:tcBorders>
            <w:shd w:val="clear" w:color="auto" w:fill="auto"/>
            <w:noWrap/>
            <w:vAlign w:val="bottom"/>
            <w:hideMark/>
          </w:tcPr>
          <w:p w14:paraId="5BD98B2C"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10544.7</w:t>
            </w:r>
          </w:p>
        </w:tc>
        <w:tc>
          <w:tcPr>
            <w:tcW w:w="1085" w:type="pct"/>
            <w:tcBorders>
              <w:top w:val="nil"/>
              <w:left w:val="nil"/>
              <w:bottom w:val="single" w:sz="4" w:space="0" w:color="auto"/>
              <w:right w:val="single" w:sz="4" w:space="0" w:color="auto"/>
            </w:tcBorders>
            <w:shd w:val="clear" w:color="auto" w:fill="auto"/>
            <w:noWrap/>
            <w:vAlign w:val="bottom"/>
            <w:hideMark/>
          </w:tcPr>
          <w:p w14:paraId="43BCFF96"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3982.2</w:t>
            </w:r>
          </w:p>
        </w:tc>
      </w:tr>
      <w:tr w:rsidR="003C6D42" w:rsidRPr="00191ACB" w14:paraId="4588DB47" w14:textId="77777777" w:rsidTr="005E626A">
        <w:trPr>
          <w:trHeight w:val="264"/>
        </w:trPr>
        <w:tc>
          <w:tcPr>
            <w:tcW w:w="1121" w:type="pct"/>
            <w:tcBorders>
              <w:top w:val="nil"/>
              <w:left w:val="single" w:sz="4" w:space="0" w:color="auto"/>
              <w:bottom w:val="single" w:sz="4" w:space="0" w:color="auto"/>
              <w:right w:val="single" w:sz="4" w:space="0" w:color="auto"/>
            </w:tcBorders>
            <w:shd w:val="clear" w:color="auto" w:fill="auto"/>
            <w:noWrap/>
            <w:vAlign w:val="bottom"/>
            <w:hideMark/>
          </w:tcPr>
          <w:p w14:paraId="2B95E601"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2016</w:t>
            </w:r>
          </w:p>
        </w:tc>
        <w:tc>
          <w:tcPr>
            <w:tcW w:w="1708" w:type="pct"/>
            <w:tcBorders>
              <w:top w:val="nil"/>
              <w:left w:val="nil"/>
              <w:bottom w:val="single" w:sz="4" w:space="0" w:color="auto"/>
              <w:right w:val="single" w:sz="4" w:space="0" w:color="auto"/>
            </w:tcBorders>
            <w:shd w:val="clear" w:color="auto" w:fill="auto"/>
            <w:noWrap/>
            <w:vAlign w:val="bottom"/>
            <w:hideMark/>
          </w:tcPr>
          <w:p w14:paraId="30A57FAB"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117887.5</w:t>
            </w:r>
          </w:p>
        </w:tc>
        <w:tc>
          <w:tcPr>
            <w:tcW w:w="1085" w:type="pct"/>
            <w:tcBorders>
              <w:top w:val="nil"/>
              <w:left w:val="nil"/>
              <w:bottom w:val="single" w:sz="4" w:space="0" w:color="auto"/>
              <w:right w:val="single" w:sz="4" w:space="0" w:color="auto"/>
            </w:tcBorders>
            <w:shd w:val="clear" w:color="auto" w:fill="auto"/>
            <w:noWrap/>
            <w:vAlign w:val="bottom"/>
            <w:hideMark/>
          </w:tcPr>
          <w:p w14:paraId="581F8BA7"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11158.0</w:t>
            </w:r>
          </w:p>
        </w:tc>
        <w:tc>
          <w:tcPr>
            <w:tcW w:w="1085" w:type="pct"/>
            <w:tcBorders>
              <w:top w:val="nil"/>
              <w:left w:val="nil"/>
              <w:bottom w:val="single" w:sz="4" w:space="0" w:color="auto"/>
              <w:right w:val="single" w:sz="4" w:space="0" w:color="auto"/>
            </w:tcBorders>
            <w:shd w:val="clear" w:color="auto" w:fill="auto"/>
            <w:noWrap/>
            <w:vAlign w:val="bottom"/>
            <w:hideMark/>
          </w:tcPr>
          <w:p w14:paraId="4D3D58EA" w14:textId="77777777" w:rsidR="004C223F" w:rsidRPr="00191ACB" w:rsidRDefault="004C223F" w:rsidP="003C6D42">
            <w:pPr>
              <w:pStyle w:val="NoSpacing"/>
              <w:rPr>
                <w:rFonts w:ascii="Times New Roman" w:hAnsi="Times New Roman" w:cs="Times New Roman"/>
                <w:sz w:val="24"/>
                <w:szCs w:val="24"/>
              </w:rPr>
            </w:pPr>
            <w:r w:rsidRPr="00191ACB">
              <w:rPr>
                <w:rFonts w:ascii="Times New Roman" w:hAnsi="Times New Roman" w:cs="Times New Roman"/>
                <w:sz w:val="24"/>
                <w:szCs w:val="24"/>
              </w:rPr>
              <w:t>4016.5</w:t>
            </w:r>
          </w:p>
        </w:tc>
      </w:tr>
    </w:tbl>
    <w:p w14:paraId="2E511D91" w14:textId="77777777" w:rsidR="004C223F" w:rsidRPr="00191ACB" w:rsidRDefault="004C223F" w:rsidP="004C223F">
      <w:pPr>
        <w:rPr>
          <w:rFonts w:ascii="Times New Roman" w:hAnsi="Times New Roman" w:cs="Times New Roman"/>
          <w:color w:val="000000" w:themeColor="text1"/>
          <w:sz w:val="24"/>
          <w:szCs w:val="24"/>
        </w:rPr>
      </w:pPr>
    </w:p>
    <w:p w14:paraId="1B3EBBD5" w14:textId="77777777" w:rsidR="007B4855" w:rsidRDefault="007B4855" w:rsidP="00F04D87">
      <w:pPr>
        <w:spacing w:before="240" w:after="120" w:line="276" w:lineRule="auto"/>
        <w:jc w:val="both"/>
        <w:rPr>
          <w:rFonts w:ascii="Times New Roman" w:hAnsi="Times New Roman" w:cs="Times New Roman"/>
          <w:color w:val="000000" w:themeColor="text1"/>
          <w:sz w:val="24"/>
          <w:szCs w:val="24"/>
        </w:rPr>
      </w:pPr>
    </w:p>
    <w:p w14:paraId="57402407" w14:textId="77777777" w:rsidR="007B4855" w:rsidRDefault="007B4855" w:rsidP="00F04D87">
      <w:pPr>
        <w:spacing w:before="240" w:after="120" w:line="276" w:lineRule="auto"/>
        <w:jc w:val="both"/>
        <w:rPr>
          <w:rFonts w:ascii="Times New Roman" w:hAnsi="Times New Roman" w:cs="Times New Roman"/>
          <w:color w:val="000000" w:themeColor="text1"/>
          <w:sz w:val="24"/>
          <w:szCs w:val="24"/>
        </w:rPr>
      </w:pPr>
    </w:p>
    <w:p w14:paraId="78E8174B" w14:textId="50B8A935" w:rsidR="004C223F" w:rsidRPr="00191ACB" w:rsidRDefault="004C223F"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lastRenderedPageBreak/>
        <w:t>In 2016,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emissions contributed 88.6% to the total AFOLU emissions while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xml:space="preserve"> was 8.4%. The least was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with 3.0%</w:t>
      </w:r>
      <w:r w:rsidR="00E32D4A"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The source for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was mainly from land conversion, wood removals, fuelwood removals, biomass burning and liming.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and CH</w:t>
      </w:r>
      <w:r w:rsidRPr="00191ACB">
        <w:rPr>
          <w:rFonts w:ascii="Times New Roman" w:hAnsi="Times New Roman" w:cs="Times New Roman"/>
          <w:color w:val="000000" w:themeColor="text1"/>
          <w:sz w:val="24"/>
          <w:szCs w:val="24"/>
          <w:vertAlign w:val="subscript"/>
        </w:rPr>
        <w:t xml:space="preserve">4 </w:t>
      </w:r>
      <w:r w:rsidRPr="00191ACB">
        <w:rPr>
          <w:rFonts w:ascii="Times New Roman" w:hAnsi="Times New Roman" w:cs="Times New Roman"/>
          <w:color w:val="000000" w:themeColor="text1"/>
          <w:sz w:val="24"/>
          <w:szCs w:val="24"/>
        </w:rPr>
        <w:t xml:space="preserve">emissions were mainly from manure management and enteric fermentation, respectively.  </w:t>
      </w:r>
    </w:p>
    <w:p w14:paraId="7A85D8A9" w14:textId="54F90300" w:rsidR="004C223F" w:rsidRDefault="004C223F"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Precursor gases to include; NOx, CO, NMVOC, SOx and NH</w:t>
      </w:r>
      <w:r w:rsidRPr="00191ACB">
        <w:rPr>
          <w:rFonts w:ascii="Times New Roman" w:hAnsi="Times New Roman" w:cs="Times New Roman"/>
          <w:color w:val="000000" w:themeColor="text1"/>
          <w:sz w:val="24"/>
          <w:szCs w:val="24"/>
          <w:vertAlign w:val="subscript"/>
        </w:rPr>
        <w:t>3</w:t>
      </w:r>
      <w:r w:rsidRPr="00191ACB">
        <w:rPr>
          <w:rFonts w:ascii="Times New Roman" w:hAnsi="Times New Roman" w:cs="Times New Roman"/>
          <w:color w:val="000000" w:themeColor="text1"/>
          <w:sz w:val="24"/>
          <w:szCs w:val="24"/>
        </w:rPr>
        <w:t xml:space="preserve"> were estimated for sub category Aggregate sources and non-CO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 sources on land </w:t>
      </w:r>
      <w:r w:rsidR="00E32D4A" w:rsidRPr="00191ACB">
        <w:rPr>
          <w:rFonts w:ascii="Times New Roman" w:hAnsi="Times New Roman" w:cs="Times New Roman"/>
          <w:color w:val="000000" w:themeColor="text1"/>
          <w:sz w:val="24"/>
          <w:szCs w:val="24"/>
        </w:rPr>
        <w:t>which</w:t>
      </w:r>
      <w:r w:rsidRPr="00191ACB">
        <w:rPr>
          <w:rFonts w:ascii="Times New Roman" w:hAnsi="Times New Roman" w:cs="Times New Roman"/>
          <w:color w:val="000000" w:themeColor="text1"/>
          <w:sz w:val="24"/>
          <w:szCs w:val="24"/>
        </w:rPr>
        <w:t xml:space="preserve"> include; Biomass Burning in Forest Land, </w:t>
      </w:r>
      <w:r w:rsidRPr="00191ACB">
        <w:rPr>
          <w:rFonts w:ascii="Times New Roman" w:eastAsia="Times New Roman" w:hAnsi="Times New Roman" w:cs="Times New Roman"/>
          <w:color w:val="000000" w:themeColor="text1"/>
          <w:sz w:val="24"/>
          <w:szCs w:val="24"/>
        </w:rPr>
        <w:t>Biomass Burning for All other land (settlements), Biomass Burning in Grassland and Biomass Burning in C</w:t>
      </w:r>
      <w:r w:rsidRPr="00191ACB">
        <w:rPr>
          <w:rFonts w:ascii="Times New Roman" w:hAnsi="Times New Roman" w:cs="Times New Roman"/>
          <w:color w:val="000000" w:themeColor="text1"/>
          <w:sz w:val="24"/>
          <w:szCs w:val="24"/>
        </w:rPr>
        <w:t xml:space="preserve">rop Land.  </w:t>
      </w:r>
    </w:p>
    <w:p w14:paraId="6FF5000C" w14:textId="77777777" w:rsidR="00875942" w:rsidRPr="00191ACB" w:rsidRDefault="00875942" w:rsidP="00F04D87">
      <w:pPr>
        <w:spacing w:before="240" w:after="120" w:line="276" w:lineRule="auto"/>
        <w:jc w:val="both"/>
        <w:rPr>
          <w:rFonts w:ascii="Times New Roman" w:hAnsi="Times New Roman" w:cs="Times New Roman"/>
          <w:color w:val="000000" w:themeColor="text1"/>
          <w:sz w:val="24"/>
          <w:szCs w:val="24"/>
        </w:rPr>
      </w:pPr>
    </w:p>
    <w:p w14:paraId="7BD5CE4A" w14:textId="621DDE2F" w:rsidR="004C223F" w:rsidRPr="00182B0C" w:rsidRDefault="004C223F" w:rsidP="00182B0C">
      <w:pPr>
        <w:pStyle w:val="Heading3"/>
        <w:numPr>
          <w:ilvl w:val="2"/>
          <w:numId w:val="36"/>
        </w:numPr>
        <w:ind w:left="851" w:hanging="851"/>
        <w:rPr>
          <w:color w:val="auto"/>
        </w:rPr>
      </w:pPr>
      <w:bookmarkStart w:id="193" w:name="_Toc48427320"/>
      <w:bookmarkStart w:id="194" w:name="_Toc57902844"/>
      <w:r w:rsidRPr="00182B0C">
        <w:rPr>
          <w:color w:val="auto"/>
        </w:rPr>
        <w:t>Livestock</w:t>
      </w:r>
      <w:bookmarkEnd w:id="193"/>
      <w:bookmarkEnd w:id="194"/>
    </w:p>
    <w:p w14:paraId="5457F9AC" w14:textId="61D2F6D9" w:rsidR="004C223F" w:rsidRPr="00191ACB" w:rsidRDefault="004C223F" w:rsidP="00182B0C">
      <w:pPr>
        <w:pStyle w:val="Heading4"/>
        <w:numPr>
          <w:ilvl w:val="3"/>
          <w:numId w:val="36"/>
        </w:numPr>
        <w:ind w:left="851" w:hanging="851"/>
      </w:pPr>
      <w:bookmarkStart w:id="195" w:name="_Toc48427321"/>
      <w:r w:rsidRPr="00191ACB">
        <w:t>Overview</w:t>
      </w:r>
      <w:bookmarkEnd w:id="195"/>
    </w:p>
    <w:p w14:paraId="4E122103" w14:textId="77777777" w:rsidR="004C223F" w:rsidRPr="00191ACB" w:rsidRDefault="004C223F" w:rsidP="00F04D87">
      <w:pPr>
        <w:spacing w:before="240" w:after="120" w:line="276" w:lineRule="auto"/>
        <w:jc w:val="both"/>
        <w:rPr>
          <w:rFonts w:ascii="Times New Roman" w:hAnsi="Times New Roman" w:cs="Times New Roman"/>
          <w:i/>
          <w:color w:val="000000" w:themeColor="text1"/>
          <w:sz w:val="24"/>
          <w:szCs w:val="24"/>
        </w:rPr>
      </w:pPr>
      <w:r w:rsidRPr="00191ACB">
        <w:rPr>
          <w:rFonts w:ascii="Times New Roman" w:hAnsi="Times New Roman" w:cs="Times New Roman"/>
          <w:color w:val="000000" w:themeColor="text1"/>
          <w:sz w:val="24"/>
          <w:szCs w:val="24"/>
        </w:rPr>
        <w:t>This section provides emissions related to enteric fermentation and manure management. Overall, emissions in this subcategory increased by 25.8% from 1856.8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in 1994 to 4200.4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in 2016. Approximately, 94.2% of methane emissions were attributed to enteric fermentation and 5.8% to manure management.</w:t>
      </w:r>
    </w:p>
    <w:p w14:paraId="28894EA7" w14:textId="48B41FD7" w:rsidR="004C223F" w:rsidRPr="00191ACB" w:rsidRDefault="00C77F0F" w:rsidP="00182B0C">
      <w:pPr>
        <w:pStyle w:val="Heading4"/>
        <w:numPr>
          <w:ilvl w:val="3"/>
          <w:numId w:val="36"/>
        </w:numPr>
        <w:ind w:left="851" w:hanging="851"/>
        <w:rPr>
          <w:rFonts w:cs="Times New Roman"/>
          <w:b w:val="0"/>
          <w:color w:val="000000" w:themeColor="text1"/>
        </w:rPr>
      </w:pPr>
      <w:bookmarkStart w:id="196" w:name="_Toc48427322"/>
      <w:r w:rsidRPr="00182B0C">
        <w:t>Non</w:t>
      </w:r>
      <w:r w:rsidRPr="00191ACB">
        <w:rPr>
          <w:rFonts w:cs="Times New Roman"/>
          <w:b w:val="0"/>
          <w:color w:val="000000" w:themeColor="text1"/>
        </w:rPr>
        <w:t>-</w:t>
      </w:r>
      <w:r w:rsidRPr="00182B0C">
        <w:t>Dairy</w:t>
      </w:r>
      <w:r w:rsidR="004C223F" w:rsidRPr="00191ACB">
        <w:rPr>
          <w:rFonts w:cs="Times New Roman"/>
          <w:b w:val="0"/>
          <w:color w:val="000000" w:themeColor="text1"/>
        </w:rPr>
        <w:t xml:space="preserve"> </w:t>
      </w:r>
      <w:r w:rsidR="004C223F" w:rsidRPr="00182B0C">
        <w:t>Cattle</w:t>
      </w:r>
      <w:bookmarkEnd w:id="196"/>
    </w:p>
    <w:p w14:paraId="369B18FC" w14:textId="16647FEC" w:rsidR="004C223F" w:rsidRPr="00191ACB" w:rsidRDefault="00EB1B29" w:rsidP="00F04D87">
      <w:pPr>
        <w:spacing w:before="240" w:after="120" w:line="276" w:lineRule="auto"/>
        <w:jc w:val="both"/>
        <w:rPr>
          <w:rFonts w:ascii="Times New Roman" w:hAnsi="Times New Roman" w:cs="Times New Roman"/>
          <w:b/>
          <w:color w:val="000000" w:themeColor="text1"/>
          <w:sz w:val="24"/>
          <w:szCs w:val="24"/>
        </w:rPr>
      </w:pPr>
      <w:r w:rsidRPr="00191ACB">
        <w:rPr>
          <w:rFonts w:ascii="Times New Roman" w:hAnsi="Times New Roman" w:cs="Times New Roman"/>
          <w:color w:val="000000" w:themeColor="text1"/>
          <w:sz w:val="24"/>
          <w:szCs w:val="24"/>
        </w:rPr>
        <w:t>T</w:t>
      </w:r>
      <w:r w:rsidR="004C223F" w:rsidRPr="00191ACB">
        <w:rPr>
          <w:rFonts w:ascii="Times New Roman" w:hAnsi="Times New Roman" w:cs="Times New Roman"/>
          <w:color w:val="000000" w:themeColor="text1"/>
          <w:sz w:val="24"/>
          <w:szCs w:val="24"/>
        </w:rPr>
        <w:t>here was a 10.65 percent decline in the total livestock emissions between 2000 and 2005. The reduction in emissions was as a result of declining cattle population in 2005 due to the Contagious Bovine Pluero-Pneumonia outbreak reported in Zambia that lead to high cattle mortalities. Further, during disease control operations, all cattle that tested positive to the disease were slaughtered.  Methane emissions from buffalo under captivity have been taken into consideration in the calculation of emissions for the years 2005 and 2010</w:t>
      </w:r>
      <w:r w:rsidR="008433E9" w:rsidRPr="00191ACB">
        <w:rPr>
          <w:rFonts w:ascii="Times New Roman" w:hAnsi="Times New Roman" w:cs="Times New Roman"/>
          <w:color w:val="000000" w:themeColor="text1"/>
          <w:sz w:val="24"/>
          <w:szCs w:val="24"/>
        </w:rPr>
        <w:t>,</w:t>
      </w:r>
      <w:r w:rsidR="004C223F" w:rsidRPr="00191ACB">
        <w:rPr>
          <w:rFonts w:ascii="Times New Roman" w:hAnsi="Times New Roman" w:cs="Times New Roman"/>
          <w:color w:val="000000" w:themeColor="text1"/>
          <w:sz w:val="24"/>
          <w:szCs w:val="24"/>
        </w:rPr>
        <w:t xml:space="preserve"> </w:t>
      </w:r>
      <w:r w:rsidR="008433E9" w:rsidRPr="00191ACB">
        <w:rPr>
          <w:rFonts w:ascii="Times New Roman" w:hAnsi="Times New Roman" w:cs="Times New Roman"/>
          <w:color w:val="000000" w:themeColor="text1"/>
          <w:sz w:val="24"/>
          <w:szCs w:val="24"/>
        </w:rPr>
        <w:t>although</w:t>
      </w:r>
      <w:r w:rsidR="004C223F" w:rsidRPr="00191ACB">
        <w:rPr>
          <w:rFonts w:ascii="Times New Roman" w:hAnsi="Times New Roman" w:cs="Times New Roman"/>
          <w:color w:val="000000" w:themeColor="text1"/>
          <w:sz w:val="24"/>
          <w:szCs w:val="24"/>
        </w:rPr>
        <w:t xml:space="preserve"> the numbers of buffalo </w:t>
      </w:r>
      <w:r w:rsidR="008433E9" w:rsidRPr="00191ACB">
        <w:rPr>
          <w:rFonts w:ascii="Times New Roman" w:hAnsi="Times New Roman" w:cs="Times New Roman"/>
          <w:color w:val="000000" w:themeColor="text1"/>
          <w:sz w:val="24"/>
          <w:szCs w:val="24"/>
        </w:rPr>
        <w:t>were relatively fewer compared to other livestock population</w:t>
      </w:r>
      <w:r w:rsidR="004C223F" w:rsidRPr="00191ACB">
        <w:rPr>
          <w:rFonts w:ascii="Times New Roman" w:hAnsi="Times New Roman" w:cs="Times New Roman"/>
          <w:color w:val="000000" w:themeColor="text1"/>
          <w:sz w:val="24"/>
          <w:szCs w:val="24"/>
        </w:rPr>
        <w:t xml:space="preserve">. </w:t>
      </w:r>
      <w:r w:rsidR="004C223F" w:rsidRPr="00191ACB">
        <w:rPr>
          <w:rFonts w:ascii="Times New Roman" w:hAnsi="Times New Roman" w:cs="Times New Roman"/>
          <w:b/>
          <w:color w:val="000000" w:themeColor="text1"/>
          <w:sz w:val="24"/>
          <w:szCs w:val="24"/>
        </w:rPr>
        <w:t xml:space="preserve">  </w:t>
      </w:r>
    </w:p>
    <w:p w14:paraId="35B18551" w14:textId="6DD8F5BB" w:rsidR="004C223F" w:rsidRPr="00191ACB" w:rsidRDefault="004C223F" w:rsidP="00F04D87">
      <w:pPr>
        <w:spacing w:before="240"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There was an increase in</w:t>
      </w:r>
      <w:r w:rsidR="008433E9" w:rsidRPr="00191ACB">
        <w:rPr>
          <w:rFonts w:ascii="Times New Roman" w:hAnsi="Times New Roman" w:cs="Times New Roman"/>
          <w:color w:val="000000" w:themeColor="text1"/>
          <w:sz w:val="24"/>
          <w:szCs w:val="24"/>
          <w:highlight w:val="white"/>
        </w:rPr>
        <w:t xml:space="preserve"> non-dairy cattle</w:t>
      </w:r>
      <w:r w:rsidRPr="00191ACB">
        <w:rPr>
          <w:rFonts w:ascii="Times New Roman" w:hAnsi="Times New Roman" w:cs="Times New Roman"/>
          <w:color w:val="000000" w:themeColor="text1"/>
          <w:sz w:val="24"/>
          <w:szCs w:val="24"/>
          <w:highlight w:val="white"/>
        </w:rPr>
        <w:t xml:space="preserve"> population from 1,748,856 in 2011 to 2,109,231 in 2016</w:t>
      </w:r>
      <w:r w:rsidR="008433E9" w:rsidRPr="00191ACB">
        <w:rPr>
          <w:rFonts w:ascii="Times New Roman" w:hAnsi="Times New Roman" w:cs="Times New Roman"/>
          <w:color w:val="000000" w:themeColor="text1"/>
          <w:sz w:val="24"/>
          <w:szCs w:val="24"/>
          <w:highlight w:val="white"/>
        </w:rPr>
        <w:t>,</w:t>
      </w:r>
      <w:r w:rsidRPr="00191ACB">
        <w:rPr>
          <w:rFonts w:ascii="Times New Roman" w:hAnsi="Times New Roman" w:cs="Times New Roman"/>
          <w:color w:val="000000" w:themeColor="text1"/>
          <w:sz w:val="24"/>
          <w:szCs w:val="24"/>
          <w:highlight w:val="white"/>
        </w:rPr>
        <w:t xml:space="preserve"> translat</w:t>
      </w:r>
      <w:r w:rsidR="008433E9" w:rsidRPr="00191ACB">
        <w:rPr>
          <w:rFonts w:ascii="Times New Roman" w:hAnsi="Times New Roman" w:cs="Times New Roman"/>
          <w:color w:val="000000" w:themeColor="text1"/>
          <w:sz w:val="24"/>
          <w:szCs w:val="24"/>
          <w:highlight w:val="white"/>
        </w:rPr>
        <w:t>ing</w:t>
      </w:r>
      <w:r w:rsidRPr="00191ACB">
        <w:rPr>
          <w:rFonts w:ascii="Times New Roman" w:hAnsi="Times New Roman" w:cs="Times New Roman"/>
          <w:color w:val="000000" w:themeColor="text1"/>
          <w:sz w:val="24"/>
          <w:szCs w:val="24"/>
          <w:highlight w:val="white"/>
        </w:rPr>
        <w:t xml:space="preserve"> into a 17</w:t>
      </w:r>
      <w:r w:rsidR="008433E9" w:rsidRPr="00191ACB">
        <w:rPr>
          <w:rFonts w:ascii="Times New Roman" w:hAnsi="Times New Roman" w:cs="Times New Roman"/>
          <w:color w:val="000000" w:themeColor="text1"/>
          <w:sz w:val="24"/>
          <w:szCs w:val="24"/>
          <w:highlight w:val="white"/>
        </w:rPr>
        <w:t xml:space="preserve"> percent</w:t>
      </w:r>
      <w:r w:rsidRPr="00191ACB">
        <w:rPr>
          <w:rFonts w:ascii="Times New Roman" w:hAnsi="Times New Roman" w:cs="Times New Roman"/>
          <w:color w:val="000000" w:themeColor="text1"/>
          <w:sz w:val="24"/>
          <w:szCs w:val="24"/>
          <w:highlight w:val="white"/>
        </w:rPr>
        <w:t xml:space="preserve"> </w:t>
      </w:r>
      <w:r w:rsidR="008433E9" w:rsidRPr="00191ACB">
        <w:rPr>
          <w:rFonts w:ascii="Times New Roman" w:hAnsi="Times New Roman" w:cs="Times New Roman"/>
          <w:color w:val="000000" w:themeColor="text1"/>
          <w:sz w:val="24"/>
          <w:szCs w:val="24"/>
          <w:highlight w:val="white"/>
        </w:rPr>
        <w:t xml:space="preserve">increase </w:t>
      </w:r>
      <w:r w:rsidRPr="00191ACB">
        <w:rPr>
          <w:rFonts w:ascii="Times New Roman" w:hAnsi="Times New Roman" w:cs="Times New Roman"/>
          <w:color w:val="000000" w:themeColor="text1"/>
          <w:sz w:val="24"/>
          <w:szCs w:val="24"/>
          <w:highlight w:val="white"/>
        </w:rPr>
        <w:t xml:space="preserve">across 5 years. This </w:t>
      </w:r>
      <w:r w:rsidR="008433E9" w:rsidRPr="00191ACB">
        <w:rPr>
          <w:rFonts w:ascii="Times New Roman" w:hAnsi="Times New Roman" w:cs="Times New Roman"/>
          <w:color w:val="000000" w:themeColor="text1"/>
          <w:sz w:val="24"/>
          <w:szCs w:val="24"/>
          <w:highlight w:val="white"/>
        </w:rPr>
        <w:t>wa</w:t>
      </w:r>
      <w:r w:rsidRPr="00191ACB">
        <w:rPr>
          <w:rFonts w:ascii="Times New Roman" w:hAnsi="Times New Roman" w:cs="Times New Roman"/>
          <w:color w:val="000000" w:themeColor="text1"/>
          <w:sz w:val="24"/>
          <w:szCs w:val="24"/>
          <w:highlight w:val="white"/>
        </w:rPr>
        <w:t>s attributed to the Government's efforts in promoting livestock production in the country. Some of the notable specific interventions include</w:t>
      </w:r>
      <w:r w:rsidR="005B63B3" w:rsidRPr="00191ACB">
        <w:rPr>
          <w:rFonts w:ascii="Times New Roman" w:hAnsi="Times New Roman" w:cs="Times New Roman"/>
          <w:color w:val="000000" w:themeColor="text1"/>
          <w:sz w:val="24"/>
          <w:szCs w:val="24"/>
          <w:highlight w:val="white"/>
        </w:rPr>
        <w:t>d</w:t>
      </w:r>
      <w:r w:rsidRPr="00191ACB">
        <w:rPr>
          <w:rFonts w:ascii="Times New Roman" w:hAnsi="Times New Roman" w:cs="Times New Roman"/>
          <w:color w:val="000000" w:themeColor="text1"/>
          <w:sz w:val="24"/>
          <w:szCs w:val="24"/>
          <w:highlight w:val="white"/>
        </w:rPr>
        <w:t xml:space="preserve"> improved pasture production programmes, stocking and restocking activities. </w:t>
      </w:r>
      <w:r w:rsidR="005B63B3" w:rsidRPr="00191ACB">
        <w:rPr>
          <w:rFonts w:ascii="Times New Roman" w:hAnsi="Times New Roman" w:cs="Times New Roman"/>
          <w:color w:val="000000" w:themeColor="text1"/>
          <w:sz w:val="24"/>
          <w:szCs w:val="24"/>
          <w:highlight w:val="white"/>
        </w:rPr>
        <w:t>In addition</w:t>
      </w:r>
      <w:r w:rsidRPr="00191ACB">
        <w:rPr>
          <w:rFonts w:ascii="Times New Roman" w:hAnsi="Times New Roman" w:cs="Times New Roman"/>
          <w:color w:val="000000" w:themeColor="text1"/>
          <w:sz w:val="24"/>
          <w:szCs w:val="24"/>
          <w:highlight w:val="white"/>
        </w:rPr>
        <w:t xml:space="preserve">, the Government has promoted routine vaccinations against Contagious Bovine Pleuropneumonia (CBPP) and immunisation against East Coast Fever (ECF). The interventions </w:t>
      </w:r>
      <w:r w:rsidR="005B63B3" w:rsidRPr="00191ACB">
        <w:rPr>
          <w:rFonts w:ascii="Times New Roman" w:hAnsi="Times New Roman" w:cs="Times New Roman"/>
          <w:color w:val="000000" w:themeColor="text1"/>
          <w:sz w:val="24"/>
          <w:szCs w:val="24"/>
          <w:highlight w:val="white"/>
        </w:rPr>
        <w:t>led to a</w:t>
      </w:r>
      <w:r w:rsidRPr="00191ACB">
        <w:rPr>
          <w:rFonts w:ascii="Times New Roman" w:hAnsi="Times New Roman" w:cs="Times New Roman"/>
          <w:color w:val="000000" w:themeColor="text1"/>
          <w:sz w:val="24"/>
          <w:szCs w:val="24"/>
          <w:highlight w:val="white"/>
        </w:rPr>
        <w:t xml:space="preserve"> reduc</w:t>
      </w:r>
      <w:r w:rsidR="005B63B3" w:rsidRPr="00191ACB">
        <w:rPr>
          <w:rFonts w:ascii="Times New Roman" w:hAnsi="Times New Roman" w:cs="Times New Roman"/>
          <w:color w:val="000000" w:themeColor="text1"/>
          <w:sz w:val="24"/>
          <w:szCs w:val="24"/>
          <w:highlight w:val="white"/>
        </w:rPr>
        <w:t>tion</w:t>
      </w:r>
      <w:r w:rsidRPr="00191ACB">
        <w:rPr>
          <w:rFonts w:ascii="Times New Roman" w:hAnsi="Times New Roman" w:cs="Times New Roman"/>
          <w:color w:val="000000" w:themeColor="text1"/>
          <w:sz w:val="24"/>
          <w:szCs w:val="24"/>
          <w:highlight w:val="white"/>
        </w:rPr>
        <w:t xml:space="preserve"> </w:t>
      </w:r>
      <w:r w:rsidR="005B63B3" w:rsidRPr="00191ACB">
        <w:rPr>
          <w:rFonts w:ascii="Times New Roman" w:hAnsi="Times New Roman" w:cs="Times New Roman"/>
          <w:color w:val="000000" w:themeColor="text1"/>
          <w:sz w:val="24"/>
          <w:szCs w:val="24"/>
          <w:highlight w:val="white"/>
        </w:rPr>
        <w:t xml:space="preserve">in </w:t>
      </w:r>
      <w:r w:rsidRPr="00191ACB">
        <w:rPr>
          <w:rFonts w:ascii="Times New Roman" w:hAnsi="Times New Roman" w:cs="Times New Roman"/>
          <w:color w:val="000000" w:themeColor="text1"/>
          <w:sz w:val="24"/>
          <w:szCs w:val="24"/>
          <w:highlight w:val="white"/>
        </w:rPr>
        <w:t xml:space="preserve">mortalities. </w:t>
      </w:r>
      <w:r w:rsidR="005B63B3" w:rsidRPr="00191ACB">
        <w:rPr>
          <w:rFonts w:ascii="Times New Roman" w:hAnsi="Times New Roman" w:cs="Times New Roman"/>
          <w:color w:val="000000" w:themeColor="text1"/>
          <w:sz w:val="24"/>
          <w:szCs w:val="24"/>
          <w:highlight w:val="white"/>
        </w:rPr>
        <w:t>N</w:t>
      </w:r>
      <w:r w:rsidRPr="00191ACB">
        <w:rPr>
          <w:rFonts w:ascii="Times New Roman" w:hAnsi="Times New Roman" w:cs="Times New Roman"/>
          <w:color w:val="000000" w:themeColor="text1"/>
          <w:sz w:val="24"/>
          <w:szCs w:val="24"/>
          <w:highlight w:val="white"/>
        </w:rPr>
        <w:t>ever</w:t>
      </w:r>
      <w:r w:rsidR="005B63B3" w:rsidRPr="00191ACB">
        <w:rPr>
          <w:rFonts w:ascii="Times New Roman" w:hAnsi="Times New Roman" w:cs="Times New Roman"/>
          <w:color w:val="000000" w:themeColor="text1"/>
          <w:sz w:val="24"/>
          <w:szCs w:val="24"/>
          <w:highlight w:val="white"/>
        </w:rPr>
        <w:t>theless,</w:t>
      </w:r>
      <w:r w:rsidRPr="00191ACB">
        <w:rPr>
          <w:rFonts w:ascii="Times New Roman" w:hAnsi="Times New Roman" w:cs="Times New Roman"/>
          <w:color w:val="000000" w:themeColor="text1"/>
          <w:sz w:val="24"/>
          <w:szCs w:val="24"/>
          <w:highlight w:val="white"/>
        </w:rPr>
        <w:t xml:space="preserve"> a 6</w:t>
      </w:r>
      <w:r w:rsidR="008433E9" w:rsidRPr="00191ACB">
        <w:rPr>
          <w:rFonts w:ascii="Times New Roman" w:hAnsi="Times New Roman" w:cs="Times New Roman"/>
          <w:color w:val="000000" w:themeColor="text1"/>
          <w:sz w:val="24"/>
          <w:szCs w:val="24"/>
          <w:highlight w:val="white"/>
        </w:rPr>
        <w:t xml:space="preserve"> percent</w:t>
      </w:r>
      <w:r w:rsidRPr="00191ACB">
        <w:rPr>
          <w:rFonts w:ascii="Times New Roman" w:hAnsi="Times New Roman" w:cs="Times New Roman"/>
          <w:color w:val="000000" w:themeColor="text1"/>
          <w:sz w:val="24"/>
          <w:szCs w:val="24"/>
          <w:highlight w:val="white"/>
        </w:rPr>
        <w:t xml:space="preserve"> d</w:t>
      </w:r>
      <w:r w:rsidR="005B63B3" w:rsidRPr="00191ACB">
        <w:rPr>
          <w:rFonts w:ascii="Times New Roman" w:hAnsi="Times New Roman" w:cs="Times New Roman"/>
          <w:color w:val="000000" w:themeColor="text1"/>
          <w:sz w:val="24"/>
          <w:szCs w:val="24"/>
          <w:highlight w:val="white"/>
        </w:rPr>
        <w:t xml:space="preserve">ecrease </w:t>
      </w:r>
      <w:r w:rsidRPr="00191ACB">
        <w:rPr>
          <w:rFonts w:ascii="Times New Roman" w:hAnsi="Times New Roman" w:cs="Times New Roman"/>
          <w:color w:val="000000" w:themeColor="text1"/>
          <w:sz w:val="24"/>
          <w:szCs w:val="24"/>
          <w:highlight w:val="white"/>
        </w:rPr>
        <w:t>was observed from 2015 to 2016</w:t>
      </w:r>
      <w:r w:rsidR="005B63B3" w:rsidRPr="00191ACB">
        <w:rPr>
          <w:rFonts w:ascii="Times New Roman" w:hAnsi="Times New Roman" w:cs="Times New Roman"/>
          <w:color w:val="000000" w:themeColor="text1"/>
          <w:sz w:val="24"/>
          <w:szCs w:val="24"/>
          <w:highlight w:val="white"/>
        </w:rPr>
        <w:t xml:space="preserve"> which could be</w:t>
      </w:r>
      <w:r w:rsidRPr="00191ACB">
        <w:rPr>
          <w:rFonts w:ascii="Times New Roman" w:hAnsi="Times New Roman" w:cs="Times New Roman"/>
          <w:color w:val="000000" w:themeColor="text1"/>
          <w:sz w:val="24"/>
          <w:szCs w:val="24"/>
          <w:highlight w:val="white"/>
        </w:rPr>
        <w:t xml:space="preserve"> attributed </w:t>
      </w:r>
      <w:r w:rsidR="00FE7383" w:rsidRPr="00191ACB">
        <w:rPr>
          <w:rFonts w:ascii="Times New Roman" w:hAnsi="Times New Roman" w:cs="Times New Roman"/>
          <w:color w:val="000000" w:themeColor="text1"/>
          <w:sz w:val="24"/>
          <w:szCs w:val="24"/>
          <w:highlight w:val="white"/>
        </w:rPr>
        <w:t xml:space="preserve">to drought conditions as a result </w:t>
      </w:r>
      <w:r w:rsidRPr="00191ACB">
        <w:rPr>
          <w:rFonts w:ascii="Times New Roman" w:hAnsi="Times New Roman" w:cs="Times New Roman"/>
          <w:color w:val="000000" w:themeColor="text1"/>
          <w:sz w:val="24"/>
          <w:szCs w:val="24"/>
          <w:highlight w:val="white"/>
        </w:rPr>
        <w:t>o</w:t>
      </w:r>
      <w:r w:rsidR="00FE7383" w:rsidRPr="00191ACB">
        <w:rPr>
          <w:rFonts w:ascii="Times New Roman" w:hAnsi="Times New Roman" w:cs="Times New Roman"/>
          <w:color w:val="000000" w:themeColor="text1"/>
          <w:sz w:val="24"/>
          <w:szCs w:val="24"/>
          <w:highlight w:val="white"/>
        </w:rPr>
        <w:t>f</w:t>
      </w:r>
      <w:r w:rsidRPr="00191ACB">
        <w:rPr>
          <w:rFonts w:ascii="Times New Roman" w:hAnsi="Times New Roman" w:cs="Times New Roman"/>
          <w:color w:val="000000" w:themeColor="text1"/>
          <w:sz w:val="24"/>
          <w:szCs w:val="24"/>
          <w:highlight w:val="white"/>
        </w:rPr>
        <w:t xml:space="preserve"> the El </w:t>
      </w:r>
      <w:r w:rsidR="0053584D" w:rsidRPr="00191ACB">
        <w:rPr>
          <w:rFonts w:ascii="Times New Roman" w:hAnsi="Times New Roman" w:cs="Times New Roman"/>
          <w:color w:val="000000" w:themeColor="text1"/>
          <w:sz w:val="24"/>
          <w:szCs w:val="24"/>
          <w:highlight w:val="white"/>
        </w:rPr>
        <w:t>Niño</w:t>
      </w:r>
      <w:r w:rsidRPr="00191ACB">
        <w:rPr>
          <w:rFonts w:ascii="Times New Roman" w:hAnsi="Times New Roman" w:cs="Times New Roman"/>
          <w:color w:val="000000" w:themeColor="text1"/>
          <w:sz w:val="24"/>
          <w:szCs w:val="24"/>
          <w:highlight w:val="white"/>
        </w:rPr>
        <w:t xml:space="preserve"> which was experienced in 2015/16 farming season. In Zambia, the effects of El Niño were classified as the most severe in the last fifty years (ZVAC, 2016).</w:t>
      </w:r>
    </w:p>
    <w:p w14:paraId="1C2B8E4A" w14:textId="4C5B7DCB" w:rsidR="004C223F" w:rsidRPr="00191ACB" w:rsidRDefault="004C223F" w:rsidP="00F04D87">
      <w:pPr>
        <w:spacing w:before="240"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 xml:space="preserve">The El </w:t>
      </w:r>
      <w:r w:rsidR="0053584D" w:rsidRPr="00191ACB">
        <w:rPr>
          <w:rFonts w:ascii="Times New Roman" w:hAnsi="Times New Roman" w:cs="Times New Roman"/>
          <w:color w:val="000000" w:themeColor="text1"/>
          <w:sz w:val="24"/>
          <w:szCs w:val="24"/>
          <w:highlight w:val="white"/>
        </w:rPr>
        <w:t>Niño</w:t>
      </w:r>
      <w:r w:rsidRPr="00191ACB">
        <w:rPr>
          <w:rFonts w:ascii="Times New Roman" w:hAnsi="Times New Roman" w:cs="Times New Roman"/>
          <w:color w:val="000000" w:themeColor="text1"/>
          <w:sz w:val="24"/>
          <w:szCs w:val="24"/>
          <w:highlight w:val="white"/>
        </w:rPr>
        <w:t xml:space="preserve"> </w:t>
      </w:r>
      <w:r w:rsidR="00FE7383" w:rsidRPr="00191ACB">
        <w:rPr>
          <w:rFonts w:ascii="Times New Roman" w:hAnsi="Times New Roman" w:cs="Times New Roman"/>
          <w:color w:val="000000" w:themeColor="text1"/>
          <w:sz w:val="24"/>
          <w:szCs w:val="24"/>
          <w:highlight w:val="white"/>
        </w:rPr>
        <w:t xml:space="preserve">led to reduced </w:t>
      </w:r>
      <w:r w:rsidRPr="00191ACB">
        <w:rPr>
          <w:rFonts w:ascii="Times New Roman" w:hAnsi="Times New Roman" w:cs="Times New Roman"/>
          <w:color w:val="000000" w:themeColor="text1"/>
          <w:sz w:val="24"/>
          <w:szCs w:val="24"/>
          <w:highlight w:val="white"/>
        </w:rPr>
        <w:t xml:space="preserve">availability </w:t>
      </w:r>
      <w:r w:rsidR="00FE7383" w:rsidRPr="00191ACB">
        <w:rPr>
          <w:rFonts w:ascii="Times New Roman" w:hAnsi="Times New Roman" w:cs="Times New Roman"/>
          <w:color w:val="000000" w:themeColor="text1"/>
          <w:sz w:val="24"/>
          <w:szCs w:val="24"/>
          <w:highlight w:val="white"/>
        </w:rPr>
        <w:t xml:space="preserve">and quality </w:t>
      </w:r>
      <w:r w:rsidRPr="00191ACB">
        <w:rPr>
          <w:rFonts w:ascii="Times New Roman" w:hAnsi="Times New Roman" w:cs="Times New Roman"/>
          <w:color w:val="000000" w:themeColor="text1"/>
          <w:sz w:val="24"/>
          <w:szCs w:val="24"/>
          <w:highlight w:val="white"/>
        </w:rPr>
        <w:t>of grazing and browsing resources for the animals</w:t>
      </w:r>
      <w:r w:rsidR="00FE7383" w:rsidRPr="00191ACB">
        <w:rPr>
          <w:rFonts w:ascii="Times New Roman" w:hAnsi="Times New Roman" w:cs="Times New Roman"/>
          <w:color w:val="000000" w:themeColor="text1"/>
          <w:sz w:val="24"/>
          <w:szCs w:val="24"/>
          <w:highlight w:val="white"/>
        </w:rPr>
        <w:t xml:space="preserve"> especially for</w:t>
      </w:r>
      <w:r w:rsidRPr="00191ACB">
        <w:rPr>
          <w:rFonts w:ascii="Times New Roman" w:hAnsi="Times New Roman" w:cs="Times New Roman"/>
          <w:color w:val="000000" w:themeColor="text1"/>
          <w:sz w:val="24"/>
          <w:szCs w:val="24"/>
          <w:highlight w:val="white"/>
        </w:rPr>
        <w:t xml:space="preserve"> smallholder </w:t>
      </w:r>
      <w:r w:rsidR="00FE7383" w:rsidRPr="00191ACB">
        <w:rPr>
          <w:rFonts w:ascii="Times New Roman" w:hAnsi="Times New Roman" w:cs="Times New Roman"/>
          <w:color w:val="000000" w:themeColor="text1"/>
          <w:sz w:val="24"/>
          <w:szCs w:val="24"/>
          <w:highlight w:val="white"/>
        </w:rPr>
        <w:t xml:space="preserve">farmers whose animals rely on natural pasture. Pregnant animals were the </w:t>
      </w:r>
      <w:r w:rsidRPr="00191ACB">
        <w:rPr>
          <w:rFonts w:ascii="Times New Roman" w:hAnsi="Times New Roman" w:cs="Times New Roman"/>
          <w:color w:val="000000" w:themeColor="text1"/>
          <w:sz w:val="24"/>
          <w:szCs w:val="24"/>
          <w:highlight w:val="white"/>
        </w:rPr>
        <w:t>most affected</w:t>
      </w:r>
      <w:r w:rsidR="00FE7383" w:rsidRPr="00191ACB">
        <w:rPr>
          <w:rFonts w:ascii="Times New Roman" w:hAnsi="Times New Roman" w:cs="Times New Roman"/>
          <w:color w:val="000000" w:themeColor="text1"/>
          <w:sz w:val="24"/>
          <w:szCs w:val="24"/>
          <w:highlight w:val="white"/>
        </w:rPr>
        <w:t>,</w:t>
      </w:r>
      <w:r w:rsidRPr="00191ACB">
        <w:rPr>
          <w:rFonts w:ascii="Times New Roman" w:hAnsi="Times New Roman" w:cs="Times New Roman"/>
          <w:color w:val="000000" w:themeColor="text1"/>
          <w:sz w:val="24"/>
          <w:szCs w:val="24"/>
          <w:highlight w:val="white"/>
        </w:rPr>
        <w:t xml:space="preserve"> most of </w:t>
      </w:r>
      <w:r w:rsidR="00FE7383" w:rsidRPr="00191ACB">
        <w:rPr>
          <w:rFonts w:ascii="Times New Roman" w:hAnsi="Times New Roman" w:cs="Times New Roman"/>
          <w:color w:val="000000" w:themeColor="text1"/>
          <w:sz w:val="24"/>
          <w:szCs w:val="24"/>
          <w:highlight w:val="white"/>
        </w:rPr>
        <w:t>which</w:t>
      </w:r>
      <w:r w:rsidRPr="00191ACB">
        <w:rPr>
          <w:rFonts w:ascii="Times New Roman" w:hAnsi="Times New Roman" w:cs="Times New Roman"/>
          <w:color w:val="000000" w:themeColor="text1"/>
          <w:sz w:val="24"/>
          <w:szCs w:val="24"/>
          <w:highlight w:val="white"/>
        </w:rPr>
        <w:t xml:space="preserve"> died from Dystocia</w:t>
      </w:r>
      <w:r w:rsidR="00FE7383" w:rsidRPr="00191ACB">
        <w:rPr>
          <w:rFonts w:ascii="Times New Roman" w:hAnsi="Times New Roman" w:cs="Times New Roman"/>
          <w:i/>
          <w:iCs/>
          <w:color w:val="000000" w:themeColor="text1"/>
          <w:sz w:val="24"/>
          <w:szCs w:val="24"/>
          <w:highlight w:val="white"/>
        </w:rPr>
        <w:t>-</w:t>
      </w:r>
      <w:r w:rsidRPr="00191ACB">
        <w:rPr>
          <w:rFonts w:ascii="Times New Roman" w:hAnsi="Times New Roman" w:cs="Times New Roman"/>
          <w:color w:val="000000" w:themeColor="text1"/>
          <w:sz w:val="24"/>
          <w:szCs w:val="24"/>
          <w:highlight w:val="white"/>
        </w:rPr>
        <w:t xml:space="preserve"> a condition resulting from lack of energy for muscle contraction at the time of giving birth. </w:t>
      </w:r>
      <w:r w:rsidR="0053584D" w:rsidRPr="00191ACB">
        <w:rPr>
          <w:rFonts w:ascii="Times New Roman" w:hAnsi="Times New Roman" w:cs="Times New Roman"/>
          <w:color w:val="000000" w:themeColor="text1"/>
          <w:sz w:val="24"/>
          <w:szCs w:val="24"/>
          <w:highlight w:val="white"/>
        </w:rPr>
        <w:t xml:space="preserve"> </w:t>
      </w:r>
    </w:p>
    <w:p w14:paraId="6C2530DD" w14:textId="77777777" w:rsidR="00FC4FC5" w:rsidRPr="00191ACB" w:rsidRDefault="00FC4FC5" w:rsidP="005E626A">
      <w:pPr>
        <w:spacing w:before="240" w:after="120" w:line="240" w:lineRule="auto"/>
        <w:jc w:val="both"/>
        <w:rPr>
          <w:rFonts w:ascii="Times New Roman" w:hAnsi="Times New Roman" w:cs="Times New Roman"/>
          <w:color w:val="000000" w:themeColor="text1"/>
          <w:sz w:val="24"/>
          <w:szCs w:val="24"/>
          <w:highlight w:val="white"/>
        </w:rPr>
      </w:pPr>
    </w:p>
    <w:p w14:paraId="4DFE77BC" w14:textId="030B432B" w:rsidR="004C223F" w:rsidRPr="00182B0C" w:rsidRDefault="004C223F" w:rsidP="00182B0C">
      <w:pPr>
        <w:pStyle w:val="Heading4"/>
        <w:numPr>
          <w:ilvl w:val="3"/>
          <w:numId w:val="36"/>
        </w:numPr>
        <w:ind w:left="851" w:hanging="851"/>
      </w:pPr>
      <w:bookmarkStart w:id="197" w:name="_Toc48427323"/>
      <w:r w:rsidRPr="00182B0C">
        <w:lastRenderedPageBreak/>
        <w:t>Dairy Cattle</w:t>
      </w:r>
      <w:bookmarkEnd w:id="197"/>
    </w:p>
    <w:p w14:paraId="39B7EFCF" w14:textId="77777777" w:rsidR="00CC540B" w:rsidRPr="00191ACB" w:rsidRDefault="004C223F" w:rsidP="00F04D87">
      <w:pPr>
        <w:spacing w:before="240"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The population of dairy cattle increased from 874,268 in 2011 to 1,279,734 in 2012 due to an increase in invest</w:t>
      </w:r>
      <w:r w:rsidR="00EC0F5B" w:rsidRPr="00191ACB">
        <w:rPr>
          <w:rFonts w:ascii="Times New Roman" w:hAnsi="Times New Roman" w:cs="Times New Roman"/>
          <w:color w:val="000000" w:themeColor="text1"/>
          <w:sz w:val="24"/>
          <w:szCs w:val="24"/>
          <w:highlight w:val="white"/>
        </w:rPr>
        <w:t xml:space="preserve">ment </w:t>
      </w:r>
      <w:r w:rsidRPr="00191ACB">
        <w:rPr>
          <w:rFonts w:ascii="Times New Roman" w:hAnsi="Times New Roman" w:cs="Times New Roman"/>
          <w:color w:val="000000" w:themeColor="text1"/>
          <w:sz w:val="24"/>
          <w:szCs w:val="24"/>
          <w:highlight w:val="white"/>
        </w:rPr>
        <w:t>in the dairy value chain</w:t>
      </w:r>
      <w:r w:rsidR="00EC0F5B" w:rsidRPr="00191ACB">
        <w:rPr>
          <w:rFonts w:ascii="Times New Roman" w:hAnsi="Times New Roman" w:cs="Times New Roman"/>
          <w:color w:val="000000" w:themeColor="text1"/>
          <w:sz w:val="24"/>
          <w:szCs w:val="24"/>
          <w:highlight w:val="white"/>
        </w:rPr>
        <w:t xml:space="preserve"> and guaranteed market for raw milk</w:t>
      </w:r>
      <w:r w:rsidRPr="00191ACB">
        <w:rPr>
          <w:rFonts w:ascii="Times New Roman" w:hAnsi="Times New Roman" w:cs="Times New Roman"/>
          <w:color w:val="000000" w:themeColor="text1"/>
          <w:sz w:val="24"/>
          <w:szCs w:val="24"/>
          <w:highlight w:val="white"/>
        </w:rPr>
        <w:t xml:space="preserve">. A steady population </w:t>
      </w:r>
      <w:r w:rsidR="00EC0F5B" w:rsidRPr="00191ACB">
        <w:rPr>
          <w:rFonts w:ascii="Times New Roman" w:hAnsi="Times New Roman" w:cs="Times New Roman"/>
          <w:color w:val="000000" w:themeColor="text1"/>
          <w:sz w:val="24"/>
          <w:szCs w:val="24"/>
          <w:highlight w:val="white"/>
        </w:rPr>
        <w:t>increase</w:t>
      </w:r>
      <w:r w:rsidRPr="00191ACB">
        <w:rPr>
          <w:rFonts w:ascii="Times New Roman" w:hAnsi="Times New Roman" w:cs="Times New Roman"/>
          <w:color w:val="000000" w:themeColor="text1"/>
          <w:sz w:val="24"/>
          <w:szCs w:val="24"/>
          <w:highlight w:val="white"/>
        </w:rPr>
        <w:t xml:space="preserve"> was observed from 2012 to 2014 due to</w:t>
      </w:r>
      <w:r w:rsidR="00EC0F5B" w:rsidRPr="00191ACB">
        <w:rPr>
          <w:rFonts w:ascii="Times New Roman" w:hAnsi="Times New Roman" w:cs="Times New Roman"/>
          <w:color w:val="000000" w:themeColor="text1"/>
          <w:sz w:val="24"/>
          <w:szCs w:val="24"/>
          <w:highlight w:val="white"/>
        </w:rPr>
        <w:t>: (i)</w:t>
      </w:r>
      <w:r w:rsidRPr="00191ACB">
        <w:rPr>
          <w:rFonts w:ascii="Times New Roman" w:hAnsi="Times New Roman" w:cs="Times New Roman"/>
          <w:color w:val="000000" w:themeColor="text1"/>
          <w:sz w:val="24"/>
          <w:szCs w:val="24"/>
          <w:highlight w:val="white"/>
        </w:rPr>
        <w:t xml:space="preserve"> demand </w:t>
      </w:r>
      <w:r w:rsidR="00EC0F5B" w:rsidRPr="00191ACB">
        <w:rPr>
          <w:rFonts w:ascii="Times New Roman" w:hAnsi="Times New Roman" w:cs="Times New Roman"/>
          <w:color w:val="000000" w:themeColor="text1"/>
          <w:sz w:val="24"/>
          <w:szCs w:val="24"/>
          <w:highlight w:val="white"/>
        </w:rPr>
        <w:t>for</w:t>
      </w:r>
      <w:r w:rsidRPr="00191ACB">
        <w:rPr>
          <w:rFonts w:ascii="Times New Roman" w:hAnsi="Times New Roman" w:cs="Times New Roman"/>
          <w:color w:val="000000" w:themeColor="text1"/>
          <w:sz w:val="24"/>
          <w:szCs w:val="24"/>
          <w:highlight w:val="white"/>
        </w:rPr>
        <w:t xml:space="preserve"> dairy products</w:t>
      </w:r>
      <w:r w:rsidR="00EC0F5B" w:rsidRPr="00191ACB">
        <w:rPr>
          <w:rFonts w:ascii="Times New Roman" w:hAnsi="Times New Roman" w:cs="Times New Roman"/>
          <w:color w:val="000000" w:themeColor="text1"/>
          <w:sz w:val="24"/>
          <w:szCs w:val="24"/>
          <w:highlight w:val="white"/>
        </w:rPr>
        <w:t>, (ii) stocking and restocking programmes</w:t>
      </w:r>
      <w:r w:rsidRPr="00191ACB">
        <w:rPr>
          <w:rFonts w:ascii="Times New Roman" w:hAnsi="Times New Roman" w:cs="Times New Roman"/>
          <w:color w:val="000000" w:themeColor="text1"/>
          <w:sz w:val="24"/>
          <w:szCs w:val="24"/>
          <w:highlight w:val="white"/>
        </w:rPr>
        <w:t>.</w:t>
      </w:r>
    </w:p>
    <w:p w14:paraId="69D07E9A" w14:textId="16DC95E0" w:rsidR="00FC4FC5" w:rsidRPr="00191ACB" w:rsidRDefault="004C223F" w:rsidP="00F04D87">
      <w:pPr>
        <w:spacing w:before="240"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 xml:space="preserve">The stocking and restocking </w:t>
      </w:r>
      <w:r w:rsidR="00CC540B" w:rsidRPr="00191ACB">
        <w:rPr>
          <w:rFonts w:ascii="Times New Roman" w:hAnsi="Times New Roman" w:cs="Times New Roman"/>
          <w:color w:val="000000" w:themeColor="text1"/>
          <w:sz w:val="24"/>
          <w:szCs w:val="24"/>
          <w:highlight w:val="white"/>
        </w:rPr>
        <w:t xml:space="preserve">involved large numbers of animals </w:t>
      </w:r>
      <w:r w:rsidRPr="00191ACB">
        <w:rPr>
          <w:rFonts w:ascii="Times New Roman" w:hAnsi="Times New Roman" w:cs="Times New Roman"/>
          <w:color w:val="000000" w:themeColor="text1"/>
          <w:sz w:val="24"/>
          <w:szCs w:val="24"/>
          <w:highlight w:val="white"/>
        </w:rPr>
        <w:t>but within a season, most of the dairy animals died due</w:t>
      </w:r>
      <w:r w:rsidR="00CC540B" w:rsidRPr="00191ACB">
        <w:rPr>
          <w:rFonts w:ascii="Times New Roman" w:hAnsi="Times New Roman" w:cs="Times New Roman"/>
          <w:color w:val="000000" w:themeColor="text1"/>
          <w:sz w:val="24"/>
          <w:szCs w:val="24"/>
          <w:highlight w:val="white"/>
        </w:rPr>
        <w:t xml:space="preserve"> to</w:t>
      </w:r>
      <w:r w:rsidRPr="00191ACB">
        <w:rPr>
          <w:rFonts w:ascii="Times New Roman" w:hAnsi="Times New Roman" w:cs="Times New Roman"/>
          <w:color w:val="000000" w:themeColor="text1"/>
          <w:sz w:val="24"/>
          <w:szCs w:val="24"/>
          <w:highlight w:val="white"/>
        </w:rPr>
        <w:t xml:space="preserve"> inadequate grazing resources in the dry months, coupled with poor management by small scale farmers</w:t>
      </w:r>
      <w:r w:rsidR="00CC540B" w:rsidRPr="00191ACB">
        <w:rPr>
          <w:rFonts w:ascii="Times New Roman" w:hAnsi="Times New Roman" w:cs="Times New Roman"/>
          <w:color w:val="000000" w:themeColor="text1"/>
          <w:sz w:val="24"/>
          <w:szCs w:val="24"/>
          <w:highlight w:val="white"/>
        </w:rPr>
        <w:t xml:space="preserve"> resulting in reduced population for 2015 and 2016</w:t>
      </w:r>
      <w:r w:rsidRPr="00191ACB">
        <w:rPr>
          <w:rFonts w:ascii="Times New Roman" w:hAnsi="Times New Roman" w:cs="Times New Roman"/>
          <w:color w:val="000000" w:themeColor="text1"/>
          <w:sz w:val="24"/>
          <w:szCs w:val="24"/>
          <w:highlight w:val="white"/>
        </w:rPr>
        <w:t xml:space="preserve">. </w:t>
      </w:r>
    </w:p>
    <w:p w14:paraId="276E7058" w14:textId="77777777" w:rsidR="002762B4" w:rsidRPr="00191ACB" w:rsidRDefault="002762B4" w:rsidP="005E626A">
      <w:pPr>
        <w:spacing w:before="240" w:after="120" w:line="240" w:lineRule="auto"/>
        <w:jc w:val="both"/>
        <w:rPr>
          <w:rFonts w:ascii="Times New Roman" w:hAnsi="Times New Roman" w:cs="Times New Roman"/>
          <w:color w:val="000000" w:themeColor="text1"/>
          <w:sz w:val="24"/>
          <w:szCs w:val="24"/>
          <w:highlight w:val="white"/>
        </w:rPr>
      </w:pPr>
    </w:p>
    <w:p w14:paraId="24A5390A" w14:textId="7616C5E8" w:rsidR="004C223F" w:rsidRPr="00182B0C" w:rsidRDefault="004C223F" w:rsidP="00182B0C">
      <w:pPr>
        <w:pStyle w:val="Heading4"/>
        <w:numPr>
          <w:ilvl w:val="3"/>
          <w:numId w:val="36"/>
        </w:numPr>
        <w:ind w:left="851" w:hanging="851"/>
      </w:pPr>
      <w:bookmarkStart w:id="198" w:name="_Toc48427324"/>
      <w:r w:rsidRPr="00182B0C">
        <w:t>Small ruminants</w:t>
      </w:r>
      <w:bookmarkEnd w:id="198"/>
    </w:p>
    <w:p w14:paraId="7189EF13" w14:textId="0D46955C" w:rsidR="004C223F" w:rsidRPr="00191ACB" w:rsidRDefault="004C223F" w:rsidP="00F04D87">
      <w:pPr>
        <w:spacing w:before="240"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Small ruminants equally recorded an increase in population from 1,855,366 in 2011 to 2,632,277 in 2016</w:t>
      </w:r>
      <w:r w:rsidR="002762B4" w:rsidRPr="00191ACB">
        <w:rPr>
          <w:rFonts w:ascii="Times New Roman" w:hAnsi="Times New Roman" w:cs="Times New Roman"/>
          <w:color w:val="000000" w:themeColor="text1"/>
          <w:sz w:val="24"/>
          <w:szCs w:val="24"/>
          <w:highlight w:val="white"/>
        </w:rPr>
        <w:t>,</w:t>
      </w:r>
      <w:r w:rsidRPr="00191ACB">
        <w:rPr>
          <w:rFonts w:ascii="Times New Roman" w:hAnsi="Times New Roman" w:cs="Times New Roman"/>
          <w:color w:val="000000" w:themeColor="text1"/>
          <w:sz w:val="24"/>
          <w:szCs w:val="24"/>
          <w:highlight w:val="white"/>
        </w:rPr>
        <w:t xml:space="preserve"> translat</w:t>
      </w:r>
      <w:r w:rsidR="002762B4" w:rsidRPr="00191ACB">
        <w:rPr>
          <w:rFonts w:ascii="Times New Roman" w:hAnsi="Times New Roman" w:cs="Times New Roman"/>
          <w:color w:val="000000" w:themeColor="text1"/>
          <w:sz w:val="24"/>
          <w:szCs w:val="24"/>
          <w:highlight w:val="white"/>
        </w:rPr>
        <w:t>ing</w:t>
      </w:r>
      <w:r w:rsidRPr="00191ACB">
        <w:rPr>
          <w:rFonts w:ascii="Times New Roman" w:hAnsi="Times New Roman" w:cs="Times New Roman"/>
          <w:color w:val="000000" w:themeColor="text1"/>
          <w:sz w:val="24"/>
          <w:szCs w:val="24"/>
          <w:highlight w:val="white"/>
        </w:rPr>
        <w:t xml:space="preserve"> into 30</w:t>
      </w:r>
      <w:r w:rsidR="002762B4" w:rsidRPr="00191ACB">
        <w:rPr>
          <w:rFonts w:ascii="Times New Roman" w:hAnsi="Times New Roman" w:cs="Times New Roman"/>
          <w:color w:val="000000" w:themeColor="text1"/>
          <w:sz w:val="24"/>
          <w:szCs w:val="24"/>
          <w:highlight w:val="white"/>
        </w:rPr>
        <w:t xml:space="preserve"> percent </w:t>
      </w:r>
      <w:r w:rsidRPr="00191ACB">
        <w:rPr>
          <w:rFonts w:ascii="Times New Roman" w:hAnsi="Times New Roman" w:cs="Times New Roman"/>
          <w:color w:val="000000" w:themeColor="text1"/>
          <w:sz w:val="24"/>
          <w:szCs w:val="24"/>
          <w:highlight w:val="white"/>
        </w:rPr>
        <w:t>increase</w:t>
      </w:r>
      <w:r w:rsidR="002762B4" w:rsidRPr="00191ACB">
        <w:rPr>
          <w:rFonts w:ascii="Times New Roman" w:hAnsi="Times New Roman" w:cs="Times New Roman"/>
          <w:color w:val="000000" w:themeColor="text1"/>
          <w:sz w:val="24"/>
          <w:szCs w:val="24"/>
          <w:highlight w:val="white"/>
        </w:rPr>
        <w:t xml:space="preserve"> </w:t>
      </w:r>
      <w:r w:rsidR="002762B4" w:rsidRPr="00191ACB">
        <w:rPr>
          <w:rFonts w:ascii="Times New Roman" w:hAnsi="Times New Roman" w:cs="Times New Roman"/>
          <w:color w:val="000000" w:themeColor="text1"/>
          <w:sz w:val="24"/>
          <w:szCs w:val="24"/>
        </w:rPr>
        <w:t>(CSO, 2018)</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highlight w:val="white"/>
        </w:rPr>
        <w:t>Goat population increase</w:t>
      </w:r>
      <w:r w:rsidR="002762B4" w:rsidRPr="00191ACB">
        <w:rPr>
          <w:rFonts w:ascii="Times New Roman" w:hAnsi="Times New Roman" w:cs="Times New Roman"/>
          <w:color w:val="000000" w:themeColor="text1"/>
          <w:sz w:val="24"/>
          <w:szCs w:val="24"/>
          <w:highlight w:val="white"/>
        </w:rPr>
        <w:t>d</w:t>
      </w:r>
      <w:r w:rsidRPr="00191ACB">
        <w:rPr>
          <w:rFonts w:ascii="Times New Roman" w:hAnsi="Times New Roman" w:cs="Times New Roman"/>
          <w:color w:val="000000" w:themeColor="text1"/>
          <w:sz w:val="24"/>
          <w:szCs w:val="24"/>
          <w:highlight w:val="white"/>
        </w:rPr>
        <w:t xml:space="preserve"> from 2011 to 2016 due to a number of interventions</w:t>
      </w:r>
      <w:r w:rsidR="002762B4" w:rsidRPr="00191ACB">
        <w:rPr>
          <w:rFonts w:ascii="Times New Roman" w:hAnsi="Times New Roman" w:cs="Times New Roman"/>
          <w:color w:val="000000" w:themeColor="text1"/>
          <w:sz w:val="24"/>
          <w:szCs w:val="24"/>
          <w:highlight w:val="white"/>
        </w:rPr>
        <w:t xml:space="preserve"> which included s</w:t>
      </w:r>
      <w:r w:rsidRPr="00191ACB">
        <w:rPr>
          <w:rFonts w:ascii="Times New Roman" w:hAnsi="Times New Roman" w:cs="Times New Roman"/>
          <w:color w:val="000000" w:themeColor="text1"/>
          <w:sz w:val="24"/>
          <w:szCs w:val="24"/>
          <w:highlight w:val="white"/>
        </w:rPr>
        <w:t>tocking</w:t>
      </w:r>
      <w:r w:rsidR="002762B4" w:rsidRPr="00191ACB">
        <w:rPr>
          <w:rFonts w:ascii="Times New Roman" w:hAnsi="Times New Roman" w:cs="Times New Roman"/>
          <w:color w:val="000000" w:themeColor="text1"/>
          <w:sz w:val="24"/>
          <w:szCs w:val="24"/>
          <w:highlight w:val="white"/>
        </w:rPr>
        <w:t xml:space="preserve"> and demand for goat meat.</w:t>
      </w:r>
      <w:r w:rsidRPr="00191ACB">
        <w:rPr>
          <w:rFonts w:ascii="Times New Roman" w:hAnsi="Times New Roman" w:cs="Times New Roman"/>
          <w:color w:val="000000" w:themeColor="text1"/>
          <w:sz w:val="24"/>
          <w:szCs w:val="24"/>
          <w:highlight w:val="white"/>
        </w:rPr>
        <w:t xml:space="preserve"> </w:t>
      </w:r>
    </w:p>
    <w:p w14:paraId="56ACAB18" w14:textId="77777777" w:rsidR="00FC4FC5" w:rsidRPr="00191ACB" w:rsidRDefault="00FC4FC5" w:rsidP="005E626A">
      <w:pPr>
        <w:spacing w:before="240" w:after="120" w:line="240" w:lineRule="auto"/>
        <w:jc w:val="both"/>
        <w:rPr>
          <w:rFonts w:ascii="Times New Roman" w:hAnsi="Times New Roman" w:cs="Times New Roman"/>
          <w:color w:val="000000" w:themeColor="text1"/>
          <w:sz w:val="24"/>
          <w:szCs w:val="24"/>
          <w:highlight w:val="white"/>
        </w:rPr>
      </w:pPr>
    </w:p>
    <w:p w14:paraId="13F0EEC5" w14:textId="582D2503" w:rsidR="004C223F" w:rsidRPr="00182B0C" w:rsidRDefault="004C223F" w:rsidP="00182B0C">
      <w:pPr>
        <w:pStyle w:val="Heading4"/>
        <w:numPr>
          <w:ilvl w:val="3"/>
          <w:numId w:val="36"/>
        </w:numPr>
        <w:ind w:left="851" w:hanging="851"/>
      </w:pPr>
      <w:bookmarkStart w:id="199" w:name="_Toc48427325"/>
      <w:r w:rsidRPr="00182B0C">
        <w:t>Poultry</w:t>
      </w:r>
      <w:bookmarkEnd w:id="199"/>
    </w:p>
    <w:p w14:paraId="1D04A6E1" w14:textId="14235154" w:rsidR="004C223F" w:rsidRPr="00191ACB" w:rsidRDefault="00A2443A" w:rsidP="00F04D87">
      <w:pPr>
        <w:spacing w:before="240"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The</w:t>
      </w:r>
      <w:r w:rsidR="004C223F" w:rsidRPr="00191ACB">
        <w:rPr>
          <w:rFonts w:ascii="Times New Roman" w:hAnsi="Times New Roman" w:cs="Times New Roman"/>
          <w:color w:val="000000" w:themeColor="text1"/>
          <w:sz w:val="24"/>
          <w:szCs w:val="24"/>
          <w:highlight w:val="white"/>
        </w:rPr>
        <w:t xml:space="preserve"> increase in </w:t>
      </w:r>
      <w:r w:rsidRPr="00191ACB">
        <w:rPr>
          <w:rFonts w:ascii="Times New Roman" w:hAnsi="Times New Roman" w:cs="Times New Roman"/>
          <w:color w:val="000000" w:themeColor="text1"/>
          <w:sz w:val="24"/>
          <w:szCs w:val="24"/>
          <w:highlight w:val="white"/>
        </w:rPr>
        <w:t>poultry</w:t>
      </w:r>
      <w:r w:rsidR="004C223F" w:rsidRPr="00191ACB">
        <w:rPr>
          <w:rFonts w:ascii="Times New Roman" w:hAnsi="Times New Roman" w:cs="Times New Roman"/>
          <w:color w:val="000000" w:themeColor="text1"/>
          <w:sz w:val="24"/>
          <w:szCs w:val="24"/>
          <w:highlight w:val="white"/>
        </w:rPr>
        <w:t xml:space="preserve"> population </w:t>
      </w:r>
      <w:r w:rsidRPr="00191ACB">
        <w:rPr>
          <w:rFonts w:ascii="Times New Roman" w:hAnsi="Times New Roman" w:cs="Times New Roman"/>
          <w:color w:val="000000" w:themeColor="text1"/>
          <w:sz w:val="24"/>
          <w:szCs w:val="24"/>
          <w:highlight w:val="white"/>
        </w:rPr>
        <w:t>w</w:t>
      </w:r>
      <w:r w:rsidR="004C223F" w:rsidRPr="00191ACB">
        <w:rPr>
          <w:rFonts w:ascii="Times New Roman" w:hAnsi="Times New Roman" w:cs="Times New Roman"/>
          <w:color w:val="000000" w:themeColor="text1"/>
          <w:sz w:val="24"/>
          <w:szCs w:val="24"/>
          <w:highlight w:val="white"/>
        </w:rPr>
        <w:t xml:space="preserve">as </w:t>
      </w:r>
      <w:r w:rsidRPr="00191ACB">
        <w:rPr>
          <w:rFonts w:ascii="Times New Roman" w:hAnsi="Times New Roman" w:cs="Times New Roman"/>
          <w:color w:val="000000" w:themeColor="text1"/>
          <w:sz w:val="24"/>
          <w:szCs w:val="24"/>
          <w:highlight w:val="white"/>
        </w:rPr>
        <w:t xml:space="preserve">due to the </w:t>
      </w:r>
      <w:r w:rsidR="004C223F" w:rsidRPr="00191ACB">
        <w:rPr>
          <w:rFonts w:ascii="Times New Roman" w:hAnsi="Times New Roman" w:cs="Times New Roman"/>
          <w:color w:val="000000" w:themeColor="text1"/>
          <w:sz w:val="24"/>
          <w:szCs w:val="24"/>
          <w:highlight w:val="white"/>
        </w:rPr>
        <w:t>increased number of hatcheries that ha</w:t>
      </w:r>
      <w:r w:rsidRPr="00191ACB">
        <w:rPr>
          <w:rFonts w:ascii="Times New Roman" w:hAnsi="Times New Roman" w:cs="Times New Roman"/>
          <w:color w:val="000000" w:themeColor="text1"/>
          <w:sz w:val="24"/>
          <w:szCs w:val="24"/>
          <w:highlight w:val="white"/>
        </w:rPr>
        <w:t>d</w:t>
      </w:r>
      <w:r w:rsidR="004C223F" w:rsidRPr="00191ACB">
        <w:rPr>
          <w:rFonts w:ascii="Times New Roman" w:hAnsi="Times New Roman" w:cs="Times New Roman"/>
          <w:color w:val="000000" w:themeColor="text1"/>
          <w:sz w:val="24"/>
          <w:szCs w:val="24"/>
          <w:highlight w:val="white"/>
        </w:rPr>
        <w:t xml:space="preserve"> entered the value chain. Government and cooperating partners </w:t>
      </w:r>
      <w:r w:rsidRPr="00191ACB">
        <w:rPr>
          <w:rFonts w:ascii="Times New Roman" w:hAnsi="Times New Roman" w:cs="Times New Roman"/>
          <w:color w:val="000000" w:themeColor="text1"/>
          <w:sz w:val="24"/>
          <w:szCs w:val="24"/>
          <w:highlight w:val="white"/>
        </w:rPr>
        <w:t>had</w:t>
      </w:r>
      <w:r w:rsidR="004C223F" w:rsidRPr="00191ACB">
        <w:rPr>
          <w:rFonts w:ascii="Times New Roman" w:hAnsi="Times New Roman" w:cs="Times New Roman"/>
          <w:color w:val="000000" w:themeColor="text1"/>
          <w:sz w:val="24"/>
          <w:szCs w:val="24"/>
          <w:highlight w:val="white"/>
        </w:rPr>
        <w:t xml:space="preserve"> been empowering vulnerable but viable farmers with climate resilient livestock packages. </w:t>
      </w:r>
    </w:p>
    <w:p w14:paraId="79B74504" w14:textId="77777777" w:rsidR="00FC4FC5" w:rsidRPr="00191ACB" w:rsidRDefault="00FC4FC5" w:rsidP="005E626A">
      <w:pPr>
        <w:spacing w:before="240" w:after="120" w:line="240" w:lineRule="auto"/>
        <w:jc w:val="both"/>
        <w:rPr>
          <w:rFonts w:ascii="Times New Roman" w:hAnsi="Times New Roman" w:cs="Times New Roman"/>
          <w:color w:val="000000" w:themeColor="text1"/>
          <w:sz w:val="24"/>
          <w:szCs w:val="24"/>
          <w:highlight w:val="white"/>
        </w:rPr>
      </w:pPr>
    </w:p>
    <w:p w14:paraId="5682B8C3" w14:textId="268F07DB" w:rsidR="004C223F" w:rsidRPr="00182B0C" w:rsidRDefault="004C223F" w:rsidP="00182B0C">
      <w:pPr>
        <w:pStyle w:val="Heading4"/>
        <w:numPr>
          <w:ilvl w:val="3"/>
          <w:numId w:val="36"/>
        </w:numPr>
        <w:ind w:left="851" w:hanging="851"/>
      </w:pPr>
      <w:bookmarkStart w:id="200" w:name="_Toc48427326"/>
      <w:r w:rsidRPr="00182B0C">
        <w:t>Pigs (Swine)</w:t>
      </w:r>
      <w:bookmarkEnd w:id="200"/>
      <w:r w:rsidRPr="00182B0C">
        <w:t xml:space="preserve"> </w:t>
      </w:r>
    </w:p>
    <w:p w14:paraId="5DEBBCFC" w14:textId="2097EAA8" w:rsidR="00FC4FC5" w:rsidRPr="00191ACB" w:rsidRDefault="004C223F"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w:t>
      </w:r>
      <w:r w:rsidR="00B5485E" w:rsidRPr="00191ACB">
        <w:rPr>
          <w:rFonts w:ascii="Times New Roman" w:hAnsi="Times New Roman" w:cs="Times New Roman"/>
          <w:color w:val="000000" w:themeColor="text1"/>
          <w:sz w:val="24"/>
          <w:szCs w:val="24"/>
        </w:rPr>
        <w:t xml:space="preserve"> number of pigs increased from 7802 in 2010 to 3046203 in 2016. the</w:t>
      </w:r>
      <w:r w:rsidRPr="00191ACB">
        <w:rPr>
          <w:rFonts w:ascii="Times New Roman" w:hAnsi="Times New Roman" w:cs="Times New Roman"/>
          <w:color w:val="000000" w:themeColor="text1"/>
          <w:sz w:val="24"/>
          <w:szCs w:val="24"/>
        </w:rPr>
        <w:t xml:space="preserve"> increas</w:t>
      </w:r>
      <w:r w:rsidR="00B5485E" w:rsidRPr="00191ACB">
        <w:rPr>
          <w:rFonts w:ascii="Times New Roman" w:hAnsi="Times New Roman" w:cs="Times New Roman"/>
          <w:color w:val="000000" w:themeColor="text1"/>
          <w:sz w:val="24"/>
          <w:szCs w:val="24"/>
        </w:rPr>
        <w:t>e</w:t>
      </w:r>
      <w:r w:rsidRPr="00191ACB">
        <w:rPr>
          <w:rFonts w:ascii="Times New Roman" w:hAnsi="Times New Roman" w:cs="Times New Roman"/>
          <w:color w:val="000000" w:themeColor="text1"/>
          <w:sz w:val="24"/>
          <w:szCs w:val="24"/>
        </w:rPr>
        <w:t xml:space="preserve"> </w:t>
      </w:r>
      <w:r w:rsidR="00B5485E" w:rsidRPr="00191ACB">
        <w:rPr>
          <w:rFonts w:ascii="Times New Roman" w:hAnsi="Times New Roman" w:cs="Times New Roman"/>
          <w:color w:val="000000" w:themeColor="text1"/>
          <w:sz w:val="24"/>
          <w:szCs w:val="24"/>
        </w:rPr>
        <w:t xml:space="preserve">was mainly attributed to </w:t>
      </w:r>
      <w:r w:rsidRPr="00191ACB">
        <w:rPr>
          <w:rFonts w:ascii="Times New Roman" w:hAnsi="Times New Roman" w:cs="Times New Roman"/>
          <w:color w:val="000000" w:themeColor="text1"/>
          <w:sz w:val="24"/>
          <w:szCs w:val="24"/>
        </w:rPr>
        <w:t xml:space="preserve">market demand for pork products </w:t>
      </w:r>
      <w:r w:rsidR="00B5485E" w:rsidRPr="00191ACB">
        <w:rPr>
          <w:rFonts w:ascii="Times New Roman" w:hAnsi="Times New Roman" w:cs="Times New Roman"/>
          <w:color w:val="000000" w:themeColor="text1"/>
          <w:sz w:val="24"/>
          <w:szCs w:val="24"/>
        </w:rPr>
        <w:t xml:space="preserve">and reduced animal disease. Nevertheless, there was a reduction of the pig </w:t>
      </w:r>
      <w:r w:rsidRPr="00191ACB">
        <w:rPr>
          <w:rFonts w:ascii="Times New Roman" w:hAnsi="Times New Roman" w:cs="Times New Roman"/>
          <w:color w:val="000000" w:themeColor="text1"/>
          <w:sz w:val="24"/>
          <w:szCs w:val="24"/>
        </w:rPr>
        <w:t>population in 2014 due to an outbreak of African Swine Fever</w:t>
      </w:r>
      <w:r w:rsidR="00FC4FC5" w:rsidRPr="00191ACB">
        <w:rPr>
          <w:rFonts w:ascii="Times New Roman" w:hAnsi="Times New Roman" w:cs="Times New Roman"/>
          <w:color w:val="000000" w:themeColor="text1"/>
          <w:sz w:val="24"/>
          <w:szCs w:val="24"/>
        </w:rPr>
        <w:t>.</w:t>
      </w:r>
    </w:p>
    <w:p w14:paraId="6FF7056D" w14:textId="37BDF12E" w:rsidR="004C223F" w:rsidRPr="00191ACB" w:rsidRDefault="004C223F" w:rsidP="005E626A">
      <w:pPr>
        <w:spacing w:before="240" w:after="12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w:t>
      </w:r>
    </w:p>
    <w:p w14:paraId="729818B6" w14:textId="3DACBB02" w:rsidR="004C223F" w:rsidRPr="00182B0C" w:rsidRDefault="004C223F" w:rsidP="00182B0C">
      <w:pPr>
        <w:pStyle w:val="Heading4"/>
        <w:numPr>
          <w:ilvl w:val="3"/>
          <w:numId w:val="36"/>
        </w:numPr>
        <w:ind w:left="851" w:hanging="851"/>
      </w:pPr>
      <w:r w:rsidRPr="00182B0C">
        <w:t>Enteric Fermentation</w:t>
      </w:r>
    </w:p>
    <w:p w14:paraId="1C307956" w14:textId="45C9A5F1" w:rsidR="004C223F" w:rsidRPr="00191ACB" w:rsidRDefault="004C223F"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w:t>
      </w:r>
      <w:r w:rsidR="00B5485E" w:rsidRPr="00191ACB">
        <w:rPr>
          <w:rFonts w:ascii="Times New Roman" w:hAnsi="Times New Roman" w:cs="Times New Roman"/>
          <w:color w:val="000000" w:themeColor="text1"/>
          <w:sz w:val="24"/>
          <w:szCs w:val="24"/>
        </w:rPr>
        <w:t xml:space="preserve"> amount of emissions from enteric fermentation is dependent on</w:t>
      </w:r>
      <w:r w:rsidRPr="00191ACB">
        <w:rPr>
          <w:rFonts w:ascii="Times New Roman" w:hAnsi="Times New Roman" w:cs="Times New Roman"/>
          <w:color w:val="000000" w:themeColor="text1"/>
          <w:sz w:val="24"/>
          <w:szCs w:val="24"/>
        </w:rPr>
        <w:t xml:space="preserve"> quality of pasture</w:t>
      </w:r>
      <w:r w:rsidR="00B5485E" w:rsidRPr="00191ACB">
        <w:rPr>
          <w:rFonts w:ascii="Times New Roman" w:hAnsi="Times New Roman" w:cs="Times New Roman"/>
          <w:color w:val="000000" w:themeColor="text1"/>
          <w:sz w:val="24"/>
          <w:szCs w:val="24"/>
        </w:rPr>
        <w:t xml:space="preserve"> and feeding regime.</w:t>
      </w:r>
      <w:r w:rsidRPr="00191ACB">
        <w:rPr>
          <w:rFonts w:ascii="Times New Roman" w:hAnsi="Times New Roman" w:cs="Times New Roman"/>
          <w:color w:val="000000" w:themeColor="text1"/>
          <w:sz w:val="24"/>
          <w:szCs w:val="24"/>
        </w:rPr>
        <w:t xml:space="preserve"> This </w:t>
      </w:r>
      <w:r w:rsidR="00B5485E" w:rsidRPr="00191ACB">
        <w:rPr>
          <w:rFonts w:ascii="Times New Roman" w:hAnsi="Times New Roman" w:cs="Times New Roman"/>
          <w:color w:val="000000" w:themeColor="text1"/>
          <w:sz w:val="24"/>
          <w:szCs w:val="24"/>
        </w:rPr>
        <w:t>entails</w:t>
      </w:r>
      <w:r w:rsidRPr="00191ACB">
        <w:rPr>
          <w:rFonts w:ascii="Times New Roman" w:hAnsi="Times New Roman" w:cs="Times New Roman"/>
          <w:color w:val="000000" w:themeColor="text1"/>
          <w:sz w:val="24"/>
          <w:szCs w:val="24"/>
        </w:rPr>
        <w:t xml:space="preserve"> that livestock fed on poor quality roughage emit more methane than those fed on good quality rou</w:t>
      </w:r>
      <w:r w:rsidR="003C6D42" w:rsidRPr="00191ACB">
        <w:rPr>
          <w:rFonts w:ascii="Times New Roman" w:hAnsi="Times New Roman" w:cs="Times New Roman"/>
          <w:color w:val="000000" w:themeColor="text1"/>
          <w:sz w:val="24"/>
          <w:szCs w:val="24"/>
        </w:rPr>
        <w:t xml:space="preserve">ghage. </w:t>
      </w:r>
      <w:r w:rsidR="00450725" w:rsidRPr="00191ACB">
        <w:rPr>
          <w:rFonts w:ascii="Times New Roman" w:hAnsi="Times New Roman" w:cs="Times New Roman"/>
          <w:color w:val="000000" w:themeColor="text1"/>
          <w:sz w:val="24"/>
          <w:szCs w:val="24"/>
        </w:rPr>
        <w:t>L</w:t>
      </w:r>
      <w:r w:rsidR="003C6D42" w:rsidRPr="00191ACB">
        <w:rPr>
          <w:rFonts w:ascii="Times New Roman" w:hAnsi="Times New Roman" w:cs="Times New Roman"/>
          <w:color w:val="000000" w:themeColor="text1"/>
          <w:sz w:val="24"/>
          <w:szCs w:val="24"/>
        </w:rPr>
        <w:t xml:space="preserve">ow quality roughage </w:t>
      </w:r>
      <w:r w:rsidRPr="00191ACB">
        <w:rPr>
          <w:rFonts w:ascii="Times New Roman" w:hAnsi="Times New Roman" w:cs="Times New Roman"/>
          <w:color w:val="000000" w:themeColor="text1"/>
          <w:sz w:val="24"/>
          <w:szCs w:val="24"/>
        </w:rPr>
        <w:t xml:space="preserve">is associated with smallholder farmers. </w:t>
      </w:r>
      <w:r w:rsidR="00450725" w:rsidRPr="00191ACB">
        <w:rPr>
          <w:rFonts w:ascii="Times New Roman" w:hAnsi="Times New Roman" w:cs="Times New Roman"/>
          <w:color w:val="000000" w:themeColor="text1"/>
          <w:sz w:val="24"/>
          <w:szCs w:val="24"/>
        </w:rPr>
        <w:t>However, measures are being put in place by g</w:t>
      </w:r>
      <w:r w:rsidRPr="00191ACB">
        <w:rPr>
          <w:rFonts w:ascii="Times New Roman" w:hAnsi="Times New Roman" w:cs="Times New Roman"/>
          <w:color w:val="000000" w:themeColor="text1"/>
          <w:sz w:val="24"/>
          <w:szCs w:val="24"/>
        </w:rPr>
        <w:t xml:space="preserve">overnment </w:t>
      </w:r>
      <w:r w:rsidR="00450725" w:rsidRPr="00191ACB">
        <w:rPr>
          <w:rFonts w:ascii="Times New Roman" w:hAnsi="Times New Roman" w:cs="Times New Roman"/>
          <w:color w:val="000000" w:themeColor="text1"/>
          <w:sz w:val="24"/>
          <w:szCs w:val="24"/>
        </w:rPr>
        <w:t>through</w:t>
      </w:r>
      <w:r w:rsidRPr="00191ACB">
        <w:rPr>
          <w:rFonts w:ascii="Times New Roman" w:hAnsi="Times New Roman" w:cs="Times New Roman"/>
          <w:color w:val="000000" w:themeColor="text1"/>
          <w:sz w:val="24"/>
          <w:szCs w:val="24"/>
        </w:rPr>
        <w:t xml:space="preserve"> provi</w:t>
      </w:r>
      <w:r w:rsidR="00450725" w:rsidRPr="00191ACB">
        <w:rPr>
          <w:rFonts w:ascii="Times New Roman" w:hAnsi="Times New Roman" w:cs="Times New Roman"/>
          <w:color w:val="000000" w:themeColor="text1"/>
          <w:sz w:val="24"/>
          <w:szCs w:val="24"/>
        </w:rPr>
        <w:t xml:space="preserve">sion of </w:t>
      </w:r>
      <w:r w:rsidRPr="00191ACB">
        <w:rPr>
          <w:rFonts w:ascii="Times New Roman" w:hAnsi="Times New Roman" w:cs="Times New Roman"/>
          <w:color w:val="000000" w:themeColor="text1"/>
          <w:sz w:val="24"/>
          <w:szCs w:val="24"/>
        </w:rPr>
        <w:t>improved pasture seeds to smallholder</w:t>
      </w:r>
      <w:r w:rsidR="00450725" w:rsidRPr="00191ACB">
        <w:rPr>
          <w:rFonts w:ascii="Times New Roman" w:hAnsi="Times New Roman" w:cs="Times New Roman"/>
          <w:color w:val="000000" w:themeColor="text1"/>
          <w:sz w:val="24"/>
          <w:szCs w:val="24"/>
        </w:rPr>
        <w:t xml:space="preserve"> farmers to enhance the quality of pasture</w:t>
      </w:r>
      <w:r w:rsidRPr="00191ACB">
        <w:rPr>
          <w:rFonts w:ascii="Times New Roman" w:hAnsi="Times New Roman" w:cs="Times New Roman"/>
          <w:color w:val="000000" w:themeColor="text1"/>
          <w:sz w:val="24"/>
          <w:szCs w:val="24"/>
        </w:rPr>
        <w:t>. Emissions under enteric fermentation grew from 1789.7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in 1994 to 3958.0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in 2016 representing an increase of 121.0</w:t>
      </w:r>
      <w:r w:rsidR="00450725"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w:t>
      </w:r>
    </w:p>
    <w:p w14:paraId="7BE071F3" w14:textId="49781D72" w:rsidR="004C223F" w:rsidRPr="00182B0C" w:rsidRDefault="004C223F" w:rsidP="00182B0C">
      <w:pPr>
        <w:pStyle w:val="Heading4"/>
        <w:numPr>
          <w:ilvl w:val="3"/>
          <w:numId w:val="36"/>
        </w:numPr>
        <w:ind w:left="851" w:hanging="851"/>
      </w:pPr>
      <w:r w:rsidRPr="00182B0C">
        <w:t xml:space="preserve">Manure Management   </w:t>
      </w:r>
    </w:p>
    <w:p w14:paraId="299DEE35" w14:textId="50A71EB2" w:rsidR="003B3050" w:rsidRPr="00191ACB" w:rsidRDefault="0051717A"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Most farmers in Zambia do not apply recommended manure management practices, such as roofing animal housing, having a water-proof floor or covering manure during storage, causing large nutrient </w:t>
      </w:r>
      <w:r w:rsidRPr="00191ACB">
        <w:rPr>
          <w:rFonts w:ascii="Times New Roman" w:hAnsi="Times New Roman" w:cs="Times New Roman"/>
          <w:color w:val="000000" w:themeColor="text1"/>
          <w:sz w:val="24"/>
          <w:szCs w:val="24"/>
        </w:rPr>
        <w:lastRenderedPageBreak/>
        <w:t xml:space="preserve">losses during manure storage, and thereby </w:t>
      </w:r>
      <w:r w:rsidR="003B3050" w:rsidRPr="00191ACB">
        <w:rPr>
          <w:rFonts w:ascii="Times New Roman" w:hAnsi="Times New Roman" w:cs="Times New Roman"/>
          <w:color w:val="000000" w:themeColor="text1"/>
          <w:sz w:val="24"/>
          <w:szCs w:val="24"/>
        </w:rPr>
        <w:t>r</w:t>
      </w:r>
      <w:r w:rsidRPr="00191ACB">
        <w:rPr>
          <w:rFonts w:ascii="Times New Roman" w:hAnsi="Times New Roman" w:cs="Times New Roman"/>
          <w:color w:val="000000" w:themeColor="text1"/>
          <w:sz w:val="24"/>
          <w:szCs w:val="24"/>
        </w:rPr>
        <w:t>educing the quality of the manure as a fertilizer. In general</w:t>
      </w:r>
      <w:r w:rsidR="003B3050"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Dairy cattle are kept mostly under a confined system where they are kept in a small area. This entails most of the cow dung is cleaned and piled for use in gardens and field crops as fertilizer.</w:t>
      </w:r>
    </w:p>
    <w:p w14:paraId="42ADDB21" w14:textId="6F97FBCD" w:rsidR="004C223F" w:rsidRPr="00191ACB" w:rsidRDefault="004C223F" w:rsidP="005E626A">
      <w:pPr>
        <w:spacing w:before="240" w:after="12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In this report, only methane produced from manure management </w:t>
      </w:r>
      <w:r w:rsidR="00AA071D" w:rsidRPr="00191ACB">
        <w:rPr>
          <w:rFonts w:ascii="Times New Roman" w:hAnsi="Times New Roman" w:cs="Times New Roman"/>
          <w:color w:val="000000" w:themeColor="text1"/>
          <w:sz w:val="24"/>
          <w:szCs w:val="24"/>
        </w:rPr>
        <w:t>w</w:t>
      </w:r>
      <w:r w:rsidRPr="00191ACB">
        <w:rPr>
          <w:rFonts w:ascii="Times New Roman" w:hAnsi="Times New Roman" w:cs="Times New Roman"/>
          <w:color w:val="000000" w:themeColor="text1"/>
          <w:sz w:val="24"/>
          <w:szCs w:val="24"/>
        </w:rPr>
        <w:t xml:space="preserve">as calculated and the results presented. </w:t>
      </w:r>
      <w:r w:rsidR="00AA071D" w:rsidRPr="00191ACB">
        <w:rPr>
          <w:rFonts w:ascii="Times New Roman" w:hAnsi="Times New Roman" w:cs="Times New Roman"/>
          <w:color w:val="000000" w:themeColor="text1"/>
          <w:sz w:val="24"/>
          <w:szCs w:val="24"/>
        </w:rPr>
        <w:t xml:space="preserve">The emissions for manure management increased </w:t>
      </w:r>
      <w:r w:rsidR="009D6638" w:rsidRPr="00191ACB">
        <w:rPr>
          <w:rFonts w:ascii="Times New Roman" w:hAnsi="Times New Roman" w:cs="Times New Roman"/>
          <w:color w:val="000000" w:themeColor="text1"/>
          <w:sz w:val="24"/>
          <w:szCs w:val="24"/>
        </w:rPr>
        <w:t>by 261 percent from 67 Gg CO</w:t>
      </w:r>
      <w:r w:rsidR="009D6638" w:rsidRPr="00191ACB">
        <w:rPr>
          <w:rFonts w:ascii="Times New Roman" w:hAnsi="Times New Roman" w:cs="Times New Roman"/>
          <w:color w:val="000000" w:themeColor="text1"/>
          <w:sz w:val="24"/>
          <w:szCs w:val="24"/>
          <w:vertAlign w:val="subscript"/>
        </w:rPr>
        <w:t>2</w:t>
      </w:r>
      <w:r w:rsidR="009D6638" w:rsidRPr="00191ACB">
        <w:rPr>
          <w:rFonts w:ascii="Times New Roman" w:hAnsi="Times New Roman" w:cs="Times New Roman"/>
          <w:color w:val="000000" w:themeColor="text1"/>
          <w:sz w:val="24"/>
          <w:szCs w:val="24"/>
        </w:rPr>
        <w:t xml:space="preserve"> </w:t>
      </w:r>
      <w:r w:rsidR="009D6638" w:rsidRPr="00191ACB">
        <w:rPr>
          <w:rFonts w:ascii="Times New Roman" w:hAnsi="Times New Roman" w:cs="Times New Roman"/>
          <w:color w:val="000000" w:themeColor="text1"/>
          <w:sz w:val="24"/>
          <w:szCs w:val="24"/>
          <w:vertAlign w:val="subscript"/>
        </w:rPr>
        <w:t>eq</w:t>
      </w:r>
      <w:r w:rsidR="009D6638" w:rsidRPr="00191ACB">
        <w:rPr>
          <w:rFonts w:ascii="Times New Roman" w:hAnsi="Times New Roman" w:cs="Times New Roman"/>
          <w:color w:val="000000" w:themeColor="text1"/>
          <w:sz w:val="24"/>
          <w:szCs w:val="24"/>
        </w:rPr>
        <w:t>. in 1994 to 242.5 Gg CO</w:t>
      </w:r>
      <w:r w:rsidR="009D6638" w:rsidRPr="00191ACB">
        <w:rPr>
          <w:rFonts w:ascii="Times New Roman" w:hAnsi="Times New Roman" w:cs="Times New Roman"/>
          <w:color w:val="000000" w:themeColor="text1"/>
          <w:sz w:val="24"/>
          <w:szCs w:val="24"/>
          <w:vertAlign w:val="subscript"/>
        </w:rPr>
        <w:t>2</w:t>
      </w:r>
      <w:r w:rsidR="009D6638" w:rsidRPr="00191ACB">
        <w:rPr>
          <w:rFonts w:ascii="Times New Roman" w:hAnsi="Times New Roman" w:cs="Times New Roman"/>
          <w:color w:val="000000" w:themeColor="text1"/>
          <w:sz w:val="24"/>
          <w:szCs w:val="24"/>
        </w:rPr>
        <w:t xml:space="preserve"> </w:t>
      </w:r>
      <w:r w:rsidR="009D6638" w:rsidRPr="00191ACB">
        <w:rPr>
          <w:rFonts w:ascii="Times New Roman" w:hAnsi="Times New Roman" w:cs="Times New Roman"/>
          <w:color w:val="000000" w:themeColor="text1"/>
          <w:sz w:val="24"/>
          <w:szCs w:val="24"/>
          <w:vertAlign w:val="subscript"/>
        </w:rPr>
        <w:t>eq</w:t>
      </w:r>
      <w:r w:rsidR="009D6638" w:rsidRPr="00191ACB">
        <w:rPr>
          <w:rStyle w:val="CommentReference"/>
          <w:rFonts w:ascii="Times New Roman" w:eastAsia="Times New Roman" w:hAnsi="Times New Roman" w:cs="Times New Roman"/>
          <w:sz w:val="24"/>
          <w:szCs w:val="24"/>
          <w:lang w:val="en"/>
        </w:rPr>
        <w:t xml:space="preserve"> in 2016</w:t>
      </w:r>
    </w:p>
    <w:p w14:paraId="0CDA3F31" w14:textId="77777777" w:rsidR="00FC4FC5" w:rsidRPr="00191ACB" w:rsidRDefault="00FC4FC5" w:rsidP="005E626A">
      <w:pPr>
        <w:pStyle w:val="Heading2"/>
        <w:spacing w:after="120" w:line="240" w:lineRule="auto"/>
        <w:rPr>
          <w:rFonts w:ascii="Times New Roman" w:hAnsi="Times New Roman" w:cs="Times New Roman"/>
          <w:b/>
          <w:color w:val="000000" w:themeColor="text1"/>
          <w:sz w:val="24"/>
          <w:szCs w:val="24"/>
        </w:rPr>
      </w:pPr>
    </w:p>
    <w:p w14:paraId="1277C5F3" w14:textId="32796591" w:rsidR="00C72EE3" w:rsidRPr="00191ACB" w:rsidRDefault="00C72EE3" w:rsidP="00182B0C">
      <w:pPr>
        <w:pStyle w:val="Heading3"/>
        <w:numPr>
          <w:ilvl w:val="2"/>
          <w:numId w:val="36"/>
        </w:numPr>
        <w:ind w:left="851" w:hanging="851"/>
      </w:pPr>
      <w:bookmarkStart w:id="201" w:name="_Toc57902845"/>
      <w:r w:rsidRPr="00191ACB">
        <w:t>Land</w:t>
      </w:r>
      <w:bookmarkEnd w:id="201"/>
      <w:r w:rsidRPr="00191ACB">
        <w:t xml:space="preserve">  </w:t>
      </w:r>
      <w:r w:rsidRPr="00191ACB">
        <w:tab/>
      </w:r>
    </w:p>
    <w:p w14:paraId="17F1C084" w14:textId="0AA6E1EF" w:rsidR="00C72EE3" w:rsidRPr="00182B0C" w:rsidRDefault="00C72EE3" w:rsidP="00182B0C">
      <w:pPr>
        <w:pStyle w:val="Heading4"/>
        <w:numPr>
          <w:ilvl w:val="3"/>
          <w:numId w:val="36"/>
        </w:numPr>
        <w:ind w:left="851" w:hanging="851"/>
      </w:pPr>
      <w:r w:rsidRPr="00182B0C">
        <w:t xml:space="preserve">Overview      </w:t>
      </w:r>
    </w:p>
    <w:p w14:paraId="30733523" w14:textId="1E66DFFA" w:rsidR="00C72EE3" w:rsidRPr="00191ACB" w:rsidRDefault="00C72EE3"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Emission </w:t>
      </w:r>
      <w:r w:rsidR="00F126F5" w:rsidRPr="00191ACB">
        <w:rPr>
          <w:rFonts w:ascii="Times New Roman" w:hAnsi="Times New Roman" w:cs="Times New Roman"/>
          <w:color w:val="000000" w:themeColor="text1"/>
          <w:sz w:val="24"/>
          <w:szCs w:val="24"/>
        </w:rPr>
        <w:t>r</w:t>
      </w:r>
      <w:r w:rsidRPr="00191ACB">
        <w:rPr>
          <w:rFonts w:ascii="Times New Roman" w:hAnsi="Times New Roman" w:cs="Times New Roman"/>
          <w:color w:val="000000" w:themeColor="text1"/>
          <w:sz w:val="24"/>
          <w:szCs w:val="24"/>
        </w:rPr>
        <w:t>emovals or sink</w:t>
      </w:r>
      <w:r w:rsidR="00F126F5" w:rsidRPr="00191ACB">
        <w:rPr>
          <w:rFonts w:ascii="Times New Roman" w:hAnsi="Times New Roman" w:cs="Times New Roman"/>
          <w:color w:val="000000" w:themeColor="text1"/>
          <w:sz w:val="24"/>
          <w:szCs w:val="24"/>
        </w:rPr>
        <w:t>s</w:t>
      </w:r>
      <w:r w:rsidRPr="00191ACB">
        <w:rPr>
          <w:rFonts w:ascii="Times New Roman" w:hAnsi="Times New Roman" w:cs="Times New Roman"/>
          <w:color w:val="000000" w:themeColor="text1"/>
          <w:sz w:val="24"/>
          <w:szCs w:val="24"/>
        </w:rPr>
        <w:t xml:space="preserve"> in Land category was from annual increase in biomass carbon stock estimated from mean annual increment in tonnes of dry matter per hectare per year. Emission removals/sink decreased by 3.9</w:t>
      </w:r>
      <w:r w:rsidR="00F126F5"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from -142,929.0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in the 1994 base year to -136,266.0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in 2016 (Figure </w:t>
      </w:r>
      <w:r w:rsidR="000E11A3" w:rsidRPr="00191ACB">
        <w:rPr>
          <w:rFonts w:ascii="Times New Roman" w:hAnsi="Times New Roman" w:cs="Times New Roman"/>
          <w:color w:val="000000" w:themeColor="text1"/>
          <w:sz w:val="24"/>
          <w:szCs w:val="24"/>
        </w:rPr>
        <w:t>3.19</w:t>
      </w:r>
      <w:r w:rsidRPr="00191ACB">
        <w:rPr>
          <w:rFonts w:ascii="Times New Roman" w:hAnsi="Times New Roman" w:cs="Times New Roman"/>
          <w:color w:val="000000" w:themeColor="text1"/>
          <w:sz w:val="24"/>
          <w:szCs w:val="24"/>
        </w:rPr>
        <w:t>).</w:t>
      </w:r>
    </w:p>
    <w:p w14:paraId="4125AD6D" w14:textId="77777777" w:rsidR="00C72EE3" w:rsidRPr="00191ACB" w:rsidRDefault="00C72EE3" w:rsidP="00C72EE3">
      <w:pPr>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42A5E845" wp14:editId="71CC67BE">
            <wp:extent cx="5943600" cy="2045970"/>
            <wp:effectExtent l="0" t="0" r="0" b="11430"/>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5D7B03B7" w14:textId="48C5B744" w:rsidR="00C72EE3" w:rsidRPr="00191ACB" w:rsidRDefault="000E11A3" w:rsidP="000E11A3">
      <w:pPr>
        <w:pStyle w:val="Caption"/>
        <w:rPr>
          <w:i w:val="0"/>
          <w:color w:val="000000" w:themeColor="text1"/>
          <w:sz w:val="24"/>
          <w:szCs w:val="24"/>
        </w:rPr>
      </w:pPr>
      <w:bookmarkStart w:id="202" w:name="_Toc56583864"/>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19</w:t>
      </w:r>
      <w:r w:rsidR="009D481C">
        <w:rPr>
          <w:sz w:val="24"/>
          <w:szCs w:val="24"/>
        </w:rPr>
        <w:fldChar w:fldCharType="end"/>
      </w:r>
      <w:r w:rsidRPr="00191ACB">
        <w:rPr>
          <w:sz w:val="24"/>
          <w:szCs w:val="24"/>
        </w:rPr>
        <w:t>:Emissions Removals from Land Category</w:t>
      </w:r>
      <w:bookmarkEnd w:id="202"/>
    </w:p>
    <w:p w14:paraId="534A6A82" w14:textId="55FDB300" w:rsidR="00C72EE3" w:rsidRPr="00191ACB" w:rsidRDefault="00C72EE3"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Generally, the</w:t>
      </w:r>
      <w:r w:rsidR="009D6638" w:rsidRPr="00191ACB">
        <w:rPr>
          <w:rFonts w:ascii="Times New Roman" w:hAnsi="Times New Roman" w:cs="Times New Roman"/>
          <w:color w:val="000000" w:themeColor="text1"/>
          <w:sz w:val="24"/>
          <w:szCs w:val="24"/>
        </w:rPr>
        <w:t>re was a decline on</w:t>
      </w:r>
      <w:r w:rsidRPr="00191ACB">
        <w:rPr>
          <w:rFonts w:ascii="Times New Roman" w:hAnsi="Times New Roman" w:cs="Times New Roman"/>
          <w:color w:val="000000" w:themeColor="text1"/>
          <w:sz w:val="24"/>
          <w:szCs w:val="24"/>
        </w:rPr>
        <w:t xml:space="preserve"> carbon uptake in the natural forest. This </w:t>
      </w:r>
      <w:r w:rsidR="009D6638" w:rsidRPr="00191ACB">
        <w:rPr>
          <w:rFonts w:ascii="Times New Roman" w:hAnsi="Times New Roman" w:cs="Times New Roman"/>
          <w:color w:val="000000" w:themeColor="text1"/>
          <w:sz w:val="24"/>
          <w:szCs w:val="24"/>
        </w:rPr>
        <w:t>may have been</w:t>
      </w:r>
      <w:r w:rsidRPr="00191ACB">
        <w:rPr>
          <w:rFonts w:ascii="Times New Roman" w:hAnsi="Times New Roman" w:cs="Times New Roman"/>
          <w:color w:val="000000" w:themeColor="text1"/>
          <w:sz w:val="24"/>
          <w:szCs w:val="24"/>
        </w:rPr>
        <w:t xml:space="preserve"> attributed to </w:t>
      </w:r>
      <w:r w:rsidR="009D6638" w:rsidRPr="00191ACB">
        <w:rPr>
          <w:rFonts w:ascii="Times New Roman" w:hAnsi="Times New Roman" w:cs="Times New Roman"/>
          <w:color w:val="000000" w:themeColor="text1"/>
          <w:sz w:val="24"/>
          <w:szCs w:val="24"/>
        </w:rPr>
        <w:t>a</w:t>
      </w:r>
      <w:r w:rsidRPr="00191ACB">
        <w:rPr>
          <w:rFonts w:ascii="Times New Roman" w:hAnsi="Times New Roman" w:cs="Times New Roman"/>
          <w:color w:val="000000" w:themeColor="text1"/>
          <w:sz w:val="24"/>
          <w:szCs w:val="24"/>
        </w:rPr>
        <w:t xml:space="preserve"> continuous rise in the deforestation rate and forest degradation. The trend in the carbon uptake from the plantations (Pine and Eucalyptus) </w:t>
      </w:r>
      <w:r w:rsidR="009D6638" w:rsidRPr="00191ACB">
        <w:rPr>
          <w:rFonts w:ascii="Times New Roman" w:hAnsi="Times New Roman" w:cs="Times New Roman"/>
          <w:color w:val="000000" w:themeColor="text1"/>
          <w:sz w:val="24"/>
          <w:szCs w:val="24"/>
        </w:rPr>
        <w:t>showed</w:t>
      </w:r>
      <w:r w:rsidRPr="00191ACB">
        <w:rPr>
          <w:rFonts w:ascii="Times New Roman" w:hAnsi="Times New Roman" w:cs="Times New Roman"/>
          <w:color w:val="000000" w:themeColor="text1"/>
          <w:sz w:val="24"/>
          <w:szCs w:val="24"/>
        </w:rPr>
        <w:t xml:space="preserve"> a similar pattern from 2011 to 2015 and a sudden rise in 2016</w:t>
      </w:r>
      <w:r w:rsidR="0066209A"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 xml:space="preserve">(Figure </w:t>
      </w:r>
      <w:r w:rsidR="000E11A3" w:rsidRPr="00191ACB">
        <w:rPr>
          <w:rFonts w:ascii="Times New Roman" w:hAnsi="Times New Roman" w:cs="Times New Roman"/>
          <w:color w:val="000000" w:themeColor="text1"/>
          <w:sz w:val="24"/>
          <w:szCs w:val="24"/>
        </w:rPr>
        <w:t>3.20</w:t>
      </w:r>
      <w:r w:rsidRPr="00191ACB">
        <w:rPr>
          <w:rFonts w:ascii="Times New Roman" w:hAnsi="Times New Roman" w:cs="Times New Roman"/>
          <w:color w:val="000000" w:themeColor="text1"/>
          <w:sz w:val="24"/>
          <w:szCs w:val="24"/>
        </w:rPr>
        <w:t xml:space="preserve">).  The sudden rise </w:t>
      </w:r>
      <w:r w:rsidR="009D6638" w:rsidRPr="00191ACB">
        <w:rPr>
          <w:rFonts w:ascii="Times New Roman" w:hAnsi="Times New Roman" w:cs="Times New Roman"/>
          <w:color w:val="000000" w:themeColor="text1"/>
          <w:sz w:val="24"/>
          <w:szCs w:val="24"/>
        </w:rPr>
        <w:t>may have been</w:t>
      </w:r>
      <w:r w:rsidRPr="00191ACB">
        <w:rPr>
          <w:rFonts w:ascii="Times New Roman" w:hAnsi="Times New Roman" w:cs="Times New Roman"/>
          <w:color w:val="000000" w:themeColor="text1"/>
          <w:sz w:val="24"/>
          <w:szCs w:val="24"/>
        </w:rPr>
        <w:t xml:space="preserve"> attributed to the establishment of new forest Plantations. </w:t>
      </w:r>
    </w:p>
    <w:p w14:paraId="2CB42904" w14:textId="0D227599" w:rsidR="00C72EE3" w:rsidRPr="00191ACB" w:rsidRDefault="00C72EE3" w:rsidP="0051717A">
      <w:pPr>
        <w:spacing w:before="240" w:after="240"/>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noProof/>
          <w:color w:val="000000" w:themeColor="text1"/>
          <w:sz w:val="24"/>
          <w:szCs w:val="24"/>
          <w:lang w:val="en-GB" w:eastAsia="en-GB"/>
        </w:rPr>
        <w:drawing>
          <wp:inline distT="114300" distB="114300" distL="114300" distR="114300" wp14:anchorId="49B4EB92" wp14:editId="3CBE0A25">
            <wp:extent cx="2918460" cy="1806839"/>
            <wp:effectExtent l="0" t="0" r="0" b="3175"/>
            <wp:docPr id="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2"/>
                    <a:srcRect/>
                    <a:stretch>
                      <a:fillRect/>
                    </a:stretch>
                  </pic:blipFill>
                  <pic:spPr>
                    <a:xfrm>
                      <a:off x="0" y="0"/>
                      <a:ext cx="2925248" cy="1811042"/>
                    </a:xfrm>
                    <a:prstGeom prst="rect">
                      <a:avLst/>
                    </a:prstGeom>
                    <a:ln/>
                  </pic:spPr>
                </pic:pic>
              </a:graphicData>
            </a:graphic>
          </wp:inline>
        </w:drawing>
      </w:r>
      <w:r w:rsidRPr="00191ACB">
        <w:rPr>
          <w:rFonts w:ascii="Times New Roman" w:hAnsi="Times New Roman" w:cs="Times New Roman"/>
          <w:noProof/>
          <w:color w:val="000000" w:themeColor="text1"/>
          <w:sz w:val="24"/>
          <w:szCs w:val="24"/>
          <w:lang w:val="en-GB" w:eastAsia="en-GB"/>
        </w:rPr>
        <w:drawing>
          <wp:inline distT="114300" distB="114300" distL="114300" distR="114300" wp14:anchorId="6197F991" wp14:editId="1E4E1E7F">
            <wp:extent cx="2690495" cy="1813348"/>
            <wp:effectExtent l="0" t="0" r="0" b="0"/>
            <wp:docPr id="3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53"/>
                    <a:srcRect/>
                    <a:stretch>
                      <a:fillRect/>
                    </a:stretch>
                  </pic:blipFill>
                  <pic:spPr>
                    <a:xfrm>
                      <a:off x="0" y="0"/>
                      <a:ext cx="2691440" cy="1813985"/>
                    </a:xfrm>
                    <a:prstGeom prst="rect">
                      <a:avLst/>
                    </a:prstGeom>
                    <a:ln/>
                  </pic:spPr>
                </pic:pic>
              </a:graphicData>
            </a:graphic>
          </wp:inline>
        </w:drawing>
      </w:r>
    </w:p>
    <w:p w14:paraId="1D6A8D97" w14:textId="473ED6AB" w:rsidR="00C72EE3" w:rsidRPr="00191ACB" w:rsidRDefault="000E11A3" w:rsidP="000E11A3">
      <w:pPr>
        <w:pStyle w:val="Caption"/>
        <w:rPr>
          <w:i w:val="0"/>
          <w:color w:val="000000" w:themeColor="text1"/>
          <w:sz w:val="24"/>
          <w:szCs w:val="24"/>
        </w:rPr>
      </w:pPr>
      <w:bookmarkStart w:id="203" w:name="_Toc56583865"/>
      <w:r w:rsidRPr="00191ACB">
        <w:rPr>
          <w:sz w:val="24"/>
          <w:szCs w:val="24"/>
        </w:rPr>
        <w:lastRenderedPageBreak/>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20</w:t>
      </w:r>
      <w:r w:rsidR="009D481C">
        <w:rPr>
          <w:sz w:val="24"/>
          <w:szCs w:val="24"/>
        </w:rPr>
        <w:fldChar w:fldCharType="end"/>
      </w:r>
      <w:r w:rsidRPr="00191ACB">
        <w:rPr>
          <w:sz w:val="24"/>
          <w:szCs w:val="24"/>
        </w:rPr>
        <w:t>: (a) Trend in carbon uptake in Pine plantation (b)Trend in carbon uptake in Eucalyptus plantation</w:t>
      </w:r>
      <w:bookmarkEnd w:id="203"/>
    </w:p>
    <w:p w14:paraId="1BC69174" w14:textId="6C13E78E" w:rsidR="00C72EE3" w:rsidRPr="00191ACB" w:rsidRDefault="00C72EE3"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Emissions from</w:t>
      </w:r>
      <w:r w:rsidR="000A2D69" w:rsidRPr="00191ACB">
        <w:rPr>
          <w:rFonts w:ascii="Times New Roman" w:hAnsi="Times New Roman" w:cs="Times New Roman"/>
          <w:color w:val="000000" w:themeColor="text1"/>
          <w:sz w:val="24"/>
          <w:szCs w:val="24"/>
        </w:rPr>
        <w:t xml:space="preserve"> the</w:t>
      </w:r>
      <w:r w:rsidRPr="00191ACB">
        <w:rPr>
          <w:rFonts w:ascii="Times New Roman" w:hAnsi="Times New Roman" w:cs="Times New Roman"/>
          <w:color w:val="000000" w:themeColor="text1"/>
          <w:sz w:val="24"/>
          <w:szCs w:val="24"/>
        </w:rPr>
        <w:t xml:space="preserve"> Land </w:t>
      </w:r>
      <w:r w:rsidR="000A2D69" w:rsidRPr="00191ACB">
        <w:rPr>
          <w:rFonts w:ascii="Times New Roman" w:hAnsi="Times New Roman" w:cs="Times New Roman"/>
          <w:color w:val="000000" w:themeColor="text1"/>
          <w:sz w:val="24"/>
          <w:szCs w:val="24"/>
        </w:rPr>
        <w:t>sub category wer</w:t>
      </w:r>
      <w:r w:rsidRPr="00191ACB">
        <w:rPr>
          <w:rFonts w:ascii="Times New Roman" w:hAnsi="Times New Roman" w:cs="Times New Roman"/>
          <w:color w:val="000000" w:themeColor="text1"/>
          <w:sz w:val="24"/>
          <w:szCs w:val="24"/>
        </w:rPr>
        <w:t xml:space="preserve">e from </w:t>
      </w:r>
      <w:r w:rsidR="000A2D69" w:rsidRPr="00191ACB">
        <w:rPr>
          <w:rFonts w:ascii="Times New Roman" w:hAnsi="Times New Roman" w:cs="Times New Roman"/>
          <w:color w:val="000000" w:themeColor="text1"/>
          <w:sz w:val="24"/>
          <w:szCs w:val="24"/>
        </w:rPr>
        <w:t xml:space="preserve">change of land-use from </w:t>
      </w:r>
      <w:r w:rsidRPr="00191ACB">
        <w:rPr>
          <w:rFonts w:ascii="Times New Roman" w:hAnsi="Times New Roman" w:cs="Times New Roman"/>
          <w:color w:val="000000" w:themeColor="text1"/>
          <w:sz w:val="24"/>
          <w:szCs w:val="24"/>
        </w:rPr>
        <w:t>Forest land</w:t>
      </w:r>
      <w:r w:rsidR="000A2D69" w:rsidRPr="00191ACB">
        <w:rPr>
          <w:rFonts w:ascii="Times New Roman" w:hAnsi="Times New Roman" w:cs="Times New Roman"/>
          <w:color w:val="000000" w:themeColor="text1"/>
          <w:sz w:val="24"/>
          <w:szCs w:val="24"/>
        </w:rPr>
        <w:t xml:space="preserve"> to</w:t>
      </w:r>
      <w:r w:rsidRPr="00191ACB">
        <w:rPr>
          <w:rFonts w:ascii="Times New Roman" w:hAnsi="Times New Roman" w:cs="Times New Roman"/>
          <w:color w:val="000000" w:themeColor="text1"/>
          <w:sz w:val="24"/>
          <w:szCs w:val="24"/>
        </w:rPr>
        <w:t xml:space="preserve"> Cropland and </w:t>
      </w:r>
      <w:r w:rsidR="000A2D69" w:rsidRPr="00191ACB">
        <w:rPr>
          <w:rFonts w:ascii="Times New Roman" w:hAnsi="Times New Roman" w:cs="Times New Roman"/>
          <w:color w:val="000000" w:themeColor="text1"/>
          <w:sz w:val="24"/>
          <w:szCs w:val="24"/>
        </w:rPr>
        <w:t xml:space="preserve">Forest land to </w:t>
      </w:r>
      <w:r w:rsidRPr="00191ACB">
        <w:rPr>
          <w:rFonts w:ascii="Times New Roman" w:hAnsi="Times New Roman" w:cs="Times New Roman"/>
          <w:color w:val="000000" w:themeColor="text1"/>
          <w:sz w:val="24"/>
          <w:szCs w:val="24"/>
        </w:rPr>
        <w:t>Settlements. Emissions from Forest land grew by 24.9</w:t>
      </w:r>
      <w:r w:rsidR="000A2D6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from 56,767.0 Gg CO</w:t>
      </w:r>
      <w:r w:rsidRPr="00191ACB">
        <w:rPr>
          <w:rFonts w:ascii="Times New Roman" w:hAnsi="Times New Roman" w:cs="Times New Roman"/>
          <w:color w:val="000000" w:themeColor="text1"/>
          <w:sz w:val="24"/>
          <w:szCs w:val="24"/>
          <w:vertAlign w:val="subscript"/>
        </w:rPr>
        <w:t>2</w:t>
      </w:r>
      <w:r w:rsidR="000A2D69" w:rsidRPr="00191ACB">
        <w:rPr>
          <w:rFonts w:ascii="Times New Roman" w:hAnsi="Times New Roman" w:cs="Times New Roman"/>
          <w:color w:val="000000" w:themeColor="text1"/>
          <w:sz w:val="24"/>
          <w:szCs w:val="24"/>
          <w:vertAlign w:val="subscript"/>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in 1994 base year to 70,900.1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in 2016. Cropland emissions increased from 12,831.6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in 1994 to 21,855.7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in 2016 representing 70.3</w:t>
      </w:r>
      <w:r w:rsidR="000A2D6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growth</w:t>
      </w:r>
      <w:r w:rsidR="007B4855">
        <w:rPr>
          <w:rFonts w:ascii="Times New Roman" w:hAnsi="Times New Roman" w:cs="Times New Roman"/>
          <w:color w:val="000000" w:themeColor="text1"/>
          <w:sz w:val="24"/>
          <w:szCs w:val="24"/>
        </w:rPr>
        <w:t xml:space="preserve"> </w:t>
      </w:r>
      <w:r w:rsidR="000A2D69" w:rsidRPr="00191ACB">
        <w:rPr>
          <w:rFonts w:ascii="Times New Roman" w:hAnsi="Times New Roman" w:cs="Times New Roman"/>
          <w:color w:val="000000" w:themeColor="text1"/>
          <w:sz w:val="24"/>
          <w:szCs w:val="24"/>
        </w:rPr>
        <w:t>(Figure</w:t>
      </w:r>
      <w:r w:rsidR="001512D9" w:rsidRPr="00191ACB">
        <w:rPr>
          <w:rFonts w:ascii="Times New Roman" w:hAnsi="Times New Roman" w:cs="Times New Roman"/>
          <w:color w:val="000000" w:themeColor="text1"/>
          <w:sz w:val="24"/>
          <w:szCs w:val="24"/>
        </w:rPr>
        <w:t xml:space="preserve"> 3.21</w:t>
      </w:r>
      <w:r w:rsidR="000A2D69"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w:t>
      </w:r>
    </w:p>
    <w:p w14:paraId="079D059A" w14:textId="77777777" w:rsidR="00C72EE3" w:rsidRPr="00191ACB" w:rsidRDefault="00C72EE3" w:rsidP="00C72EE3">
      <w:pPr>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35F4BA6A" wp14:editId="08A04AE7">
            <wp:extent cx="5943600" cy="3497580"/>
            <wp:effectExtent l="0" t="0" r="0" b="762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DECA16A" w14:textId="4F9CB567" w:rsidR="00C72EE3" w:rsidRPr="00191ACB" w:rsidRDefault="000E11A3" w:rsidP="000E11A3">
      <w:pPr>
        <w:pStyle w:val="Caption"/>
        <w:rPr>
          <w:i w:val="0"/>
          <w:color w:val="000000" w:themeColor="text1"/>
          <w:sz w:val="24"/>
          <w:szCs w:val="24"/>
        </w:rPr>
      </w:pPr>
      <w:bookmarkStart w:id="204" w:name="_Toc56583866"/>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21</w:t>
      </w:r>
      <w:r w:rsidR="009D481C">
        <w:rPr>
          <w:sz w:val="24"/>
          <w:szCs w:val="24"/>
        </w:rPr>
        <w:fldChar w:fldCharType="end"/>
      </w:r>
      <w:r w:rsidRPr="00191ACB">
        <w:rPr>
          <w:sz w:val="24"/>
          <w:szCs w:val="24"/>
        </w:rPr>
        <w:t>:Trends of Emissions from sub category under Land</w:t>
      </w:r>
      <w:bookmarkEnd w:id="204"/>
    </w:p>
    <w:p w14:paraId="69F92963" w14:textId="4C204BD9" w:rsidR="00C72EE3" w:rsidRPr="00191ACB" w:rsidRDefault="00C72EE3"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rate of increase in emissions from settlements was the highest with 214.5</w:t>
      </w:r>
      <w:r w:rsidR="000A2D6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from 3,137.8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in 1994 base year</w:t>
      </w:r>
      <w:r w:rsidR="000A2D69" w:rsidRPr="00191ACB">
        <w:rPr>
          <w:rFonts w:ascii="Times New Roman" w:hAnsi="Times New Roman" w:cs="Times New Roman"/>
          <w:color w:val="000000" w:themeColor="text1"/>
          <w:sz w:val="24"/>
          <w:szCs w:val="24"/>
        </w:rPr>
        <w:t xml:space="preserve"> to</w:t>
      </w:r>
      <w:r w:rsidRPr="00191ACB">
        <w:rPr>
          <w:rFonts w:ascii="Times New Roman" w:hAnsi="Times New Roman" w:cs="Times New Roman"/>
          <w:color w:val="000000" w:themeColor="text1"/>
          <w:sz w:val="24"/>
          <w:szCs w:val="24"/>
        </w:rPr>
        <w:t xml:space="preserve"> 9,851.8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xml:space="preserve"> in 2016</w:t>
      </w:r>
      <w:r w:rsidR="0066209A"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 xml:space="preserve">(Figure </w:t>
      </w:r>
      <w:r w:rsidR="001512D9" w:rsidRPr="00191ACB">
        <w:rPr>
          <w:rFonts w:ascii="Times New Roman" w:hAnsi="Times New Roman" w:cs="Times New Roman"/>
          <w:color w:val="000000" w:themeColor="text1"/>
          <w:sz w:val="24"/>
          <w:szCs w:val="24"/>
        </w:rPr>
        <w:t>3.22</w:t>
      </w:r>
      <w:r w:rsidRPr="00191ACB">
        <w:rPr>
          <w:rFonts w:ascii="Times New Roman" w:hAnsi="Times New Roman" w:cs="Times New Roman"/>
          <w:color w:val="000000" w:themeColor="text1"/>
          <w:sz w:val="24"/>
          <w:szCs w:val="24"/>
        </w:rPr>
        <w:t>). In 2016, the highest contribution of emissions were attributed to Forest Land with 69</w:t>
      </w:r>
      <w:r w:rsidR="000A2D6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followed by Cropland at 21</w:t>
      </w:r>
      <w:r w:rsidR="000A2D6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The least was Settlements with 10</w:t>
      </w:r>
      <w:r w:rsidR="000A2D6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Emissions from Forest land is mainly from Wood removals and fuelwood removals.</w:t>
      </w:r>
    </w:p>
    <w:p w14:paraId="16B5988E" w14:textId="77777777" w:rsidR="00C72EE3" w:rsidRPr="00191ACB" w:rsidRDefault="00C72EE3" w:rsidP="00C72EE3">
      <w:pPr>
        <w:pStyle w:val="NoSpacing"/>
        <w:jc w:val="both"/>
        <w:rPr>
          <w:rFonts w:ascii="Times New Roman" w:hAnsi="Times New Roman" w:cs="Times New Roman"/>
          <w:color w:val="000000" w:themeColor="text1"/>
          <w:sz w:val="24"/>
          <w:szCs w:val="24"/>
        </w:rPr>
      </w:pPr>
    </w:p>
    <w:p w14:paraId="4FAA2E0A" w14:textId="77777777" w:rsidR="00C72EE3" w:rsidRPr="00191ACB" w:rsidRDefault="00C72EE3" w:rsidP="00C72EE3">
      <w:pPr>
        <w:pStyle w:val="NoSpacing"/>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086643F5" wp14:editId="5649BEC8">
            <wp:extent cx="3566160" cy="2491740"/>
            <wp:effectExtent l="0" t="0" r="15240" b="3810"/>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EB52726" w14:textId="22A76CA5" w:rsidR="00C72EE3" w:rsidRPr="00191ACB" w:rsidRDefault="000E11A3" w:rsidP="000E11A3">
      <w:pPr>
        <w:pStyle w:val="Caption"/>
        <w:rPr>
          <w:i w:val="0"/>
          <w:color w:val="000000" w:themeColor="text1"/>
          <w:sz w:val="24"/>
          <w:szCs w:val="24"/>
        </w:rPr>
      </w:pPr>
      <w:bookmarkStart w:id="205" w:name="_Toc56583867"/>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22</w:t>
      </w:r>
      <w:r w:rsidR="009D481C">
        <w:rPr>
          <w:sz w:val="24"/>
          <w:szCs w:val="24"/>
        </w:rPr>
        <w:fldChar w:fldCharType="end"/>
      </w:r>
      <w:r w:rsidRPr="00191ACB">
        <w:rPr>
          <w:sz w:val="24"/>
          <w:szCs w:val="24"/>
        </w:rPr>
        <w:t>:Percentage contribution to Land emissions in 2016</w:t>
      </w:r>
      <w:bookmarkEnd w:id="205"/>
    </w:p>
    <w:p w14:paraId="7869677D" w14:textId="77777777" w:rsidR="00935720" w:rsidRPr="00191ACB" w:rsidRDefault="00935720" w:rsidP="005E626A">
      <w:pPr>
        <w:pStyle w:val="Heading2"/>
        <w:spacing w:after="120" w:line="240" w:lineRule="auto"/>
        <w:rPr>
          <w:rFonts w:ascii="Times New Roman" w:hAnsi="Times New Roman" w:cs="Times New Roman"/>
          <w:b/>
          <w:color w:val="000000" w:themeColor="text1"/>
          <w:sz w:val="24"/>
          <w:szCs w:val="24"/>
        </w:rPr>
      </w:pPr>
      <w:bookmarkStart w:id="206" w:name="_Toc48427327"/>
    </w:p>
    <w:p w14:paraId="16ABBDC4" w14:textId="0617D453" w:rsidR="00C72EE3" w:rsidRPr="00182B0C" w:rsidRDefault="00C72EE3" w:rsidP="00182B0C">
      <w:pPr>
        <w:pStyle w:val="Heading4"/>
        <w:numPr>
          <w:ilvl w:val="3"/>
          <w:numId w:val="36"/>
        </w:numPr>
        <w:ind w:left="851" w:hanging="851"/>
      </w:pPr>
      <w:r w:rsidRPr="00182B0C">
        <w:t>Forestland</w:t>
      </w:r>
      <w:bookmarkEnd w:id="206"/>
      <w:r w:rsidRPr="00182B0C">
        <w:t xml:space="preserve"> </w:t>
      </w:r>
    </w:p>
    <w:p w14:paraId="559BBD54" w14:textId="72883317" w:rsidR="00C72EE3" w:rsidRPr="00191ACB" w:rsidRDefault="00C72EE3"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Managed Forest Land is partitioned into two sub categories namely; Forest Land Remaining Forest Land and Land Converted to Forest Land. The relevant carbon pools </w:t>
      </w:r>
      <w:r w:rsidR="003F1379" w:rsidRPr="00191ACB">
        <w:rPr>
          <w:rFonts w:ascii="Times New Roman" w:hAnsi="Times New Roman" w:cs="Times New Roman"/>
          <w:color w:val="000000" w:themeColor="text1"/>
          <w:sz w:val="24"/>
          <w:szCs w:val="24"/>
        </w:rPr>
        <w:t>that were</w:t>
      </w:r>
      <w:r w:rsidRPr="00191ACB">
        <w:rPr>
          <w:rFonts w:ascii="Times New Roman" w:hAnsi="Times New Roman" w:cs="Times New Roman"/>
          <w:color w:val="000000" w:themeColor="text1"/>
          <w:sz w:val="24"/>
          <w:szCs w:val="24"/>
        </w:rPr>
        <w:t xml:space="preserve"> </w:t>
      </w:r>
      <w:r w:rsidR="003F1379" w:rsidRPr="00191ACB">
        <w:rPr>
          <w:rFonts w:ascii="Times New Roman" w:hAnsi="Times New Roman" w:cs="Times New Roman"/>
          <w:color w:val="000000" w:themeColor="text1"/>
          <w:sz w:val="24"/>
          <w:szCs w:val="24"/>
        </w:rPr>
        <w:t xml:space="preserve">considered include </w:t>
      </w:r>
      <w:r w:rsidRPr="00191ACB">
        <w:rPr>
          <w:rFonts w:ascii="Times New Roman" w:hAnsi="Times New Roman" w:cs="Times New Roman"/>
          <w:color w:val="000000" w:themeColor="text1"/>
          <w:sz w:val="24"/>
          <w:szCs w:val="24"/>
        </w:rPr>
        <w:t>biomass (above-ground and below-ground biomass), dead organic matter (dead wood and litter)</w:t>
      </w:r>
      <w:r w:rsidR="003F1379" w:rsidRPr="00191ACB">
        <w:rPr>
          <w:rFonts w:ascii="Times New Roman" w:hAnsi="Times New Roman" w:cs="Times New Roman"/>
          <w:color w:val="000000" w:themeColor="text1"/>
          <w:sz w:val="24"/>
          <w:szCs w:val="24"/>
        </w:rPr>
        <w:t xml:space="preserve"> and</w:t>
      </w:r>
      <w:r w:rsidRPr="00191ACB">
        <w:rPr>
          <w:rFonts w:ascii="Times New Roman" w:hAnsi="Times New Roman" w:cs="Times New Roman"/>
          <w:color w:val="000000" w:themeColor="text1"/>
          <w:sz w:val="24"/>
          <w:szCs w:val="24"/>
        </w:rPr>
        <w:t xml:space="preserve"> soil organic matter. Non-CO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gases</w:t>
      </w:r>
      <w:r w:rsidR="003F1379" w:rsidRPr="00191ACB">
        <w:rPr>
          <w:rFonts w:ascii="Times New Roman" w:hAnsi="Times New Roman" w:cs="Times New Roman"/>
          <w:color w:val="000000" w:themeColor="text1"/>
          <w:sz w:val="24"/>
          <w:szCs w:val="24"/>
        </w:rPr>
        <w:t xml:space="preserve"> considered were</w:t>
      </w:r>
      <w:r w:rsidRPr="00191ACB">
        <w:rPr>
          <w:rFonts w:ascii="Times New Roman" w:hAnsi="Times New Roman" w:cs="Times New Roman"/>
          <w:color w:val="000000" w:themeColor="text1"/>
          <w:sz w:val="24"/>
          <w:szCs w:val="24"/>
        </w:rPr>
        <w:t xml:space="preserve">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CO,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and NO</w:t>
      </w:r>
      <w:r w:rsidRPr="00191ACB">
        <w:rPr>
          <w:rFonts w:ascii="Times New Roman" w:hAnsi="Times New Roman" w:cs="Times New Roman"/>
          <w:color w:val="000000" w:themeColor="text1"/>
          <w:sz w:val="24"/>
          <w:szCs w:val="24"/>
          <w:vertAlign w:val="subscript"/>
        </w:rPr>
        <w:t>X</w:t>
      </w:r>
      <w:r w:rsidRPr="00191ACB">
        <w:rPr>
          <w:rFonts w:ascii="Times New Roman" w:hAnsi="Times New Roman" w:cs="Times New Roman"/>
          <w:color w:val="000000" w:themeColor="text1"/>
          <w:sz w:val="24"/>
          <w:szCs w:val="24"/>
        </w:rPr>
        <w:t xml:space="preserve">. </w:t>
      </w:r>
    </w:p>
    <w:p w14:paraId="2BB6E73C" w14:textId="77777777" w:rsidR="00FC4FC5" w:rsidRPr="00191ACB" w:rsidRDefault="00FC4FC5" w:rsidP="005E626A">
      <w:pPr>
        <w:spacing w:after="120" w:line="240" w:lineRule="auto"/>
        <w:jc w:val="both"/>
        <w:rPr>
          <w:rFonts w:ascii="Times New Roman" w:hAnsi="Times New Roman" w:cs="Times New Roman"/>
          <w:color w:val="000000" w:themeColor="text1"/>
          <w:sz w:val="24"/>
          <w:szCs w:val="24"/>
        </w:rPr>
      </w:pPr>
    </w:p>
    <w:p w14:paraId="6D897815" w14:textId="77777777" w:rsidR="00C72EE3" w:rsidRPr="00191ACB" w:rsidRDefault="00C72EE3" w:rsidP="005E626A">
      <w:pPr>
        <w:spacing w:after="120" w:line="240" w:lineRule="auto"/>
        <w:jc w:val="both"/>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Wood removals</w:t>
      </w:r>
    </w:p>
    <w:p w14:paraId="4DD0BA75" w14:textId="76DAA1BF" w:rsidR="00C72EE3" w:rsidRPr="00191ACB" w:rsidRDefault="00C72EE3"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2016, the emissions sink by forest classification indicates highest occurrence of removals in Forest Woodland with 44.08</w:t>
      </w:r>
      <w:r w:rsidR="003F137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w:t>
      </w:r>
      <w:r w:rsidR="003F1379" w:rsidRPr="00191ACB">
        <w:rPr>
          <w:rFonts w:ascii="Times New Roman" w:hAnsi="Times New Roman" w:cs="Times New Roman"/>
          <w:color w:val="000000" w:themeColor="text1"/>
          <w:sz w:val="24"/>
          <w:szCs w:val="24"/>
        </w:rPr>
        <w:t>while the least was</w:t>
      </w:r>
      <w:r w:rsidRPr="00191ACB">
        <w:rPr>
          <w:rFonts w:ascii="Times New Roman" w:hAnsi="Times New Roman" w:cs="Times New Roman"/>
          <w:color w:val="000000" w:themeColor="text1"/>
          <w:sz w:val="24"/>
          <w:szCs w:val="24"/>
        </w:rPr>
        <w:t xml:space="preserve"> Eucalyptus </w:t>
      </w:r>
      <w:r w:rsidR="003F1379" w:rsidRPr="00191ACB">
        <w:rPr>
          <w:rFonts w:ascii="Times New Roman" w:hAnsi="Times New Roman" w:cs="Times New Roman"/>
          <w:color w:val="000000" w:themeColor="text1"/>
          <w:sz w:val="24"/>
          <w:szCs w:val="24"/>
        </w:rPr>
        <w:t xml:space="preserve">at </w:t>
      </w:r>
      <w:r w:rsidRPr="00191ACB">
        <w:rPr>
          <w:rFonts w:ascii="Times New Roman" w:hAnsi="Times New Roman" w:cs="Times New Roman"/>
          <w:color w:val="000000" w:themeColor="text1"/>
          <w:sz w:val="24"/>
          <w:szCs w:val="24"/>
        </w:rPr>
        <w:t>0.53</w:t>
      </w:r>
      <w:r w:rsidR="003F1379" w:rsidRPr="00191ACB">
        <w:rPr>
          <w:rFonts w:ascii="Times New Roman" w:hAnsi="Times New Roman" w:cs="Times New Roman"/>
          <w:color w:val="000000" w:themeColor="text1"/>
          <w:sz w:val="24"/>
          <w:szCs w:val="24"/>
        </w:rPr>
        <w:t xml:space="preserve"> percent as shown in </w:t>
      </w:r>
      <w:r w:rsidRPr="00191ACB">
        <w:rPr>
          <w:rFonts w:ascii="Times New Roman" w:hAnsi="Times New Roman" w:cs="Times New Roman"/>
          <w:color w:val="000000" w:themeColor="text1"/>
          <w:sz w:val="24"/>
          <w:szCs w:val="24"/>
        </w:rPr>
        <w:t>Figure</w:t>
      </w:r>
      <w:r w:rsidR="001512D9" w:rsidRPr="00191ACB">
        <w:rPr>
          <w:rFonts w:ascii="Times New Roman" w:hAnsi="Times New Roman" w:cs="Times New Roman"/>
          <w:color w:val="000000" w:themeColor="text1"/>
          <w:sz w:val="24"/>
          <w:szCs w:val="24"/>
        </w:rPr>
        <w:t xml:space="preserve"> 3.23</w:t>
      </w:r>
      <w:r w:rsidRPr="00191ACB">
        <w:rPr>
          <w:rFonts w:ascii="Times New Roman" w:hAnsi="Times New Roman" w:cs="Times New Roman"/>
          <w:color w:val="000000" w:themeColor="text1"/>
          <w:sz w:val="24"/>
          <w:szCs w:val="24"/>
        </w:rPr>
        <w:t>.</w:t>
      </w:r>
    </w:p>
    <w:p w14:paraId="736FFCC5" w14:textId="77777777" w:rsidR="00C72EE3" w:rsidRPr="00191ACB" w:rsidRDefault="00C72EE3" w:rsidP="00C72EE3">
      <w:pPr>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6628E202" wp14:editId="1CE475AA">
            <wp:extent cx="3741420" cy="2171700"/>
            <wp:effectExtent l="0" t="0" r="11430" b="0"/>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A41136B" w14:textId="53637F99" w:rsidR="00C72EE3" w:rsidRPr="00191ACB" w:rsidRDefault="000E11A3" w:rsidP="000E11A3">
      <w:pPr>
        <w:pStyle w:val="Caption"/>
        <w:rPr>
          <w:i w:val="0"/>
          <w:color w:val="000000" w:themeColor="text1"/>
          <w:sz w:val="24"/>
          <w:szCs w:val="24"/>
        </w:rPr>
      </w:pPr>
      <w:bookmarkStart w:id="207" w:name="_Toc56583868"/>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23</w:t>
      </w:r>
      <w:r w:rsidR="009D481C">
        <w:rPr>
          <w:sz w:val="24"/>
          <w:szCs w:val="24"/>
        </w:rPr>
        <w:fldChar w:fldCharType="end"/>
      </w:r>
      <w:r w:rsidRPr="00191ACB">
        <w:rPr>
          <w:sz w:val="24"/>
          <w:szCs w:val="24"/>
        </w:rPr>
        <w:t>:Emissions removal by Forest Classification</w:t>
      </w:r>
      <w:bookmarkEnd w:id="207"/>
    </w:p>
    <w:p w14:paraId="1D92C178" w14:textId="078F8E1A" w:rsidR="00C72EE3" w:rsidRPr="00191ACB" w:rsidRDefault="00C72EE3" w:rsidP="00C72EE3">
      <w:pPr>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Detailed emissions removals by forest classification are provided in </w:t>
      </w:r>
      <w:r w:rsidR="001512D9" w:rsidRPr="00191ACB">
        <w:rPr>
          <w:rFonts w:ascii="Times New Roman" w:hAnsi="Times New Roman" w:cs="Times New Roman"/>
          <w:color w:val="000000" w:themeColor="text1"/>
          <w:sz w:val="24"/>
          <w:szCs w:val="24"/>
        </w:rPr>
        <w:t>Table 3.12</w:t>
      </w:r>
      <w:r w:rsidRPr="00191ACB">
        <w:rPr>
          <w:rFonts w:ascii="Times New Roman" w:hAnsi="Times New Roman" w:cs="Times New Roman"/>
          <w:color w:val="000000" w:themeColor="text1"/>
          <w:sz w:val="24"/>
          <w:szCs w:val="24"/>
        </w:rPr>
        <w:t>.</w:t>
      </w:r>
    </w:p>
    <w:p w14:paraId="1788CACD" w14:textId="0B43C8F8" w:rsidR="00C72EE3" w:rsidRPr="00191ACB" w:rsidRDefault="00C72EE3" w:rsidP="00C72EE3">
      <w:pPr>
        <w:pStyle w:val="NoSpacing"/>
        <w:rPr>
          <w:rFonts w:ascii="Times New Roman" w:hAnsi="Times New Roman" w:cs="Times New Roman"/>
          <w:color w:val="000000" w:themeColor="text1"/>
          <w:sz w:val="24"/>
          <w:szCs w:val="24"/>
        </w:rPr>
      </w:pPr>
    </w:p>
    <w:p w14:paraId="42819501" w14:textId="59E346E7" w:rsidR="000E11A3" w:rsidRPr="00191ACB" w:rsidRDefault="000E11A3" w:rsidP="000E11A3">
      <w:pPr>
        <w:pStyle w:val="Caption"/>
        <w:rPr>
          <w:color w:val="000000" w:themeColor="text1"/>
          <w:sz w:val="24"/>
          <w:szCs w:val="24"/>
        </w:rPr>
      </w:pPr>
      <w:bookmarkStart w:id="208" w:name="_Toc56583773"/>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12</w:t>
      </w:r>
      <w:r w:rsidR="00875942">
        <w:rPr>
          <w:sz w:val="24"/>
          <w:szCs w:val="24"/>
        </w:rPr>
        <w:fldChar w:fldCharType="end"/>
      </w:r>
      <w:r w:rsidRPr="00191ACB">
        <w:rPr>
          <w:sz w:val="24"/>
          <w:szCs w:val="24"/>
        </w:rPr>
        <w:t>:Emission removals by Forest classification</w:t>
      </w:r>
      <w:bookmarkEnd w:id="208"/>
    </w:p>
    <w:tbl>
      <w:tblPr>
        <w:tblW w:w="936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236"/>
        <w:gridCol w:w="1196"/>
        <w:gridCol w:w="1275"/>
        <w:gridCol w:w="1209"/>
        <w:gridCol w:w="1343"/>
        <w:gridCol w:w="1268"/>
        <w:gridCol w:w="1268"/>
      </w:tblGrid>
      <w:tr w:rsidR="00C72EE3" w:rsidRPr="00191ACB" w14:paraId="567B6BE9" w14:textId="77777777" w:rsidTr="005C7EBE">
        <w:trPr>
          <w:trHeight w:val="300"/>
        </w:trPr>
        <w:tc>
          <w:tcPr>
            <w:tcW w:w="960" w:type="dxa"/>
            <w:shd w:val="clear" w:color="auto" w:fill="auto"/>
            <w:noWrap/>
            <w:vAlign w:val="center"/>
            <w:hideMark/>
          </w:tcPr>
          <w:p w14:paraId="75D8E5D9"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1138" w:type="dxa"/>
            <w:shd w:val="clear" w:color="auto" w:fill="auto"/>
            <w:noWrap/>
            <w:vAlign w:val="center"/>
            <w:hideMark/>
          </w:tcPr>
          <w:p w14:paraId="1CF6ABB2"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Dry Deciduous</w:t>
            </w:r>
          </w:p>
        </w:tc>
        <w:tc>
          <w:tcPr>
            <w:tcW w:w="1096" w:type="dxa"/>
            <w:shd w:val="clear" w:color="auto" w:fill="auto"/>
            <w:noWrap/>
            <w:vAlign w:val="center"/>
            <w:hideMark/>
          </w:tcPr>
          <w:p w14:paraId="3E259ADD"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Dry Evergreen</w:t>
            </w:r>
          </w:p>
        </w:tc>
        <w:tc>
          <w:tcPr>
            <w:tcW w:w="1156" w:type="dxa"/>
            <w:shd w:val="clear" w:color="auto" w:fill="auto"/>
            <w:noWrap/>
            <w:vAlign w:val="center"/>
            <w:hideMark/>
          </w:tcPr>
          <w:p w14:paraId="43B2E9E6"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Eucalyptus Plantation</w:t>
            </w:r>
          </w:p>
        </w:tc>
        <w:tc>
          <w:tcPr>
            <w:tcW w:w="1108" w:type="dxa"/>
            <w:shd w:val="clear" w:color="auto" w:fill="auto"/>
            <w:noWrap/>
            <w:vAlign w:val="center"/>
            <w:hideMark/>
          </w:tcPr>
          <w:p w14:paraId="41C3FFAF"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Forest Woodland</w:t>
            </w:r>
          </w:p>
        </w:tc>
        <w:tc>
          <w:tcPr>
            <w:tcW w:w="1351" w:type="dxa"/>
            <w:shd w:val="clear" w:color="auto" w:fill="auto"/>
            <w:noWrap/>
            <w:vAlign w:val="center"/>
            <w:hideMark/>
          </w:tcPr>
          <w:p w14:paraId="1734C254"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Moist Evergreen</w:t>
            </w:r>
          </w:p>
        </w:tc>
        <w:tc>
          <w:tcPr>
            <w:tcW w:w="1276" w:type="dxa"/>
            <w:shd w:val="clear" w:color="auto" w:fill="auto"/>
            <w:noWrap/>
            <w:vAlign w:val="center"/>
            <w:hideMark/>
          </w:tcPr>
          <w:p w14:paraId="5E0FDD9E"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Other Wooded Land</w:t>
            </w:r>
          </w:p>
        </w:tc>
        <w:tc>
          <w:tcPr>
            <w:tcW w:w="1276" w:type="dxa"/>
            <w:shd w:val="clear" w:color="auto" w:fill="auto"/>
            <w:noWrap/>
            <w:vAlign w:val="center"/>
            <w:hideMark/>
          </w:tcPr>
          <w:p w14:paraId="21B5CCB8"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Pine Plantation</w:t>
            </w:r>
          </w:p>
        </w:tc>
      </w:tr>
      <w:tr w:rsidR="00C72EE3" w:rsidRPr="00191ACB" w14:paraId="584B1AEF" w14:textId="77777777" w:rsidTr="005C7EBE">
        <w:trPr>
          <w:trHeight w:val="300"/>
        </w:trPr>
        <w:tc>
          <w:tcPr>
            <w:tcW w:w="960" w:type="dxa"/>
            <w:shd w:val="clear" w:color="000000" w:fill="BDD7EE"/>
            <w:noWrap/>
            <w:vAlign w:val="center"/>
            <w:hideMark/>
          </w:tcPr>
          <w:p w14:paraId="57E7A4E8"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1994</w:t>
            </w:r>
          </w:p>
        </w:tc>
        <w:tc>
          <w:tcPr>
            <w:tcW w:w="1138" w:type="dxa"/>
            <w:shd w:val="clear" w:color="000000" w:fill="BDD7EE"/>
            <w:noWrap/>
            <w:vAlign w:val="center"/>
            <w:hideMark/>
          </w:tcPr>
          <w:p w14:paraId="6CAE3B4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-11,063.10</w:t>
            </w:r>
          </w:p>
        </w:tc>
        <w:tc>
          <w:tcPr>
            <w:tcW w:w="1096" w:type="dxa"/>
            <w:shd w:val="clear" w:color="000000" w:fill="BDD7EE"/>
            <w:noWrap/>
            <w:vAlign w:val="center"/>
            <w:hideMark/>
          </w:tcPr>
          <w:p w14:paraId="73245127"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-8,821.40</w:t>
            </w:r>
          </w:p>
        </w:tc>
        <w:tc>
          <w:tcPr>
            <w:tcW w:w="1156" w:type="dxa"/>
            <w:shd w:val="clear" w:color="000000" w:fill="BDD7EE"/>
            <w:noWrap/>
            <w:vAlign w:val="center"/>
            <w:hideMark/>
          </w:tcPr>
          <w:p w14:paraId="534A40E0"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-598.4</w:t>
            </w:r>
          </w:p>
        </w:tc>
        <w:tc>
          <w:tcPr>
            <w:tcW w:w="1108" w:type="dxa"/>
            <w:shd w:val="clear" w:color="000000" w:fill="BDD7EE"/>
            <w:noWrap/>
            <w:vAlign w:val="center"/>
            <w:hideMark/>
          </w:tcPr>
          <w:p w14:paraId="62A7A704"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-63,744.50</w:t>
            </w:r>
          </w:p>
        </w:tc>
        <w:tc>
          <w:tcPr>
            <w:tcW w:w="1351" w:type="dxa"/>
            <w:shd w:val="clear" w:color="000000" w:fill="BDD7EE"/>
            <w:noWrap/>
            <w:vAlign w:val="center"/>
            <w:hideMark/>
          </w:tcPr>
          <w:p w14:paraId="54BF35E5"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-21,599.40</w:t>
            </w:r>
          </w:p>
        </w:tc>
        <w:tc>
          <w:tcPr>
            <w:tcW w:w="1276" w:type="dxa"/>
            <w:shd w:val="clear" w:color="000000" w:fill="BDD7EE"/>
            <w:noWrap/>
            <w:vAlign w:val="center"/>
            <w:hideMark/>
          </w:tcPr>
          <w:p w14:paraId="46836C2E"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-36,380.40</w:t>
            </w:r>
          </w:p>
        </w:tc>
        <w:tc>
          <w:tcPr>
            <w:tcW w:w="1276" w:type="dxa"/>
            <w:shd w:val="clear" w:color="000000" w:fill="BDD7EE"/>
            <w:noWrap/>
            <w:vAlign w:val="center"/>
            <w:hideMark/>
          </w:tcPr>
          <w:p w14:paraId="3ADA005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-722</w:t>
            </w:r>
          </w:p>
        </w:tc>
      </w:tr>
      <w:tr w:rsidR="00C72EE3" w:rsidRPr="00191ACB" w14:paraId="4208AB24" w14:textId="77777777" w:rsidTr="005C7EBE">
        <w:trPr>
          <w:trHeight w:val="300"/>
        </w:trPr>
        <w:tc>
          <w:tcPr>
            <w:tcW w:w="960" w:type="dxa"/>
            <w:shd w:val="clear" w:color="000000" w:fill="BDD7EE"/>
            <w:noWrap/>
            <w:vAlign w:val="center"/>
            <w:hideMark/>
          </w:tcPr>
          <w:p w14:paraId="5455382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2000</w:t>
            </w:r>
          </w:p>
        </w:tc>
        <w:tc>
          <w:tcPr>
            <w:tcW w:w="1138" w:type="dxa"/>
            <w:shd w:val="clear" w:color="000000" w:fill="BDD7EE"/>
            <w:noWrap/>
            <w:vAlign w:val="center"/>
            <w:hideMark/>
          </w:tcPr>
          <w:p w14:paraId="645867F7"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-10,881.40</w:t>
            </w:r>
          </w:p>
        </w:tc>
        <w:tc>
          <w:tcPr>
            <w:tcW w:w="1096" w:type="dxa"/>
            <w:shd w:val="clear" w:color="000000" w:fill="BDD7EE"/>
            <w:noWrap/>
            <w:vAlign w:val="center"/>
            <w:hideMark/>
          </w:tcPr>
          <w:p w14:paraId="2E995E3A"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-8,674.30</w:t>
            </w:r>
          </w:p>
        </w:tc>
        <w:tc>
          <w:tcPr>
            <w:tcW w:w="1156" w:type="dxa"/>
            <w:shd w:val="clear" w:color="000000" w:fill="BDD7EE"/>
            <w:noWrap/>
            <w:vAlign w:val="center"/>
            <w:hideMark/>
          </w:tcPr>
          <w:p w14:paraId="4CC09556"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-641.5</w:t>
            </w:r>
          </w:p>
        </w:tc>
        <w:tc>
          <w:tcPr>
            <w:tcW w:w="1108" w:type="dxa"/>
            <w:shd w:val="clear" w:color="000000" w:fill="BDD7EE"/>
            <w:noWrap/>
            <w:vAlign w:val="center"/>
            <w:hideMark/>
          </w:tcPr>
          <w:p w14:paraId="132DDBE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-62,697.80</w:t>
            </w:r>
          </w:p>
        </w:tc>
        <w:tc>
          <w:tcPr>
            <w:tcW w:w="1351" w:type="dxa"/>
            <w:shd w:val="clear" w:color="000000" w:fill="BDD7EE"/>
            <w:noWrap/>
            <w:vAlign w:val="center"/>
            <w:hideMark/>
          </w:tcPr>
          <w:p w14:paraId="615A410D"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-21,244.70</w:t>
            </w:r>
          </w:p>
        </w:tc>
        <w:tc>
          <w:tcPr>
            <w:tcW w:w="1276" w:type="dxa"/>
            <w:shd w:val="clear" w:color="000000" w:fill="BDD7EE"/>
            <w:noWrap/>
            <w:vAlign w:val="center"/>
            <w:hideMark/>
          </w:tcPr>
          <w:p w14:paraId="5E7E6D88"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-36,177.00</w:t>
            </w:r>
          </w:p>
        </w:tc>
        <w:tc>
          <w:tcPr>
            <w:tcW w:w="1276" w:type="dxa"/>
            <w:shd w:val="clear" w:color="000000" w:fill="BDD7EE"/>
            <w:noWrap/>
            <w:vAlign w:val="center"/>
            <w:hideMark/>
          </w:tcPr>
          <w:p w14:paraId="333CE42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692.4</w:t>
            </w:r>
          </w:p>
        </w:tc>
      </w:tr>
      <w:tr w:rsidR="00C72EE3" w:rsidRPr="00191ACB" w14:paraId="4E8FC909" w14:textId="77777777" w:rsidTr="005C7EBE">
        <w:trPr>
          <w:trHeight w:val="300"/>
        </w:trPr>
        <w:tc>
          <w:tcPr>
            <w:tcW w:w="960" w:type="dxa"/>
            <w:shd w:val="clear" w:color="000000" w:fill="BDD7EE"/>
            <w:noWrap/>
            <w:vAlign w:val="center"/>
            <w:hideMark/>
          </w:tcPr>
          <w:p w14:paraId="619A6628"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2005</w:t>
            </w:r>
          </w:p>
        </w:tc>
        <w:tc>
          <w:tcPr>
            <w:tcW w:w="1138" w:type="dxa"/>
            <w:shd w:val="clear" w:color="000000" w:fill="BDD7EE"/>
            <w:noWrap/>
            <w:vAlign w:val="center"/>
            <w:hideMark/>
          </w:tcPr>
          <w:p w14:paraId="7B4E03D0"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-10,632.00</w:t>
            </w:r>
          </w:p>
        </w:tc>
        <w:tc>
          <w:tcPr>
            <w:tcW w:w="1096" w:type="dxa"/>
            <w:shd w:val="clear" w:color="000000" w:fill="BDD7EE"/>
            <w:noWrap/>
            <w:vAlign w:val="center"/>
            <w:hideMark/>
          </w:tcPr>
          <w:p w14:paraId="7AF5495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-8,472.40</w:t>
            </w:r>
          </w:p>
        </w:tc>
        <w:tc>
          <w:tcPr>
            <w:tcW w:w="1156" w:type="dxa"/>
            <w:shd w:val="clear" w:color="000000" w:fill="BDD7EE"/>
            <w:noWrap/>
            <w:vAlign w:val="center"/>
            <w:hideMark/>
          </w:tcPr>
          <w:p w14:paraId="2F0C1F9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-652.2</w:t>
            </w:r>
          </w:p>
        </w:tc>
        <w:tc>
          <w:tcPr>
            <w:tcW w:w="1108" w:type="dxa"/>
            <w:shd w:val="clear" w:color="000000" w:fill="BDD7EE"/>
            <w:noWrap/>
            <w:vAlign w:val="center"/>
            <w:hideMark/>
          </w:tcPr>
          <w:p w14:paraId="7F23F316"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-61,260.50</w:t>
            </w:r>
          </w:p>
        </w:tc>
        <w:tc>
          <w:tcPr>
            <w:tcW w:w="1351" w:type="dxa"/>
            <w:shd w:val="clear" w:color="000000" w:fill="BDD7EE"/>
            <w:noWrap/>
            <w:vAlign w:val="center"/>
            <w:hideMark/>
          </w:tcPr>
          <w:p w14:paraId="2131850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-20,757.70</w:t>
            </w:r>
          </w:p>
        </w:tc>
        <w:tc>
          <w:tcPr>
            <w:tcW w:w="1276" w:type="dxa"/>
            <w:shd w:val="clear" w:color="000000" w:fill="BDD7EE"/>
            <w:noWrap/>
            <w:vAlign w:val="center"/>
            <w:hideMark/>
          </w:tcPr>
          <w:p w14:paraId="03C96F6F"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-35,799.50</w:t>
            </w:r>
          </w:p>
        </w:tc>
        <w:tc>
          <w:tcPr>
            <w:tcW w:w="1276" w:type="dxa"/>
            <w:shd w:val="clear" w:color="000000" w:fill="BDD7EE"/>
            <w:noWrap/>
            <w:vAlign w:val="center"/>
            <w:hideMark/>
          </w:tcPr>
          <w:p w14:paraId="61C49B8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-684.7</w:t>
            </w:r>
          </w:p>
        </w:tc>
      </w:tr>
      <w:tr w:rsidR="00C72EE3" w:rsidRPr="00191ACB" w14:paraId="47D353FC" w14:textId="77777777" w:rsidTr="005C7EBE">
        <w:trPr>
          <w:trHeight w:val="300"/>
        </w:trPr>
        <w:tc>
          <w:tcPr>
            <w:tcW w:w="960" w:type="dxa"/>
            <w:shd w:val="clear" w:color="000000" w:fill="BDD7EE"/>
            <w:noWrap/>
            <w:vAlign w:val="center"/>
            <w:hideMark/>
          </w:tcPr>
          <w:p w14:paraId="7D20382E"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1138" w:type="dxa"/>
            <w:shd w:val="clear" w:color="000000" w:fill="BDD7EE"/>
            <w:noWrap/>
            <w:vAlign w:val="center"/>
            <w:hideMark/>
          </w:tcPr>
          <w:p w14:paraId="58183BB7"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-10,537.70</w:t>
            </w:r>
          </w:p>
        </w:tc>
        <w:tc>
          <w:tcPr>
            <w:tcW w:w="1096" w:type="dxa"/>
            <w:shd w:val="clear" w:color="000000" w:fill="BDD7EE"/>
            <w:noWrap/>
            <w:vAlign w:val="center"/>
            <w:hideMark/>
          </w:tcPr>
          <w:p w14:paraId="34B7B0D3"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-8,394.10</w:t>
            </w:r>
          </w:p>
        </w:tc>
        <w:tc>
          <w:tcPr>
            <w:tcW w:w="1156" w:type="dxa"/>
            <w:shd w:val="clear" w:color="000000" w:fill="BDD7EE"/>
            <w:noWrap/>
            <w:vAlign w:val="center"/>
            <w:hideMark/>
          </w:tcPr>
          <w:p w14:paraId="0607643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-656.2</w:t>
            </w:r>
          </w:p>
        </w:tc>
        <w:tc>
          <w:tcPr>
            <w:tcW w:w="1108" w:type="dxa"/>
            <w:shd w:val="clear" w:color="000000" w:fill="BDD7EE"/>
            <w:noWrap/>
            <w:vAlign w:val="center"/>
            <w:hideMark/>
          </w:tcPr>
          <w:p w14:paraId="649CA2D1"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-60,717.50</w:t>
            </w:r>
          </w:p>
        </w:tc>
        <w:tc>
          <w:tcPr>
            <w:tcW w:w="1351" w:type="dxa"/>
            <w:shd w:val="clear" w:color="000000" w:fill="BDD7EE"/>
            <w:noWrap/>
            <w:vAlign w:val="center"/>
            <w:hideMark/>
          </w:tcPr>
          <w:p w14:paraId="681F0A0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-20,573.70</w:t>
            </w:r>
          </w:p>
        </w:tc>
        <w:tc>
          <w:tcPr>
            <w:tcW w:w="1276" w:type="dxa"/>
            <w:shd w:val="clear" w:color="000000" w:fill="BDD7EE"/>
            <w:noWrap/>
            <w:vAlign w:val="center"/>
            <w:hideMark/>
          </w:tcPr>
          <w:p w14:paraId="09D0DA8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-35,745.30</w:t>
            </w:r>
          </w:p>
        </w:tc>
        <w:tc>
          <w:tcPr>
            <w:tcW w:w="1276" w:type="dxa"/>
            <w:shd w:val="clear" w:color="000000" w:fill="BDD7EE"/>
            <w:noWrap/>
            <w:vAlign w:val="center"/>
            <w:hideMark/>
          </w:tcPr>
          <w:p w14:paraId="2C5B5B8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-698.3</w:t>
            </w:r>
          </w:p>
        </w:tc>
      </w:tr>
      <w:tr w:rsidR="00C72EE3" w:rsidRPr="00191ACB" w14:paraId="50F1D33D" w14:textId="77777777" w:rsidTr="005C7EBE">
        <w:trPr>
          <w:trHeight w:val="300"/>
        </w:trPr>
        <w:tc>
          <w:tcPr>
            <w:tcW w:w="960" w:type="dxa"/>
            <w:shd w:val="clear" w:color="000000" w:fill="BDD7EE"/>
            <w:noWrap/>
            <w:vAlign w:val="center"/>
            <w:hideMark/>
          </w:tcPr>
          <w:p w14:paraId="1149D3C0"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2011</w:t>
            </w:r>
          </w:p>
        </w:tc>
        <w:tc>
          <w:tcPr>
            <w:tcW w:w="1138" w:type="dxa"/>
            <w:shd w:val="clear" w:color="000000" w:fill="BDD7EE"/>
            <w:noWrap/>
            <w:vAlign w:val="center"/>
            <w:hideMark/>
          </w:tcPr>
          <w:p w14:paraId="584D2120"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-10,518.90</w:t>
            </w:r>
          </w:p>
        </w:tc>
        <w:tc>
          <w:tcPr>
            <w:tcW w:w="1096" w:type="dxa"/>
            <w:shd w:val="clear" w:color="000000" w:fill="BDD7EE"/>
            <w:noWrap/>
            <w:vAlign w:val="center"/>
            <w:hideMark/>
          </w:tcPr>
          <w:p w14:paraId="21FCA131"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-8,370.40</w:t>
            </w:r>
          </w:p>
        </w:tc>
        <w:tc>
          <w:tcPr>
            <w:tcW w:w="1156" w:type="dxa"/>
            <w:shd w:val="clear" w:color="000000" w:fill="BDD7EE"/>
            <w:noWrap/>
            <w:vAlign w:val="center"/>
            <w:hideMark/>
          </w:tcPr>
          <w:p w14:paraId="73C0A31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-713.8</w:t>
            </w:r>
          </w:p>
        </w:tc>
        <w:tc>
          <w:tcPr>
            <w:tcW w:w="1108" w:type="dxa"/>
            <w:shd w:val="clear" w:color="000000" w:fill="BDD7EE"/>
            <w:noWrap/>
            <w:vAlign w:val="center"/>
            <w:hideMark/>
          </w:tcPr>
          <w:p w14:paraId="403DEF2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-60,608.90</w:t>
            </w:r>
          </w:p>
        </w:tc>
        <w:tc>
          <w:tcPr>
            <w:tcW w:w="1351" w:type="dxa"/>
            <w:shd w:val="clear" w:color="000000" w:fill="BDD7EE"/>
            <w:noWrap/>
            <w:vAlign w:val="center"/>
            <w:hideMark/>
          </w:tcPr>
          <w:p w14:paraId="230D0C7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-20,536.90</w:t>
            </w:r>
          </w:p>
        </w:tc>
        <w:tc>
          <w:tcPr>
            <w:tcW w:w="1276" w:type="dxa"/>
            <w:shd w:val="clear" w:color="000000" w:fill="BDD7EE"/>
            <w:noWrap/>
            <w:vAlign w:val="center"/>
            <w:hideMark/>
          </w:tcPr>
          <w:p w14:paraId="46A48594"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-35,734.50</w:t>
            </w:r>
          </w:p>
        </w:tc>
        <w:tc>
          <w:tcPr>
            <w:tcW w:w="1276" w:type="dxa"/>
            <w:shd w:val="clear" w:color="000000" w:fill="BDD7EE"/>
            <w:noWrap/>
            <w:vAlign w:val="center"/>
            <w:hideMark/>
          </w:tcPr>
          <w:p w14:paraId="30A54FC4"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-730.3</w:t>
            </w:r>
          </w:p>
        </w:tc>
      </w:tr>
      <w:tr w:rsidR="00C72EE3" w:rsidRPr="00191ACB" w14:paraId="1AECBCB0" w14:textId="77777777" w:rsidTr="005C7EBE">
        <w:trPr>
          <w:trHeight w:val="300"/>
        </w:trPr>
        <w:tc>
          <w:tcPr>
            <w:tcW w:w="960" w:type="dxa"/>
            <w:shd w:val="clear" w:color="000000" w:fill="BDD7EE"/>
            <w:noWrap/>
            <w:vAlign w:val="center"/>
            <w:hideMark/>
          </w:tcPr>
          <w:p w14:paraId="6841BE7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2012</w:t>
            </w:r>
          </w:p>
        </w:tc>
        <w:tc>
          <w:tcPr>
            <w:tcW w:w="1138" w:type="dxa"/>
            <w:shd w:val="clear" w:color="000000" w:fill="BDD7EE"/>
            <w:noWrap/>
            <w:vAlign w:val="center"/>
            <w:hideMark/>
          </w:tcPr>
          <w:p w14:paraId="3D3516B4"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-10,500.00</w:t>
            </w:r>
          </w:p>
        </w:tc>
        <w:tc>
          <w:tcPr>
            <w:tcW w:w="1096" w:type="dxa"/>
            <w:shd w:val="clear" w:color="000000" w:fill="BDD7EE"/>
            <w:noWrap/>
            <w:vAlign w:val="center"/>
            <w:hideMark/>
          </w:tcPr>
          <w:p w14:paraId="38B4BCB3"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-8,355.40</w:t>
            </w:r>
          </w:p>
        </w:tc>
        <w:tc>
          <w:tcPr>
            <w:tcW w:w="1156" w:type="dxa"/>
            <w:shd w:val="clear" w:color="000000" w:fill="BDD7EE"/>
            <w:noWrap/>
            <w:vAlign w:val="center"/>
            <w:hideMark/>
          </w:tcPr>
          <w:p w14:paraId="08B7F98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-712.5</w:t>
            </w:r>
          </w:p>
        </w:tc>
        <w:tc>
          <w:tcPr>
            <w:tcW w:w="1108" w:type="dxa"/>
            <w:shd w:val="clear" w:color="000000" w:fill="BDD7EE"/>
            <w:noWrap/>
            <w:vAlign w:val="center"/>
            <w:hideMark/>
          </w:tcPr>
          <w:p w14:paraId="14ED0D2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-60,500.20</w:t>
            </w:r>
          </w:p>
        </w:tc>
        <w:tc>
          <w:tcPr>
            <w:tcW w:w="1351" w:type="dxa"/>
            <w:shd w:val="clear" w:color="000000" w:fill="BDD7EE"/>
            <w:noWrap/>
            <w:vAlign w:val="center"/>
            <w:hideMark/>
          </w:tcPr>
          <w:p w14:paraId="651E9231"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-20,500.10</w:t>
            </w:r>
          </w:p>
        </w:tc>
        <w:tc>
          <w:tcPr>
            <w:tcW w:w="1276" w:type="dxa"/>
            <w:shd w:val="clear" w:color="000000" w:fill="BDD7EE"/>
            <w:noWrap/>
            <w:vAlign w:val="center"/>
            <w:hideMark/>
          </w:tcPr>
          <w:p w14:paraId="60DB59C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-35,723.70</w:t>
            </w:r>
          </w:p>
        </w:tc>
        <w:tc>
          <w:tcPr>
            <w:tcW w:w="1276" w:type="dxa"/>
            <w:shd w:val="clear" w:color="000000" w:fill="BDD7EE"/>
            <w:noWrap/>
            <w:vAlign w:val="center"/>
            <w:hideMark/>
          </w:tcPr>
          <w:p w14:paraId="5A0F604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-729</w:t>
            </w:r>
          </w:p>
        </w:tc>
      </w:tr>
      <w:tr w:rsidR="00C72EE3" w:rsidRPr="00191ACB" w14:paraId="34D38F99" w14:textId="77777777" w:rsidTr="005C7EBE">
        <w:trPr>
          <w:trHeight w:val="300"/>
        </w:trPr>
        <w:tc>
          <w:tcPr>
            <w:tcW w:w="960" w:type="dxa"/>
            <w:shd w:val="clear" w:color="000000" w:fill="BDD7EE"/>
            <w:noWrap/>
            <w:vAlign w:val="center"/>
            <w:hideMark/>
          </w:tcPr>
          <w:p w14:paraId="070F775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2013</w:t>
            </w:r>
          </w:p>
        </w:tc>
        <w:tc>
          <w:tcPr>
            <w:tcW w:w="1138" w:type="dxa"/>
            <w:shd w:val="clear" w:color="000000" w:fill="BDD7EE"/>
            <w:noWrap/>
            <w:vAlign w:val="center"/>
            <w:hideMark/>
          </w:tcPr>
          <w:p w14:paraId="77612DEC"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-10,481.20</w:t>
            </w:r>
          </w:p>
        </w:tc>
        <w:tc>
          <w:tcPr>
            <w:tcW w:w="1096" w:type="dxa"/>
            <w:shd w:val="clear" w:color="000000" w:fill="BDD7EE"/>
            <w:noWrap/>
            <w:vAlign w:val="center"/>
            <w:hideMark/>
          </w:tcPr>
          <w:p w14:paraId="662BAC38"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-8,340.40</w:t>
            </w:r>
          </w:p>
        </w:tc>
        <w:tc>
          <w:tcPr>
            <w:tcW w:w="1156" w:type="dxa"/>
            <w:shd w:val="clear" w:color="000000" w:fill="BDD7EE"/>
            <w:noWrap/>
            <w:vAlign w:val="center"/>
            <w:hideMark/>
          </w:tcPr>
          <w:p w14:paraId="347AD95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-711.2</w:t>
            </w:r>
          </w:p>
        </w:tc>
        <w:tc>
          <w:tcPr>
            <w:tcW w:w="1108" w:type="dxa"/>
            <w:shd w:val="clear" w:color="000000" w:fill="BDD7EE"/>
            <w:noWrap/>
            <w:vAlign w:val="center"/>
            <w:hideMark/>
          </w:tcPr>
          <w:p w14:paraId="67F138F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-60,391.60</w:t>
            </w:r>
          </w:p>
        </w:tc>
        <w:tc>
          <w:tcPr>
            <w:tcW w:w="1351" w:type="dxa"/>
            <w:shd w:val="clear" w:color="000000" w:fill="BDD7EE"/>
            <w:noWrap/>
            <w:vAlign w:val="center"/>
            <w:hideMark/>
          </w:tcPr>
          <w:p w14:paraId="2C22814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-20,463.30</w:t>
            </w:r>
          </w:p>
        </w:tc>
        <w:tc>
          <w:tcPr>
            <w:tcW w:w="1276" w:type="dxa"/>
            <w:shd w:val="clear" w:color="000000" w:fill="BDD7EE"/>
            <w:noWrap/>
            <w:vAlign w:val="center"/>
            <w:hideMark/>
          </w:tcPr>
          <w:p w14:paraId="42C6EADE"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-35,712.90</w:t>
            </w:r>
          </w:p>
        </w:tc>
        <w:tc>
          <w:tcPr>
            <w:tcW w:w="1276" w:type="dxa"/>
            <w:shd w:val="clear" w:color="000000" w:fill="BDD7EE"/>
            <w:noWrap/>
            <w:vAlign w:val="center"/>
            <w:hideMark/>
          </w:tcPr>
          <w:p w14:paraId="642D319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-727.7</w:t>
            </w:r>
          </w:p>
        </w:tc>
      </w:tr>
      <w:tr w:rsidR="00C72EE3" w:rsidRPr="00191ACB" w14:paraId="6531393E" w14:textId="77777777" w:rsidTr="005C7EBE">
        <w:trPr>
          <w:trHeight w:val="300"/>
        </w:trPr>
        <w:tc>
          <w:tcPr>
            <w:tcW w:w="960" w:type="dxa"/>
            <w:shd w:val="clear" w:color="000000" w:fill="BDD7EE"/>
            <w:noWrap/>
            <w:vAlign w:val="center"/>
            <w:hideMark/>
          </w:tcPr>
          <w:p w14:paraId="3338A717"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2014</w:t>
            </w:r>
          </w:p>
        </w:tc>
        <w:tc>
          <w:tcPr>
            <w:tcW w:w="1138" w:type="dxa"/>
            <w:shd w:val="clear" w:color="000000" w:fill="BDD7EE"/>
            <w:noWrap/>
            <w:vAlign w:val="center"/>
            <w:hideMark/>
          </w:tcPr>
          <w:p w14:paraId="1F6EF446"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-10,462.30</w:t>
            </w:r>
          </w:p>
        </w:tc>
        <w:tc>
          <w:tcPr>
            <w:tcW w:w="1096" w:type="dxa"/>
            <w:shd w:val="clear" w:color="000000" w:fill="BDD7EE"/>
            <w:noWrap/>
            <w:vAlign w:val="center"/>
            <w:hideMark/>
          </w:tcPr>
          <w:p w14:paraId="7E9DEFE0"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-8,325.40</w:t>
            </w:r>
          </w:p>
        </w:tc>
        <w:tc>
          <w:tcPr>
            <w:tcW w:w="1156" w:type="dxa"/>
            <w:shd w:val="clear" w:color="000000" w:fill="BDD7EE"/>
            <w:noWrap/>
            <w:vAlign w:val="center"/>
            <w:hideMark/>
          </w:tcPr>
          <w:p w14:paraId="0C086B66"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-709.9</w:t>
            </w:r>
          </w:p>
        </w:tc>
        <w:tc>
          <w:tcPr>
            <w:tcW w:w="1108" w:type="dxa"/>
            <w:shd w:val="clear" w:color="000000" w:fill="BDD7EE"/>
            <w:noWrap/>
            <w:vAlign w:val="center"/>
            <w:hideMark/>
          </w:tcPr>
          <w:p w14:paraId="3A0CE7D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-60,283.00</w:t>
            </w:r>
          </w:p>
        </w:tc>
        <w:tc>
          <w:tcPr>
            <w:tcW w:w="1351" w:type="dxa"/>
            <w:shd w:val="clear" w:color="000000" w:fill="BDD7EE"/>
            <w:noWrap/>
            <w:vAlign w:val="center"/>
            <w:hideMark/>
          </w:tcPr>
          <w:p w14:paraId="1C262CDF"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-20,426.50</w:t>
            </w:r>
          </w:p>
        </w:tc>
        <w:tc>
          <w:tcPr>
            <w:tcW w:w="1276" w:type="dxa"/>
            <w:shd w:val="clear" w:color="000000" w:fill="BDD7EE"/>
            <w:noWrap/>
            <w:vAlign w:val="center"/>
            <w:hideMark/>
          </w:tcPr>
          <w:p w14:paraId="7F9428B8"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-35,702.00</w:t>
            </w:r>
          </w:p>
        </w:tc>
        <w:tc>
          <w:tcPr>
            <w:tcW w:w="1276" w:type="dxa"/>
            <w:shd w:val="clear" w:color="000000" w:fill="BDD7EE"/>
            <w:noWrap/>
            <w:vAlign w:val="center"/>
            <w:hideMark/>
          </w:tcPr>
          <w:p w14:paraId="71EB268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-726.4</w:t>
            </w:r>
          </w:p>
        </w:tc>
      </w:tr>
      <w:tr w:rsidR="00C72EE3" w:rsidRPr="00191ACB" w14:paraId="69EADE7E" w14:textId="77777777" w:rsidTr="005C7EBE">
        <w:trPr>
          <w:trHeight w:val="300"/>
        </w:trPr>
        <w:tc>
          <w:tcPr>
            <w:tcW w:w="960" w:type="dxa"/>
            <w:shd w:val="clear" w:color="000000" w:fill="BDD7EE"/>
            <w:noWrap/>
            <w:vAlign w:val="center"/>
            <w:hideMark/>
          </w:tcPr>
          <w:p w14:paraId="2C6DEEA5"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1138" w:type="dxa"/>
            <w:shd w:val="clear" w:color="000000" w:fill="BDD7EE"/>
            <w:noWrap/>
            <w:vAlign w:val="center"/>
            <w:hideMark/>
          </w:tcPr>
          <w:p w14:paraId="1068F1B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-10,443.50</w:t>
            </w:r>
          </w:p>
        </w:tc>
        <w:tc>
          <w:tcPr>
            <w:tcW w:w="1096" w:type="dxa"/>
            <w:shd w:val="clear" w:color="000000" w:fill="BDD7EE"/>
            <w:noWrap/>
            <w:vAlign w:val="center"/>
            <w:hideMark/>
          </w:tcPr>
          <w:p w14:paraId="250E58D8"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-8,310.40</w:t>
            </w:r>
          </w:p>
        </w:tc>
        <w:tc>
          <w:tcPr>
            <w:tcW w:w="1156" w:type="dxa"/>
            <w:shd w:val="clear" w:color="000000" w:fill="BDD7EE"/>
            <w:noWrap/>
            <w:vAlign w:val="center"/>
            <w:hideMark/>
          </w:tcPr>
          <w:p w14:paraId="32731C01"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-708.6</w:t>
            </w:r>
          </w:p>
        </w:tc>
        <w:tc>
          <w:tcPr>
            <w:tcW w:w="1108" w:type="dxa"/>
            <w:shd w:val="clear" w:color="000000" w:fill="BDD7EE"/>
            <w:noWrap/>
            <w:vAlign w:val="center"/>
            <w:hideMark/>
          </w:tcPr>
          <w:p w14:paraId="05061B6C"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-60,174.40</w:t>
            </w:r>
          </w:p>
        </w:tc>
        <w:tc>
          <w:tcPr>
            <w:tcW w:w="1351" w:type="dxa"/>
            <w:shd w:val="clear" w:color="000000" w:fill="BDD7EE"/>
            <w:noWrap/>
            <w:vAlign w:val="center"/>
            <w:hideMark/>
          </w:tcPr>
          <w:p w14:paraId="5656B588"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-20,389.70</w:t>
            </w:r>
          </w:p>
        </w:tc>
        <w:tc>
          <w:tcPr>
            <w:tcW w:w="1276" w:type="dxa"/>
            <w:shd w:val="clear" w:color="000000" w:fill="BDD7EE"/>
            <w:noWrap/>
            <w:vAlign w:val="center"/>
            <w:hideMark/>
          </w:tcPr>
          <w:p w14:paraId="577EFE31"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-35,691.20</w:t>
            </w:r>
          </w:p>
        </w:tc>
        <w:tc>
          <w:tcPr>
            <w:tcW w:w="1276" w:type="dxa"/>
            <w:shd w:val="clear" w:color="000000" w:fill="BDD7EE"/>
            <w:noWrap/>
            <w:vAlign w:val="center"/>
            <w:hideMark/>
          </w:tcPr>
          <w:p w14:paraId="3DEA8B3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-725</w:t>
            </w:r>
          </w:p>
        </w:tc>
      </w:tr>
      <w:tr w:rsidR="00C72EE3" w:rsidRPr="00191ACB" w14:paraId="65BA5BA4" w14:textId="77777777" w:rsidTr="005C7EBE">
        <w:trPr>
          <w:trHeight w:val="300"/>
        </w:trPr>
        <w:tc>
          <w:tcPr>
            <w:tcW w:w="960" w:type="dxa"/>
            <w:shd w:val="clear" w:color="000000" w:fill="BDD7EE"/>
            <w:noWrap/>
            <w:vAlign w:val="center"/>
            <w:hideMark/>
          </w:tcPr>
          <w:p w14:paraId="7266861A"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2016</w:t>
            </w:r>
          </w:p>
        </w:tc>
        <w:tc>
          <w:tcPr>
            <w:tcW w:w="1138" w:type="dxa"/>
            <w:shd w:val="clear" w:color="000000" w:fill="BDD7EE"/>
            <w:noWrap/>
            <w:vAlign w:val="center"/>
            <w:hideMark/>
          </w:tcPr>
          <w:p w14:paraId="623376B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-10,424.60</w:t>
            </w:r>
          </w:p>
        </w:tc>
        <w:tc>
          <w:tcPr>
            <w:tcW w:w="1096" w:type="dxa"/>
            <w:shd w:val="clear" w:color="000000" w:fill="BDD7EE"/>
            <w:noWrap/>
            <w:vAlign w:val="center"/>
            <w:hideMark/>
          </w:tcPr>
          <w:p w14:paraId="6B5E8AF8"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-8,293.60</w:t>
            </w:r>
          </w:p>
        </w:tc>
        <w:tc>
          <w:tcPr>
            <w:tcW w:w="1156" w:type="dxa"/>
            <w:shd w:val="clear" w:color="000000" w:fill="BDD7EE"/>
            <w:noWrap/>
            <w:vAlign w:val="center"/>
            <w:hideMark/>
          </w:tcPr>
          <w:p w14:paraId="25063E4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-719.1</w:t>
            </w:r>
          </w:p>
        </w:tc>
        <w:tc>
          <w:tcPr>
            <w:tcW w:w="1108" w:type="dxa"/>
            <w:shd w:val="clear" w:color="000000" w:fill="BDD7EE"/>
            <w:noWrap/>
            <w:vAlign w:val="center"/>
            <w:hideMark/>
          </w:tcPr>
          <w:p w14:paraId="7B904976"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-60,065.80</w:t>
            </w:r>
          </w:p>
        </w:tc>
        <w:tc>
          <w:tcPr>
            <w:tcW w:w="1351" w:type="dxa"/>
            <w:shd w:val="clear" w:color="000000" w:fill="BDD7EE"/>
            <w:noWrap/>
            <w:vAlign w:val="center"/>
            <w:hideMark/>
          </w:tcPr>
          <w:p w14:paraId="695F36FD"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-20,352.90</w:t>
            </w:r>
          </w:p>
        </w:tc>
        <w:tc>
          <w:tcPr>
            <w:tcW w:w="1276" w:type="dxa"/>
            <w:shd w:val="clear" w:color="000000" w:fill="BDD7EE"/>
            <w:noWrap/>
            <w:vAlign w:val="center"/>
            <w:hideMark/>
          </w:tcPr>
          <w:p w14:paraId="04CD835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-35,680.40</w:t>
            </w:r>
          </w:p>
        </w:tc>
        <w:tc>
          <w:tcPr>
            <w:tcW w:w="1276" w:type="dxa"/>
            <w:shd w:val="clear" w:color="000000" w:fill="BDD7EE"/>
            <w:noWrap/>
            <w:vAlign w:val="center"/>
            <w:hideMark/>
          </w:tcPr>
          <w:p w14:paraId="5B339A7C"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-730.4</w:t>
            </w:r>
          </w:p>
        </w:tc>
      </w:tr>
    </w:tbl>
    <w:p w14:paraId="395A7F31" w14:textId="77777777" w:rsidR="00C72EE3" w:rsidRPr="00191ACB" w:rsidRDefault="00C72EE3" w:rsidP="005E626A">
      <w:pPr>
        <w:pStyle w:val="NoSpacing"/>
        <w:spacing w:after="120"/>
        <w:rPr>
          <w:rFonts w:ascii="Times New Roman" w:hAnsi="Times New Roman" w:cs="Times New Roman"/>
          <w:color w:val="000000" w:themeColor="text1"/>
          <w:sz w:val="24"/>
          <w:szCs w:val="24"/>
        </w:rPr>
      </w:pPr>
    </w:p>
    <w:p w14:paraId="5FCE41C2" w14:textId="34D7EC7D" w:rsidR="00C72EE3" w:rsidRPr="00191ACB" w:rsidRDefault="00C72EE3"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2016</w:t>
      </w:r>
      <w:r w:rsidR="002B737E" w:rsidRPr="00191ACB">
        <w:rPr>
          <w:rFonts w:ascii="Times New Roman" w:hAnsi="Times New Roman" w:cs="Times New Roman"/>
          <w:color w:val="000000" w:themeColor="text1"/>
          <w:sz w:val="24"/>
          <w:szCs w:val="24"/>
        </w:rPr>
        <w:t>,</w:t>
      </w:r>
      <w:r w:rsidR="00D903AB" w:rsidRPr="00191ACB">
        <w:rPr>
          <w:rFonts w:ascii="Times New Roman" w:hAnsi="Times New Roman" w:cs="Times New Roman"/>
          <w:color w:val="000000" w:themeColor="text1"/>
          <w:sz w:val="24"/>
          <w:szCs w:val="24"/>
        </w:rPr>
        <w:t xml:space="preserve"> emissions from w</w:t>
      </w:r>
      <w:r w:rsidRPr="00191ACB">
        <w:rPr>
          <w:rFonts w:ascii="Times New Roman" w:hAnsi="Times New Roman" w:cs="Times New Roman"/>
          <w:color w:val="000000" w:themeColor="text1"/>
          <w:sz w:val="24"/>
          <w:szCs w:val="24"/>
        </w:rPr>
        <w:t>ood removal</w:t>
      </w:r>
      <w:r w:rsidR="00D903AB" w:rsidRPr="00191ACB">
        <w:rPr>
          <w:rFonts w:ascii="Times New Roman" w:hAnsi="Times New Roman" w:cs="Times New Roman"/>
          <w:color w:val="000000" w:themeColor="text1"/>
          <w:sz w:val="24"/>
          <w:szCs w:val="24"/>
        </w:rPr>
        <w:t>s</w:t>
      </w:r>
      <w:r w:rsidRPr="00191ACB">
        <w:rPr>
          <w:rFonts w:ascii="Times New Roman" w:hAnsi="Times New Roman" w:cs="Times New Roman"/>
          <w:color w:val="000000" w:themeColor="text1"/>
          <w:sz w:val="24"/>
          <w:szCs w:val="24"/>
        </w:rPr>
        <w:t xml:space="preserve"> for timber by forest classification were the highest in Forest Woodland with 65</w:t>
      </w:r>
      <w:r w:rsidR="003F1379" w:rsidRPr="00191ACB">
        <w:rPr>
          <w:rFonts w:ascii="Times New Roman" w:hAnsi="Times New Roman" w:cs="Times New Roman"/>
          <w:color w:val="000000" w:themeColor="text1"/>
          <w:sz w:val="24"/>
          <w:szCs w:val="24"/>
        </w:rPr>
        <w:t xml:space="preserve"> percent </w:t>
      </w:r>
      <w:r w:rsidRPr="00191ACB">
        <w:rPr>
          <w:rFonts w:ascii="Times New Roman" w:hAnsi="Times New Roman" w:cs="Times New Roman"/>
          <w:color w:val="000000" w:themeColor="text1"/>
          <w:sz w:val="24"/>
          <w:szCs w:val="24"/>
        </w:rPr>
        <w:t>followed by Other Wooded Land at 18</w:t>
      </w:r>
      <w:r w:rsidR="003F137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Pine plantation was 13</w:t>
      </w:r>
      <w:r w:rsidR="003F137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Moist Evergreen was 1</w:t>
      </w:r>
      <w:r w:rsidR="003F137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and Eucalyptus at 1</w:t>
      </w:r>
      <w:r w:rsidR="003F1379"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(Figure </w:t>
      </w:r>
      <w:r w:rsidR="001512D9" w:rsidRPr="00191ACB">
        <w:rPr>
          <w:rFonts w:ascii="Times New Roman" w:hAnsi="Times New Roman" w:cs="Times New Roman"/>
          <w:color w:val="000000" w:themeColor="text1"/>
          <w:sz w:val="24"/>
          <w:szCs w:val="24"/>
        </w:rPr>
        <w:t>3.24</w:t>
      </w:r>
      <w:r w:rsidRPr="00191ACB">
        <w:rPr>
          <w:rFonts w:ascii="Times New Roman" w:hAnsi="Times New Roman" w:cs="Times New Roman"/>
          <w:color w:val="000000" w:themeColor="text1"/>
          <w:sz w:val="24"/>
          <w:szCs w:val="24"/>
        </w:rPr>
        <w:t>).</w:t>
      </w:r>
    </w:p>
    <w:p w14:paraId="305DD932" w14:textId="77777777" w:rsidR="00C72EE3" w:rsidRPr="00191ACB" w:rsidRDefault="00C72EE3" w:rsidP="00C72EE3">
      <w:pPr>
        <w:rPr>
          <w:rFonts w:ascii="Times New Roman" w:hAnsi="Times New Roman" w:cs="Times New Roman"/>
          <w:i/>
          <w:color w:val="000000" w:themeColor="text1"/>
          <w:sz w:val="24"/>
          <w:szCs w:val="24"/>
        </w:rPr>
      </w:pP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noProof/>
          <w:color w:val="000000" w:themeColor="text1"/>
          <w:sz w:val="24"/>
          <w:szCs w:val="24"/>
          <w:lang w:val="en-GB" w:eastAsia="en-GB"/>
        </w:rPr>
        <w:drawing>
          <wp:inline distT="0" distB="0" distL="0" distR="0" wp14:anchorId="6A6BD3B3" wp14:editId="45A577D5">
            <wp:extent cx="3771900" cy="2613660"/>
            <wp:effectExtent l="0" t="0" r="0" b="1524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B620FB5" w14:textId="74DBC932" w:rsidR="00C72EE3" w:rsidRPr="00191ACB" w:rsidRDefault="00C72EE3" w:rsidP="000E11A3">
      <w:pPr>
        <w:pStyle w:val="Caption"/>
        <w:rPr>
          <w:color w:val="000000" w:themeColor="text1"/>
          <w:sz w:val="24"/>
          <w:szCs w:val="24"/>
        </w:rPr>
      </w:pPr>
      <w:bookmarkStart w:id="209" w:name="_Toc15311628"/>
      <w:r w:rsidRPr="00191ACB">
        <w:rPr>
          <w:i w:val="0"/>
          <w:color w:val="000000" w:themeColor="text1"/>
          <w:sz w:val="24"/>
          <w:szCs w:val="24"/>
        </w:rPr>
        <w:t xml:space="preserve"> </w:t>
      </w:r>
      <w:bookmarkStart w:id="210" w:name="_Toc56583869"/>
      <w:bookmarkEnd w:id="209"/>
      <w:r w:rsidR="000E11A3"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24</w:t>
      </w:r>
      <w:r w:rsidR="009D481C">
        <w:rPr>
          <w:sz w:val="24"/>
          <w:szCs w:val="24"/>
        </w:rPr>
        <w:fldChar w:fldCharType="end"/>
      </w:r>
      <w:r w:rsidR="000E11A3" w:rsidRPr="00191ACB">
        <w:rPr>
          <w:sz w:val="24"/>
          <w:szCs w:val="24"/>
        </w:rPr>
        <w:t>Percentage contributions of emissions of Wood removals by forest classification:</w:t>
      </w:r>
      <w:bookmarkEnd w:id="210"/>
    </w:p>
    <w:p w14:paraId="7C56E468" w14:textId="3947BF3A" w:rsidR="00C72EE3" w:rsidRPr="00191ACB" w:rsidRDefault="00C72EE3"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In the period under review it </w:t>
      </w:r>
      <w:r w:rsidR="00D903AB" w:rsidRPr="00191ACB">
        <w:rPr>
          <w:rFonts w:ascii="Times New Roman" w:hAnsi="Times New Roman" w:cs="Times New Roman"/>
          <w:color w:val="000000" w:themeColor="text1"/>
          <w:sz w:val="24"/>
          <w:szCs w:val="24"/>
        </w:rPr>
        <w:t>was</w:t>
      </w:r>
      <w:r w:rsidRPr="00191ACB">
        <w:rPr>
          <w:rFonts w:ascii="Times New Roman" w:hAnsi="Times New Roman" w:cs="Times New Roman"/>
          <w:color w:val="000000" w:themeColor="text1"/>
          <w:sz w:val="24"/>
          <w:szCs w:val="24"/>
        </w:rPr>
        <w:t xml:space="preserve"> noted that there </w:t>
      </w:r>
      <w:r w:rsidR="00D903AB" w:rsidRPr="00191ACB">
        <w:rPr>
          <w:rFonts w:ascii="Times New Roman" w:hAnsi="Times New Roman" w:cs="Times New Roman"/>
          <w:color w:val="000000" w:themeColor="text1"/>
          <w:sz w:val="24"/>
          <w:szCs w:val="24"/>
        </w:rPr>
        <w:t>w</w:t>
      </w:r>
      <w:r w:rsidRPr="00191ACB">
        <w:rPr>
          <w:rFonts w:ascii="Times New Roman" w:hAnsi="Times New Roman" w:cs="Times New Roman"/>
          <w:color w:val="000000" w:themeColor="text1"/>
          <w:sz w:val="24"/>
          <w:szCs w:val="24"/>
        </w:rPr>
        <w:t>as an increase in harvesting of commercial species such as</w:t>
      </w:r>
      <w:r w:rsidRPr="00191ACB">
        <w:rPr>
          <w:rFonts w:ascii="Times New Roman" w:hAnsi="Times New Roman" w:cs="Times New Roman"/>
          <w:i/>
          <w:color w:val="000000" w:themeColor="text1"/>
          <w:sz w:val="24"/>
          <w:szCs w:val="24"/>
        </w:rPr>
        <w:t xml:space="preserve"> Pterocarpus chrysothrix</w:t>
      </w:r>
      <w:r w:rsidRPr="00191ACB">
        <w:rPr>
          <w:rFonts w:ascii="Times New Roman" w:hAnsi="Times New Roman" w:cs="Times New Roman"/>
          <w:color w:val="000000" w:themeColor="text1"/>
          <w:sz w:val="24"/>
          <w:szCs w:val="24"/>
        </w:rPr>
        <w:t xml:space="preserve"> (Mukula), </w:t>
      </w:r>
      <w:r w:rsidRPr="00191ACB">
        <w:rPr>
          <w:rFonts w:ascii="Times New Roman" w:hAnsi="Times New Roman" w:cs="Times New Roman"/>
          <w:i/>
          <w:color w:val="000000" w:themeColor="text1"/>
          <w:sz w:val="24"/>
          <w:szCs w:val="24"/>
        </w:rPr>
        <w:t>Guibourtia coleosperma</w:t>
      </w:r>
      <w:r w:rsidRPr="00191ACB">
        <w:rPr>
          <w:rFonts w:ascii="Times New Roman" w:hAnsi="Times New Roman" w:cs="Times New Roman"/>
          <w:color w:val="000000" w:themeColor="text1"/>
          <w:sz w:val="24"/>
          <w:szCs w:val="24"/>
        </w:rPr>
        <w:t xml:space="preserve"> (Rosewood) and </w:t>
      </w:r>
      <w:r w:rsidRPr="00191ACB">
        <w:rPr>
          <w:rFonts w:ascii="Times New Roman" w:hAnsi="Times New Roman" w:cs="Times New Roman"/>
          <w:i/>
          <w:color w:val="000000" w:themeColor="text1"/>
          <w:sz w:val="24"/>
          <w:szCs w:val="24"/>
        </w:rPr>
        <w:t xml:space="preserve">Pterocarpus angolensis </w:t>
      </w:r>
      <w:r w:rsidRPr="00191ACB">
        <w:rPr>
          <w:rFonts w:ascii="Times New Roman" w:hAnsi="Times New Roman" w:cs="Times New Roman"/>
          <w:color w:val="000000" w:themeColor="text1"/>
          <w:sz w:val="24"/>
          <w:szCs w:val="24"/>
        </w:rPr>
        <w:t>(Mukwa) due to the demand for domestic and exports market for timber. Provided in Table</w:t>
      </w:r>
      <w:r w:rsidR="001512D9" w:rsidRPr="00191ACB">
        <w:rPr>
          <w:rFonts w:ascii="Times New Roman" w:hAnsi="Times New Roman" w:cs="Times New Roman"/>
          <w:color w:val="000000" w:themeColor="text1"/>
          <w:sz w:val="24"/>
          <w:szCs w:val="24"/>
        </w:rPr>
        <w:t xml:space="preserve"> 3.13</w:t>
      </w:r>
      <w:r w:rsidRPr="00191ACB">
        <w:rPr>
          <w:rFonts w:ascii="Times New Roman" w:hAnsi="Times New Roman" w:cs="Times New Roman"/>
          <w:color w:val="000000" w:themeColor="text1"/>
          <w:sz w:val="24"/>
          <w:szCs w:val="24"/>
        </w:rPr>
        <w:t xml:space="preserve"> are emissions from wood removal by forest classifications.</w:t>
      </w:r>
    </w:p>
    <w:p w14:paraId="1D66E7EE" w14:textId="77777777" w:rsidR="00FC4FC5" w:rsidRPr="00191ACB" w:rsidRDefault="00FC4FC5" w:rsidP="005E626A">
      <w:pPr>
        <w:spacing w:after="120" w:line="240" w:lineRule="auto"/>
        <w:jc w:val="both"/>
        <w:rPr>
          <w:rFonts w:ascii="Times New Roman" w:hAnsi="Times New Roman" w:cs="Times New Roman"/>
          <w:color w:val="000000" w:themeColor="text1"/>
          <w:sz w:val="24"/>
          <w:szCs w:val="24"/>
        </w:rPr>
      </w:pPr>
    </w:p>
    <w:p w14:paraId="148D8251" w14:textId="02501992" w:rsidR="00C72EE3" w:rsidRPr="00191ACB" w:rsidRDefault="000E11A3" w:rsidP="000E11A3">
      <w:pPr>
        <w:pStyle w:val="Caption"/>
        <w:rPr>
          <w:color w:val="000000" w:themeColor="text1"/>
          <w:sz w:val="24"/>
          <w:szCs w:val="24"/>
        </w:rPr>
      </w:pPr>
      <w:bookmarkStart w:id="211" w:name="_Toc56583774"/>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13</w:t>
      </w:r>
      <w:r w:rsidR="00875942">
        <w:rPr>
          <w:sz w:val="24"/>
          <w:szCs w:val="24"/>
        </w:rPr>
        <w:fldChar w:fldCharType="end"/>
      </w:r>
      <w:r w:rsidRPr="00191ACB">
        <w:rPr>
          <w:sz w:val="24"/>
          <w:szCs w:val="24"/>
        </w:rPr>
        <w:t>: Emissions from Wood removal by forest classifications (Gg CO2 eq.)</w:t>
      </w:r>
      <w:bookmarkEnd w:id="211"/>
    </w:p>
    <w:tbl>
      <w:tblPr>
        <w:tblW w:w="76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243"/>
        <w:gridCol w:w="1203"/>
        <w:gridCol w:w="1283"/>
        <w:gridCol w:w="1216"/>
        <w:gridCol w:w="1203"/>
        <w:gridCol w:w="1030"/>
        <w:gridCol w:w="1190"/>
      </w:tblGrid>
      <w:tr w:rsidR="00C72EE3" w:rsidRPr="00191ACB" w14:paraId="00A30CAA" w14:textId="77777777" w:rsidTr="005C7EBE">
        <w:trPr>
          <w:trHeight w:val="300"/>
        </w:trPr>
        <w:tc>
          <w:tcPr>
            <w:tcW w:w="960" w:type="dxa"/>
            <w:shd w:val="clear" w:color="auto" w:fill="auto"/>
            <w:noWrap/>
            <w:vAlign w:val="center"/>
            <w:hideMark/>
          </w:tcPr>
          <w:p w14:paraId="13CD0A63"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960" w:type="dxa"/>
            <w:shd w:val="clear" w:color="auto" w:fill="auto"/>
            <w:noWrap/>
            <w:vAlign w:val="center"/>
            <w:hideMark/>
          </w:tcPr>
          <w:p w14:paraId="3C142AD7"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Dry Deciduous</w:t>
            </w:r>
          </w:p>
        </w:tc>
        <w:tc>
          <w:tcPr>
            <w:tcW w:w="960" w:type="dxa"/>
            <w:shd w:val="clear" w:color="auto" w:fill="auto"/>
            <w:noWrap/>
            <w:vAlign w:val="center"/>
            <w:hideMark/>
          </w:tcPr>
          <w:p w14:paraId="6CBC60C1"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Dry Evergreen</w:t>
            </w:r>
          </w:p>
        </w:tc>
        <w:tc>
          <w:tcPr>
            <w:tcW w:w="960" w:type="dxa"/>
            <w:shd w:val="clear" w:color="auto" w:fill="auto"/>
            <w:noWrap/>
            <w:vAlign w:val="center"/>
            <w:hideMark/>
          </w:tcPr>
          <w:p w14:paraId="11D8C679"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Eucalyptus Plantation</w:t>
            </w:r>
          </w:p>
        </w:tc>
        <w:tc>
          <w:tcPr>
            <w:tcW w:w="960" w:type="dxa"/>
            <w:shd w:val="clear" w:color="auto" w:fill="auto"/>
            <w:noWrap/>
            <w:vAlign w:val="center"/>
            <w:hideMark/>
          </w:tcPr>
          <w:p w14:paraId="4442DB43"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Forest Woodland</w:t>
            </w:r>
          </w:p>
        </w:tc>
        <w:tc>
          <w:tcPr>
            <w:tcW w:w="960" w:type="dxa"/>
            <w:shd w:val="clear" w:color="auto" w:fill="auto"/>
            <w:noWrap/>
            <w:vAlign w:val="center"/>
            <w:hideMark/>
          </w:tcPr>
          <w:p w14:paraId="53E261DF"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Moist Evergreen</w:t>
            </w:r>
          </w:p>
        </w:tc>
        <w:tc>
          <w:tcPr>
            <w:tcW w:w="960" w:type="dxa"/>
            <w:shd w:val="clear" w:color="auto" w:fill="auto"/>
            <w:noWrap/>
            <w:vAlign w:val="center"/>
            <w:hideMark/>
          </w:tcPr>
          <w:p w14:paraId="2ED17B42"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Other Wooded Land</w:t>
            </w:r>
          </w:p>
        </w:tc>
        <w:tc>
          <w:tcPr>
            <w:tcW w:w="960" w:type="dxa"/>
            <w:shd w:val="clear" w:color="auto" w:fill="auto"/>
            <w:noWrap/>
            <w:vAlign w:val="center"/>
            <w:hideMark/>
          </w:tcPr>
          <w:p w14:paraId="35726540" w14:textId="77777777" w:rsidR="00C72EE3" w:rsidRPr="00191ACB" w:rsidRDefault="00C72EE3"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Pine Plantation</w:t>
            </w:r>
          </w:p>
        </w:tc>
      </w:tr>
      <w:tr w:rsidR="00C72EE3" w:rsidRPr="00191ACB" w14:paraId="648E5750" w14:textId="77777777" w:rsidTr="005C7EBE">
        <w:trPr>
          <w:trHeight w:val="300"/>
        </w:trPr>
        <w:tc>
          <w:tcPr>
            <w:tcW w:w="960" w:type="dxa"/>
            <w:shd w:val="clear" w:color="auto" w:fill="auto"/>
            <w:noWrap/>
            <w:vAlign w:val="center"/>
            <w:hideMark/>
          </w:tcPr>
          <w:p w14:paraId="0A298305"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1994</w:t>
            </w:r>
          </w:p>
        </w:tc>
        <w:tc>
          <w:tcPr>
            <w:tcW w:w="960" w:type="dxa"/>
            <w:shd w:val="clear" w:color="auto" w:fill="auto"/>
            <w:noWrap/>
            <w:vAlign w:val="center"/>
            <w:hideMark/>
          </w:tcPr>
          <w:p w14:paraId="7593FF33"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154.1</w:t>
            </w:r>
          </w:p>
        </w:tc>
        <w:tc>
          <w:tcPr>
            <w:tcW w:w="960" w:type="dxa"/>
            <w:shd w:val="clear" w:color="auto" w:fill="auto"/>
            <w:noWrap/>
            <w:vAlign w:val="center"/>
            <w:hideMark/>
          </w:tcPr>
          <w:p w14:paraId="49B24F8F"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917.1</w:t>
            </w:r>
          </w:p>
        </w:tc>
        <w:tc>
          <w:tcPr>
            <w:tcW w:w="960" w:type="dxa"/>
            <w:shd w:val="clear" w:color="auto" w:fill="auto"/>
            <w:noWrap/>
            <w:vAlign w:val="center"/>
            <w:hideMark/>
          </w:tcPr>
          <w:p w14:paraId="58A30521"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207.7</w:t>
            </w:r>
          </w:p>
        </w:tc>
        <w:tc>
          <w:tcPr>
            <w:tcW w:w="960" w:type="dxa"/>
            <w:shd w:val="clear" w:color="auto" w:fill="auto"/>
            <w:noWrap/>
            <w:vAlign w:val="center"/>
            <w:hideMark/>
          </w:tcPr>
          <w:p w14:paraId="01089736"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24088.7</w:t>
            </w:r>
          </w:p>
        </w:tc>
        <w:tc>
          <w:tcPr>
            <w:tcW w:w="960" w:type="dxa"/>
            <w:shd w:val="clear" w:color="auto" w:fill="auto"/>
            <w:noWrap/>
            <w:vAlign w:val="center"/>
            <w:hideMark/>
          </w:tcPr>
          <w:p w14:paraId="419DAC63"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192.2</w:t>
            </w:r>
          </w:p>
        </w:tc>
        <w:tc>
          <w:tcPr>
            <w:tcW w:w="960" w:type="dxa"/>
            <w:shd w:val="clear" w:color="auto" w:fill="auto"/>
            <w:noWrap/>
            <w:vAlign w:val="center"/>
            <w:hideMark/>
          </w:tcPr>
          <w:p w14:paraId="58EB2D87"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6514.3</w:t>
            </w:r>
          </w:p>
        </w:tc>
        <w:tc>
          <w:tcPr>
            <w:tcW w:w="960" w:type="dxa"/>
            <w:shd w:val="clear" w:color="auto" w:fill="auto"/>
            <w:noWrap/>
            <w:vAlign w:val="center"/>
            <w:hideMark/>
          </w:tcPr>
          <w:p w14:paraId="513E77FF"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4442.9</w:t>
            </w:r>
          </w:p>
        </w:tc>
      </w:tr>
      <w:tr w:rsidR="00C72EE3" w:rsidRPr="00191ACB" w14:paraId="7070B81B" w14:textId="77777777" w:rsidTr="005C7EBE">
        <w:trPr>
          <w:trHeight w:val="300"/>
        </w:trPr>
        <w:tc>
          <w:tcPr>
            <w:tcW w:w="960" w:type="dxa"/>
            <w:shd w:val="clear" w:color="auto" w:fill="auto"/>
            <w:noWrap/>
            <w:vAlign w:val="center"/>
            <w:hideMark/>
          </w:tcPr>
          <w:p w14:paraId="43B8848F"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2000</w:t>
            </w:r>
          </w:p>
        </w:tc>
        <w:tc>
          <w:tcPr>
            <w:tcW w:w="960" w:type="dxa"/>
            <w:shd w:val="clear" w:color="auto" w:fill="auto"/>
            <w:noWrap/>
            <w:vAlign w:val="center"/>
            <w:hideMark/>
          </w:tcPr>
          <w:p w14:paraId="18C23C64"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151.6</w:t>
            </w:r>
          </w:p>
        </w:tc>
        <w:tc>
          <w:tcPr>
            <w:tcW w:w="960" w:type="dxa"/>
            <w:shd w:val="clear" w:color="auto" w:fill="auto"/>
            <w:noWrap/>
            <w:vAlign w:val="center"/>
            <w:hideMark/>
          </w:tcPr>
          <w:p w14:paraId="6E938504"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901.8</w:t>
            </w:r>
          </w:p>
        </w:tc>
        <w:tc>
          <w:tcPr>
            <w:tcW w:w="960" w:type="dxa"/>
            <w:shd w:val="clear" w:color="auto" w:fill="auto"/>
            <w:noWrap/>
            <w:vAlign w:val="center"/>
            <w:hideMark/>
          </w:tcPr>
          <w:p w14:paraId="2C62EF9A"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222.5</w:t>
            </w:r>
          </w:p>
        </w:tc>
        <w:tc>
          <w:tcPr>
            <w:tcW w:w="960" w:type="dxa"/>
            <w:shd w:val="clear" w:color="auto" w:fill="auto"/>
            <w:noWrap/>
            <w:vAlign w:val="center"/>
            <w:hideMark/>
          </w:tcPr>
          <w:p w14:paraId="6A8EB83E"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23693.1</w:t>
            </w:r>
          </w:p>
        </w:tc>
        <w:tc>
          <w:tcPr>
            <w:tcW w:w="960" w:type="dxa"/>
            <w:shd w:val="clear" w:color="auto" w:fill="auto"/>
            <w:noWrap/>
            <w:vAlign w:val="center"/>
            <w:hideMark/>
          </w:tcPr>
          <w:p w14:paraId="003EFF70"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189</w:t>
            </w:r>
          </w:p>
        </w:tc>
        <w:tc>
          <w:tcPr>
            <w:tcW w:w="960" w:type="dxa"/>
            <w:shd w:val="clear" w:color="auto" w:fill="auto"/>
            <w:noWrap/>
            <w:vAlign w:val="center"/>
            <w:hideMark/>
          </w:tcPr>
          <w:p w14:paraId="0BDA2828"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6477.9</w:t>
            </w:r>
          </w:p>
        </w:tc>
        <w:tc>
          <w:tcPr>
            <w:tcW w:w="960" w:type="dxa"/>
            <w:shd w:val="clear" w:color="auto" w:fill="auto"/>
            <w:noWrap/>
            <w:vAlign w:val="center"/>
            <w:hideMark/>
          </w:tcPr>
          <w:p w14:paraId="4B43506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4260.3</w:t>
            </w:r>
          </w:p>
        </w:tc>
      </w:tr>
      <w:tr w:rsidR="00C72EE3" w:rsidRPr="00191ACB" w14:paraId="3AA9FC0A" w14:textId="77777777" w:rsidTr="005C7EBE">
        <w:trPr>
          <w:trHeight w:val="300"/>
        </w:trPr>
        <w:tc>
          <w:tcPr>
            <w:tcW w:w="960" w:type="dxa"/>
            <w:shd w:val="clear" w:color="auto" w:fill="auto"/>
            <w:noWrap/>
            <w:vAlign w:val="center"/>
            <w:hideMark/>
          </w:tcPr>
          <w:p w14:paraId="2F53CAE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2005</w:t>
            </w:r>
          </w:p>
        </w:tc>
        <w:tc>
          <w:tcPr>
            <w:tcW w:w="960" w:type="dxa"/>
            <w:shd w:val="clear" w:color="auto" w:fill="auto"/>
            <w:noWrap/>
            <w:vAlign w:val="center"/>
            <w:hideMark/>
          </w:tcPr>
          <w:p w14:paraId="3C9C2416"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148.1</w:t>
            </w:r>
          </w:p>
        </w:tc>
        <w:tc>
          <w:tcPr>
            <w:tcW w:w="960" w:type="dxa"/>
            <w:shd w:val="clear" w:color="auto" w:fill="auto"/>
            <w:noWrap/>
            <w:vAlign w:val="center"/>
            <w:hideMark/>
          </w:tcPr>
          <w:p w14:paraId="4D2138D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880.8</w:t>
            </w:r>
          </w:p>
        </w:tc>
        <w:tc>
          <w:tcPr>
            <w:tcW w:w="960" w:type="dxa"/>
            <w:shd w:val="clear" w:color="auto" w:fill="auto"/>
            <w:noWrap/>
            <w:vAlign w:val="center"/>
            <w:hideMark/>
          </w:tcPr>
          <w:p w14:paraId="0E8F13BC"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226.3</w:t>
            </w:r>
          </w:p>
        </w:tc>
        <w:tc>
          <w:tcPr>
            <w:tcW w:w="960" w:type="dxa"/>
            <w:shd w:val="clear" w:color="auto" w:fill="auto"/>
            <w:noWrap/>
            <w:vAlign w:val="center"/>
            <w:hideMark/>
          </w:tcPr>
          <w:p w14:paraId="21F4D58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23150</w:t>
            </w:r>
          </w:p>
        </w:tc>
        <w:tc>
          <w:tcPr>
            <w:tcW w:w="960" w:type="dxa"/>
            <w:shd w:val="clear" w:color="auto" w:fill="auto"/>
            <w:noWrap/>
            <w:vAlign w:val="center"/>
            <w:hideMark/>
          </w:tcPr>
          <w:p w14:paraId="48B0B220"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184.7</w:t>
            </w:r>
          </w:p>
        </w:tc>
        <w:tc>
          <w:tcPr>
            <w:tcW w:w="960" w:type="dxa"/>
            <w:shd w:val="clear" w:color="auto" w:fill="auto"/>
            <w:noWrap/>
            <w:vAlign w:val="center"/>
            <w:hideMark/>
          </w:tcPr>
          <w:p w14:paraId="3DAE48CC"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6410.3</w:t>
            </w:r>
          </w:p>
        </w:tc>
        <w:tc>
          <w:tcPr>
            <w:tcW w:w="960" w:type="dxa"/>
            <w:shd w:val="clear" w:color="auto" w:fill="auto"/>
            <w:noWrap/>
            <w:vAlign w:val="center"/>
            <w:hideMark/>
          </w:tcPr>
          <w:p w14:paraId="622B856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4213.8</w:t>
            </w:r>
          </w:p>
        </w:tc>
      </w:tr>
      <w:tr w:rsidR="00C72EE3" w:rsidRPr="00191ACB" w14:paraId="56512F50" w14:textId="77777777" w:rsidTr="005C7EBE">
        <w:trPr>
          <w:trHeight w:val="300"/>
        </w:trPr>
        <w:tc>
          <w:tcPr>
            <w:tcW w:w="960" w:type="dxa"/>
            <w:shd w:val="clear" w:color="auto" w:fill="auto"/>
            <w:noWrap/>
            <w:vAlign w:val="center"/>
            <w:hideMark/>
          </w:tcPr>
          <w:p w14:paraId="2636DEE1"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2010</w:t>
            </w:r>
          </w:p>
        </w:tc>
        <w:tc>
          <w:tcPr>
            <w:tcW w:w="960" w:type="dxa"/>
            <w:shd w:val="clear" w:color="auto" w:fill="auto"/>
            <w:noWrap/>
            <w:vAlign w:val="center"/>
            <w:hideMark/>
          </w:tcPr>
          <w:p w14:paraId="22113003"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146.8</w:t>
            </w:r>
          </w:p>
        </w:tc>
        <w:tc>
          <w:tcPr>
            <w:tcW w:w="960" w:type="dxa"/>
            <w:shd w:val="clear" w:color="auto" w:fill="auto"/>
            <w:noWrap/>
            <w:vAlign w:val="center"/>
            <w:hideMark/>
          </w:tcPr>
          <w:p w14:paraId="086BA781"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872.7</w:t>
            </w:r>
          </w:p>
        </w:tc>
        <w:tc>
          <w:tcPr>
            <w:tcW w:w="960" w:type="dxa"/>
            <w:shd w:val="clear" w:color="auto" w:fill="auto"/>
            <w:noWrap/>
            <w:vAlign w:val="center"/>
            <w:hideMark/>
          </w:tcPr>
          <w:p w14:paraId="2505AD1F"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227.7</w:t>
            </w:r>
          </w:p>
        </w:tc>
        <w:tc>
          <w:tcPr>
            <w:tcW w:w="960" w:type="dxa"/>
            <w:shd w:val="clear" w:color="auto" w:fill="auto"/>
            <w:noWrap/>
            <w:vAlign w:val="center"/>
            <w:hideMark/>
          </w:tcPr>
          <w:p w14:paraId="65CF4D0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22944.8</w:t>
            </w:r>
          </w:p>
        </w:tc>
        <w:tc>
          <w:tcPr>
            <w:tcW w:w="960" w:type="dxa"/>
            <w:shd w:val="clear" w:color="auto" w:fill="auto"/>
            <w:noWrap/>
            <w:vAlign w:val="center"/>
            <w:hideMark/>
          </w:tcPr>
          <w:p w14:paraId="5CCA424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183</w:t>
            </w:r>
          </w:p>
        </w:tc>
        <w:tc>
          <w:tcPr>
            <w:tcW w:w="960" w:type="dxa"/>
            <w:shd w:val="clear" w:color="auto" w:fill="auto"/>
            <w:noWrap/>
            <w:vAlign w:val="center"/>
            <w:hideMark/>
          </w:tcPr>
          <w:p w14:paraId="565CB378"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6400.6</w:t>
            </w:r>
          </w:p>
        </w:tc>
        <w:tc>
          <w:tcPr>
            <w:tcW w:w="960" w:type="dxa"/>
            <w:shd w:val="clear" w:color="auto" w:fill="auto"/>
            <w:noWrap/>
            <w:vAlign w:val="center"/>
            <w:hideMark/>
          </w:tcPr>
          <w:p w14:paraId="3D5DE61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4297.4</w:t>
            </w:r>
          </w:p>
        </w:tc>
      </w:tr>
      <w:tr w:rsidR="00C72EE3" w:rsidRPr="00191ACB" w14:paraId="10AC1969" w14:textId="77777777" w:rsidTr="005C7EBE">
        <w:trPr>
          <w:trHeight w:val="300"/>
        </w:trPr>
        <w:tc>
          <w:tcPr>
            <w:tcW w:w="960" w:type="dxa"/>
            <w:shd w:val="clear" w:color="auto" w:fill="auto"/>
            <w:noWrap/>
            <w:vAlign w:val="center"/>
            <w:hideMark/>
          </w:tcPr>
          <w:p w14:paraId="0390EEED"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2011</w:t>
            </w:r>
          </w:p>
        </w:tc>
        <w:tc>
          <w:tcPr>
            <w:tcW w:w="960" w:type="dxa"/>
            <w:shd w:val="clear" w:color="auto" w:fill="auto"/>
            <w:noWrap/>
            <w:vAlign w:val="center"/>
            <w:hideMark/>
          </w:tcPr>
          <w:p w14:paraId="6A2AABEC"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146.6</w:t>
            </w:r>
          </w:p>
        </w:tc>
        <w:tc>
          <w:tcPr>
            <w:tcW w:w="960" w:type="dxa"/>
            <w:shd w:val="clear" w:color="auto" w:fill="auto"/>
            <w:noWrap/>
            <w:vAlign w:val="center"/>
            <w:hideMark/>
          </w:tcPr>
          <w:p w14:paraId="021274EC"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871</w:t>
            </w:r>
          </w:p>
        </w:tc>
        <w:tc>
          <w:tcPr>
            <w:tcW w:w="960" w:type="dxa"/>
            <w:shd w:val="clear" w:color="auto" w:fill="auto"/>
            <w:noWrap/>
            <w:vAlign w:val="center"/>
            <w:hideMark/>
          </w:tcPr>
          <w:p w14:paraId="191C42B3"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231.3</w:t>
            </w:r>
          </w:p>
        </w:tc>
        <w:tc>
          <w:tcPr>
            <w:tcW w:w="960" w:type="dxa"/>
            <w:shd w:val="clear" w:color="auto" w:fill="auto"/>
            <w:noWrap/>
            <w:vAlign w:val="center"/>
            <w:hideMark/>
          </w:tcPr>
          <w:p w14:paraId="6C379303"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22903.8</w:t>
            </w:r>
          </w:p>
        </w:tc>
        <w:tc>
          <w:tcPr>
            <w:tcW w:w="960" w:type="dxa"/>
            <w:shd w:val="clear" w:color="auto" w:fill="auto"/>
            <w:noWrap/>
            <w:vAlign w:val="center"/>
            <w:hideMark/>
          </w:tcPr>
          <w:p w14:paraId="2B0FBD9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182.7</w:t>
            </w:r>
          </w:p>
        </w:tc>
        <w:tc>
          <w:tcPr>
            <w:tcW w:w="960" w:type="dxa"/>
            <w:shd w:val="clear" w:color="auto" w:fill="auto"/>
            <w:noWrap/>
            <w:vAlign w:val="center"/>
            <w:hideMark/>
          </w:tcPr>
          <w:p w14:paraId="15E95274"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6398.6</w:t>
            </w:r>
          </w:p>
        </w:tc>
        <w:tc>
          <w:tcPr>
            <w:tcW w:w="960" w:type="dxa"/>
            <w:shd w:val="clear" w:color="auto" w:fill="auto"/>
            <w:noWrap/>
            <w:vAlign w:val="center"/>
            <w:hideMark/>
          </w:tcPr>
          <w:p w14:paraId="330CE4A3"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4330.3</w:t>
            </w:r>
          </w:p>
        </w:tc>
      </w:tr>
      <w:tr w:rsidR="00C72EE3" w:rsidRPr="00191ACB" w14:paraId="103ACDDE" w14:textId="77777777" w:rsidTr="005C7EBE">
        <w:trPr>
          <w:trHeight w:val="300"/>
        </w:trPr>
        <w:tc>
          <w:tcPr>
            <w:tcW w:w="960" w:type="dxa"/>
            <w:shd w:val="clear" w:color="auto" w:fill="auto"/>
            <w:noWrap/>
            <w:vAlign w:val="center"/>
            <w:hideMark/>
          </w:tcPr>
          <w:p w14:paraId="35577C9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2012</w:t>
            </w:r>
          </w:p>
        </w:tc>
        <w:tc>
          <w:tcPr>
            <w:tcW w:w="960" w:type="dxa"/>
            <w:shd w:val="clear" w:color="auto" w:fill="auto"/>
            <w:noWrap/>
            <w:vAlign w:val="center"/>
            <w:hideMark/>
          </w:tcPr>
          <w:p w14:paraId="78540745"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146.3</w:t>
            </w:r>
          </w:p>
        </w:tc>
        <w:tc>
          <w:tcPr>
            <w:tcW w:w="960" w:type="dxa"/>
            <w:shd w:val="clear" w:color="auto" w:fill="auto"/>
            <w:noWrap/>
            <w:vAlign w:val="center"/>
            <w:hideMark/>
          </w:tcPr>
          <w:p w14:paraId="4AA7CE6A"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869.2</w:t>
            </w:r>
          </w:p>
        </w:tc>
        <w:tc>
          <w:tcPr>
            <w:tcW w:w="960" w:type="dxa"/>
            <w:shd w:val="clear" w:color="auto" w:fill="auto"/>
            <w:noWrap/>
            <w:vAlign w:val="center"/>
            <w:hideMark/>
          </w:tcPr>
          <w:p w14:paraId="22A6852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235</w:t>
            </w:r>
          </w:p>
        </w:tc>
        <w:tc>
          <w:tcPr>
            <w:tcW w:w="960" w:type="dxa"/>
            <w:shd w:val="clear" w:color="auto" w:fill="auto"/>
            <w:noWrap/>
            <w:vAlign w:val="center"/>
            <w:hideMark/>
          </w:tcPr>
          <w:p w14:paraId="694F48C3"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22862.7</w:t>
            </w:r>
          </w:p>
        </w:tc>
        <w:tc>
          <w:tcPr>
            <w:tcW w:w="960" w:type="dxa"/>
            <w:shd w:val="clear" w:color="auto" w:fill="auto"/>
            <w:noWrap/>
            <w:vAlign w:val="center"/>
            <w:hideMark/>
          </w:tcPr>
          <w:p w14:paraId="21A75D00"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182.4</w:t>
            </w:r>
          </w:p>
        </w:tc>
        <w:tc>
          <w:tcPr>
            <w:tcW w:w="960" w:type="dxa"/>
            <w:shd w:val="clear" w:color="auto" w:fill="auto"/>
            <w:noWrap/>
            <w:vAlign w:val="center"/>
            <w:hideMark/>
          </w:tcPr>
          <w:p w14:paraId="2CA77BA7"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6396.7</w:t>
            </w:r>
          </w:p>
        </w:tc>
        <w:tc>
          <w:tcPr>
            <w:tcW w:w="960" w:type="dxa"/>
            <w:shd w:val="clear" w:color="auto" w:fill="auto"/>
            <w:noWrap/>
            <w:vAlign w:val="center"/>
            <w:hideMark/>
          </w:tcPr>
          <w:p w14:paraId="303F876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4363.3</w:t>
            </w:r>
          </w:p>
        </w:tc>
      </w:tr>
      <w:tr w:rsidR="00C72EE3" w:rsidRPr="00191ACB" w14:paraId="5DDA4366" w14:textId="77777777" w:rsidTr="005C7EBE">
        <w:trPr>
          <w:trHeight w:val="300"/>
        </w:trPr>
        <w:tc>
          <w:tcPr>
            <w:tcW w:w="960" w:type="dxa"/>
            <w:shd w:val="clear" w:color="auto" w:fill="auto"/>
            <w:noWrap/>
            <w:vAlign w:val="center"/>
            <w:hideMark/>
          </w:tcPr>
          <w:p w14:paraId="3AF887C1"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2013</w:t>
            </w:r>
          </w:p>
        </w:tc>
        <w:tc>
          <w:tcPr>
            <w:tcW w:w="960" w:type="dxa"/>
            <w:shd w:val="clear" w:color="auto" w:fill="auto"/>
            <w:noWrap/>
            <w:vAlign w:val="center"/>
            <w:hideMark/>
          </w:tcPr>
          <w:p w14:paraId="6B7CC33D"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146</w:t>
            </w:r>
          </w:p>
        </w:tc>
        <w:tc>
          <w:tcPr>
            <w:tcW w:w="960" w:type="dxa"/>
            <w:shd w:val="clear" w:color="auto" w:fill="auto"/>
            <w:noWrap/>
            <w:vAlign w:val="center"/>
            <w:hideMark/>
          </w:tcPr>
          <w:p w14:paraId="2C5AE9F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867.5</w:t>
            </w:r>
          </w:p>
        </w:tc>
        <w:tc>
          <w:tcPr>
            <w:tcW w:w="960" w:type="dxa"/>
            <w:shd w:val="clear" w:color="auto" w:fill="auto"/>
            <w:noWrap/>
            <w:vAlign w:val="center"/>
            <w:hideMark/>
          </w:tcPr>
          <w:p w14:paraId="36CF0E8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238.6</w:t>
            </w:r>
          </w:p>
        </w:tc>
        <w:tc>
          <w:tcPr>
            <w:tcW w:w="960" w:type="dxa"/>
            <w:shd w:val="clear" w:color="auto" w:fill="auto"/>
            <w:noWrap/>
            <w:vAlign w:val="center"/>
            <w:hideMark/>
          </w:tcPr>
          <w:p w14:paraId="406D7B21"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22821.7</w:t>
            </w:r>
          </w:p>
        </w:tc>
        <w:tc>
          <w:tcPr>
            <w:tcW w:w="960" w:type="dxa"/>
            <w:shd w:val="clear" w:color="auto" w:fill="auto"/>
            <w:noWrap/>
            <w:vAlign w:val="center"/>
            <w:hideMark/>
          </w:tcPr>
          <w:p w14:paraId="43198744"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182.1</w:t>
            </w:r>
          </w:p>
        </w:tc>
        <w:tc>
          <w:tcPr>
            <w:tcW w:w="960" w:type="dxa"/>
            <w:shd w:val="clear" w:color="auto" w:fill="auto"/>
            <w:noWrap/>
            <w:vAlign w:val="center"/>
            <w:hideMark/>
          </w:tcPr>
          <w:p w14:paraId="45671338"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6394.8</w:t>
            </w:r>
          </w:p>
        </w:tc>
        <w:tc>
          <w:tcPr>
            <w:tcW w:w="960" w:type="dxa"/>
            <w:shd w:val="clear" w:color="auto" w:fill="auto"/>
            <w:noWrap/>
            <w:vAlign w:val="center"/>
            <w:hideMark/>
          </w:tcPr>
          <w:p w14:paraId="1E592B2E"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4396.2</w:t>
            </w:r>
          </w:p>
        </w:tc>
      </w:tr>
      <w:tr w:rsidR="00C72EE3" w:rsidRPr="00191ACB" w14:paraId="297A12E2" w14:textId="77777777" w:rsidTr="005C7EBE">
        <w:trPr>
          <w:trHeight w:val="300"/>
        </w:trPr>
        <w:tc>
          <w:tcPr>
            <w:tcW w:w="960" w:type="dxa"/>
            <w:shd w:val="clear" w:color="auto" w:fill="auto"/>
            <w:noWrap/>
            <w:vAlign w:val="center"/>
            <w:hideMark/>
          </w:tcPr>
          <w:p w14:paraId="19588908"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2014</w:t>
            </w:r>
          </w:p>
        </w:tc>
        <w:tc>
          <w:tcPr>
            <w:tcW w:w="960" w:type="dxa"/>
            <w:shd w:val="clear" w:color="auto" w:fill="auto"/>
            <w:noWrap/>
            <w:vAlign w:val="center"/>
            <w:hideMark/>
          </w:tcPr>
          <w:p w14:paraId="748DBDBD"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145.8</w:t>
            </w:r>
          </w:p>
        </w:tc>
        <w:tc>
          <w:tcPr>
            <w:tcW w:w="960" w:type="dxa"/>
            <w:shd w:val="clear" w:color="auto" w:fill="auto"/>
            <w:noWrap/>
            <w:vAlign w:val="center"/>
            <w:hideMark/>
          </w:tcPr>
          <w:p w14:paraId="7CB4E096"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865.7</w:t>
            </w:r>
          </w:p>
        </w:tc>
        <w:tc>
          <w:tcPr>
            <w:tcW w:w="960" w:type="dxa"/>
            <w:shd w:val="clear" w:color="auto" w:fill="auto"/>
            <w:noWrap/>
            <w:vAlign w:val="center"/>
            <w:hideMark/>
          </w:tcPr>
          <w:p w14:paraId="4218CE1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242.2</w:t>
            </w:r>
          </w:p>
        </w:tc>
        <w:tc>
          <w:tcPr>
            <w:tcW w:w="960" w:type="dxa"/>
            <w:shd w:val="clear" w:color="auto" w:fill="auto"/>
            <w:noWrap/>
            <w:vAlign w:val="center"/>
            <w:hideMark/>
          </w:tcPr>
          <w:p w14:paraId="4CA7C623"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22780.6</w:t>
            </w:r>
          </w:p>
        </w:tc>
        <w:tc>
          <w:tcPr>
            <w:tcW w:w="960" w:type="dxa"/>
            <w:shd w:val="clear" w:color="auto" w:fill="auto"/>
            <w:noWrap/>
            <w:vAlign w:val="center"/>
            <w:hideMark/>
          </w:tcPr>
          <w:p w14:paraId="5B690EDF"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181.7</w:t>
            </w:r>
          </w:p>
        </w:tc>
        <w:tc>
          <w:tcPr>
            <w:tcW w:w="960" w:type="dxa"/>
            <w:shd w:val="clear" w:color="auto" w:fill="auto"/>
            <w:noWrap/>
            <w:vAlign w:val="center"/>
            <w:hideMark/>
          </w:tcPr>
          <w:p w14:paraId="686C58E7"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6392.8</w:t>
            </w:r>
          </w:p>
        </w:tc>
        <w:tc>
          <w:tcPr>
            <w:tcW w:w="960" w:type="dxa"/>
            <w:shd w:val="clear" w:color="auto" w:fill="auto"/>
            <w:noWrap/>
            <w:vAlign w:val="center"/>
            <w:hideMark/>
          </w:tcPr>
          <w:p w14:paraId="1F9B723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4429.1</w:t>
            </w:r>
          </w:p>
        </w:tc>
      </w:tr>
      <w:tr w:rsidR="00C72EE3" w:rsidRPr="00191ACB" w14:paraId="7547C0AE" w14:textId="77777777" w:rsidTr="005C7EBE">
        <w:trPr>
          <w:trHeight w:val="300"/>
        </w:trPr>
        <w:tc>
          <w:tcPr>
            <w:tcW w:w="960" w:type="dxa"/>
            <w:shd w:val="clear" w:color="auto" w:fill="auto"/>
            <w:noWrap/>
            <w:vAlign w:val="center"/>
            <w:hideMark/>
          </w:tcPr>
          <w:p w14:paraId="4B332C96"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960" w:type="dxa"/>
            <w:shd w:val="clear" w:color="auto" w:fill="auto"/>
            <w:noWrap/>
            <w:vAlign w:val="center"/>
            <w:hideMark/>
          </w:tcPr>
          <w:p w14:paraId="05425116"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145.5</w:t>
            </w:r>
          </w:p>
        </w:tc>
        <w:tc>
          <w:tcPr>
            <w:tcW w:w="960" w:type="dxa"/>
            <w:shd w:val="clear" w:color="auto" w:fill="auto"/>
            <w:noWrap/>
            <w:vAlign w:val="center"/>
            <w:hideMark/>
          </w:tcPr>
          <w:p w14:paraId="5C2D5D4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864</w:t>
            </w:r>
          </w:p>
        </w:tc>
        <w:tc>
          <w:tcPr>
            <w:tcW w:w="960" w:type="dxa"/>
            <w:shd w:val="clear" w:color="auto" w:fill="auto"/>
            <w:noWrap/>
            <w:vAlign w:val="center"/>
            <w:hideMark/>
          </w:tcPr>
          <w:p w14:paraId="535F8385"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234.9</w:t>
            </w:r>
          </w:p>
        </w:tc>
        <w:tc>
          <w:tcPr>
            <w:tcW w:w="960" w:type="dxa"/>
            <w:shd w:val="clear" w:color="auto" w:fill="auto"/>
            <w:noWrap/>
            <w:vAlign w:val="center"/>
            <w:hideMark/>
          </w:tcPr>
          <w:p w14:paraId="1245574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22739.6</w:t>
            </w:r>
          </w:p>
        </w:tc>
        <w:tc>
          <w:tcPr>
            <w:tcW w:w="960" w:type="dxa"/>
            <w:shd w:val="clear" w:color="auto" w:fill="auto"/>
            <w:noWrap/>
            <w:vAlign w:val="center"/>
            <w:hideMark/>
          </w:tcPr>
          <w:p w14:paraId="093280C9"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181.4</w:t>
            </w:r>
          </w:p>
        </w:tc>
        <w:tc>
          <w:tcPr>
            <w:tcW w:w="960" w:type="dxa"/>
            <w:shd w:val="clear" w:color="auto" w:fill="auto"/>
            <w:noWrap/>
            <w:vAlign w:val="center"/>
            <w:hideMark/>
          </w:tcPr>
          <w:p w14:paraId="71835CC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6390.9</w:t>
            </w:r>
          </w:p>
        </w:tc>
        <w:tc>
          <w:tcPr>
            <w:tcW w:w="960" w:type="dxa"/>
            <w:shd w:val="clear" w:color="auto" w:fill="auto"/>
            <w:noWrap/>
            <w:vAlign w:val="center"/>
            <w:hideMark/>
          </w:tcPr>
          <w:p w14:paraId="578A7217"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4462</w:t>
            </w:r>
          </w:p>
        </w:tc>
      </w:tr>
      <w:tr w:rsidR="00C72EE3" w:rsidRPr="00191ACB" w14:paraId="5AE9FEDC" w14:textId="77777777" w:rsidTr="005C7EBE">
        <w:trPr>
          <w:trHeight w:val="300"/>
        </w:trPr>
        <w:tc>
          <w:tcPr>
            <w:tcW w:w="960" w:type="dxa"/>
            <w:shd w:val="clear" w:color="auto" w:fill="auto"/>
            <w:noWrap/>
            <w:vAlign w:val="center"/>
            <w:hideMark/>
          </w:tcPr>
          <w:p w14:paraId="5CB7DBBB"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2016</w:t>
            </w:r>
          </w:p>
        </w:tc>
        <w:tc>
          <w:tcPr>
            <w:tcW w:w="960" w:type="dxa"/>
            <w:shd w:val="clear" w:color="auto" w:fill="auto"/>
            <w:noWrap/>
            <w:vAlign w:val="center"/>
            <w:hideMark/>
          </w:tcPr>
          <w:p w14:paraId="14756CFA"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145.2</w:t>
            </w:r>
          </w:p>
        </w:tc>
        <w:tc>
          <w:tcPr>
            <w:tcW w:w="960" w:type="dxa"/>
            <w:shd w:val="clear" w:color="auto" w:fill="auto"/>
            <w:noWrap/>
            <w:vAlign w:val="center"/>
            <w:hideMark/>
          </w:tcPr>
          <w:p w14:paraId="77E276B4"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864</w:t>
            </w:r>
          </w:p>
        </w:tc>
        <w:tc>
          <w:tcPr>
            <w:tcW w:w="960" w:type="dxa"/>
            <w:shd w:val="clear" w:color="auto" w:fill="auto"/>
            <w:noWrap/>
            <w:vAlign w:val="center"/>
            <w:hideMark/>
          </w:tcPr>
          <w:p w14:paraId="45F0C6F5"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249.5</w:t>
            </w:r>
          </w:p>
        </w:tc>
        <w:tc>
          <w:tcPr>
            <w:tcW w:w="960" w:type="dxa"/>
            <w:shd w:val="clear" w:color="auto" w:fill="auto"/>
            <w:noWrap/>
            <w:vAlign w:val="center"/>
            <w:hideMark/>
          </w:tcPr>
          <w:p w14:paraId="410D90AD"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22698.5</w:t>
            </w:r>
          </w:p>
        </w:tc>
        <w:tc>
          <w:tcPr>
            <w:tcW w:w="960" w:type="dxa"/>
            <w:shd w:val="clear" w:color="auto" w:fill="auto"/>
            <w:noWrap/>
            <w:vAlign w:val="center"/>
            <w:hideMark/>
          </w:tcPr>
          <w:p w14:paraId="4074175D"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181.1</w:t>
            </w:r>
          </w:p>
        </w:tc>
        <w:tc>
          <w:tcPr>
            <w:tcW w:w="960" w:type="dxa"/>
            <w:shd w:val="clear" w:color="auto" w:fill="auto"/>
            <w:noWrap/>
            <w:vAlign w:val="center"/>
            <w:hideMark/>
          </w:tcPr>
          <w:p w14:paraId="40B10E72"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6388.9</w:t>
            </w:r>
          </w:p>
        </w:tc>
        <w:tc>
          <w:tcPr>
            <w:tcW w:w="960" w:type="dxa"/>
            <w:shd w:val="clear" w:color="auto" w:fill="auto"/>
            <w:noWrap/>
            <w:vAlign w:val="center"/>
            <w:hideMark/>
          </w:tcPr>
          <w:p w14:paraId="63840613" w14:textId="77777777" w:rsidR="00C72EE3" w:rsidRPr="00191ACB" w:rsidRDefault="00C72EE3"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4494.9</w:t>
            </w:r>
          </w:p>
        </w:tc>
      </w:tr>
    </w:tbl>
    <w:p w14:paraId="5DE336B4" w14:textId="77777777" w:rsidR="00C72EE3" w:rsidRPr="00191ACB" w:rsidRDefault="00C72EE3" w:rsidP="005E626A">
      <w:pPr>
        <w:pStyle w:val="NoSpacing"/>
        <w:spacing w:after="120"/>
        <w:rPr>
          <w:rFonts w:ascii="Times New Roman" w:hAnsi="Times New Roman" w:cs="Times New Roman"/>
          <w:color w:val="000000" w:themeColor="text1"/>
          <w:sz w:val="24"/>
          <w:szCs w:val="24"/>
        </w:rPr>
      </w:pPr>
    </w:p>
    <w:p w14:paraId="70B69019" w14:textId="207BC602" w:rsidR="00C72EE3" w:rsidRPr="00191ACB" w:rsidRDefault="000E6D8E"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w:t>
      </w:r>
      <w:r w:rsidR="006C1BFC" w:rsidRPr="00191ACB">
        <w:rPr>
          <w:rFonts w:ascii="Times New Roman" w:hAnsi="Times New Roman" w:cs="Times New Roman"/>
          <w:color w:val="000000" w:themeColor="text1"/>
          <w:sz w:val="24"/>
          <w:szCs w:val="24"/>
        </w:rPr>
        <w:t xml:space="preserve">ccording to Figure </w:t>
      </w:r>
      <w:r w:rsidR="001512D9" w:rsidRPr="00191ACB">
        <w:rPr>
          <w:rFonts w:ascii="Times New Roman" w:hAnsi="Times New Roman" w:cs="Times New Roman"/>
          <w:color w:val="000000" w:themeColor="text1"/>
          <w:sz w:val="24"/>
          <w:szCs w:val="24"/>
        </w:rPr>
        <w:t>3.25</w:t>
      </w:r>
      <w:r w:rsidR="00C72EE3" w:rsidRPr="00191ACB">
        <w:rPr>
          <w:rFonts w:ascii="Times New Roman" w:hAnsi="Times New Roman" w:cs="Times New Roman"/>
          <w:color w:val="000000" w:themeColor="text1"/>
          <w:sz w:val="24"/>
          <w:szCs w:val="24"/>
        </w:rPr>
        <w:t xml:space="preserve">, the trend indicates that the highest wood removals </w:t>
      </w:r>
      <w:r w:rsidRPr="00191ACB">
        <w:rPr>
          <w:rFonts w:ascii="Times New Roman" w:hAnsi="Times New Roman" w:cs="Times New Roman"/>
          <w:color w:val="000000" w:themeColor="text1"/>
          <w:sz w:val="24"/>
          <w:szCs w:val="24"/>
        </w:rPr>
        <w:t>we</w:t>
      </w:r>
      <w:r w:rsidR="00C72EE3" w:rsidRPr="00191ACB">
        <w:rPr>
          <w:rFonts w:ascii="Times New Roman" w:hAnsi="Times New Roman" w:cs="Times New Roman"/>
          <w:color w:val="000000" w:themeColor="text1"/>
          <w:sz w:val="24"/>
          <w:szCs w:val="24"/>
        </w:rPr>
        <w:t xml:space="preserve">re in the Forest woodland, Other wooded and the Pine plantation, and the least </w:t>
      </w:r>
      <w:r w:rsidRPr="00191ACB">
        <w:rPr>
          <w:rFonts w:ascii="Times New Roman" w:hAnsi="Times New Roman" w:cs="Times New Roman"/>
          <w:color w:val="000000" w:themeColor="text1"/>
          <w:sz w:val="24"/>
          <w:szCs w:val="24"/>
        </w:rPr>
        <w:t>we</w:t>
      </w:r>
      <w:r w:rsidR="00C72EE3" w:rsidRPr="00191ACB">
        <w:rPr>
          <w:rFonts w:ascii="Times New Roman" w:hAnsi="Times New Roman" w:cs="Times New Roman"/>
          <w:color w:val="000000" w:themeColor="text1"/>
          <w:sz w:val="24"/>
          <w:szCs w:val="24"/>
        </w:rPr>
        <w:t>re in the Dry deciduous Forest, Moist Evergreen Forest and Eucalyptus plantation.  It may be noted that   Forest Woodland is a major forest category consisting of Miombo, Kalahari, Mopane and Munga woodland (Shakacite O. et al., 2016: ILUA II, p20).</w:t>
      </w:r>
    </w:p>
    <w:p w14:paraId="26C300D3" w14:textId="77777777" w:rsidR="00C72EE3" w:rsidRPr="00191ACB" w:rsidRDefault="00C72EE3" w:rsidP="00C72EE3">
      <w:pPr>
        <w:pStyle w:val="NoSpacing"/>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noProof/>
          <w:color w:val="000000" w:themeColor="text1"/>
          <w:sz w:val="24"/>
          <w:szCs w:val="24"/>
          <w:lang w:val="en-GB" w:eastAsia="en-GB"/>
        </w:rPr>
        <w:drawing>
          <wp:inline distT="114300" distB="114300" distL="114300" distR="114300" wp14:anchorId="77F2FF3E" wp14:editId="4036D7B2">
            <wp:extent cx="5524500" cy="2049780"/>
            <wp:effectExtent l="19050" t="19050" r="19050" b="26670"/>
            <wp:docPr id="4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rotWithShape="1">
                    <a:blip r:embed="rId58"/>
                    <a:srcRect l="276" t="20195" r="-276" b="10604"/>
                    <a:stretch/>
                  </pic:blipFill>
                  <pic:spPr bwMode="auto">
                    <a:xfrm>
                      <a:off x="0" y="0"/>
                      <a:ext cx="5524500" cy="204978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2036E4E" w14:textId="4D902149" w:rsidR="00C72EE3" w:rsidRPr="00191ACB" w:rsidRDefault="00C72EE3" w:rsidP="000E11A3">
      <w:pPr>
        <w:pStyle w:val="Caption"/>
        <w:rPr>
          <w:color w:val="000000" w:themeColor="text1"/>
          <w:sz w:val="24"/>
          <w:szCs w:val="24"/>
        </w:rPr>
      </w:pPr>
      <w:r w:rsidRPr="00191ACB">
        <w:rPr>
          <w:color w:val="000000" w:themeColor="text1"/>
          <w:sz w:val="24"/>
          <w:szCs w:val="24"/>
        </w:rPr>
        <w:t xml:space="preserve">       </w:t>
      </w:r>
      <w:bookmarkStart w:id="212" w:name="_Toc56583870"/>
      <w:r w:rsidR="000E11A3"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25</w:t>
      </w:r>
      <w:r w:rsidR="009D481C">
        <w:rPr>
          <w:sz w:val="24"/>
          <w:szCs w:val="24"/>
        </w:rPr>
        <w:fldChar w:fldCharType="end"/>
      </w:r>
      <w:r w:rsidR="000E11A3" w:rsidRPr="00191ACB">
        <w:rPr>
          <w:sz w:val="24"/>
          <w:szCs w:val="24"/>
        </w:rPr>
        <w:t>:The trend in wood removals</w:t>
      </w:r>
      <w:bookmarkEnd w:id="212"/>
    </w:p>
    <w:p w14:paraId="78AB5D08" w14:textId="77777777" w:rsidR="00C72EE3" w:rsidRPr="00191ACB" w:rsidRDefault="00C72EE3" w:rsidP="005E626A">
      <w:pPr>
        <w:pStyle w:val="NoSpacing"/>
        <w:spacing w:after="120"/>
        <w:rPr>
          <w:rFonts w:ascii="Times New Roman" w:hAnsi="Times New Roman" w:cs="Times New Roman"/>
          <w:color w:val="000000" w:themeColor="text1"/>
          <w:sz w:val="24"/>
          <w:szCs w:val="24"/>
        </w:rPr>
      </w:pPr>
    </w:p>
    <w:p w14:paraId="611CECAC" w14:textId="77777777" w:rsidR="00C72EE3" w:rsidRPr="00191ACB" w:rsidRDefault="00C72EE3" w:rsidP="005E626A">
      <w:pPr>
        <w:spacing w:after="120" w:line="240" w:lineRule="auto"/>
        <w:jc w:val="both"/>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Fuel Wood Removal</w:t>
      </w:r>
    </w:p>
    <w:p w14:paraId="2DB06A90" w14:textId="7C21196C" w:rsidR="00C72EE3" w:rsidRPr="00191ACB" w:rsidRDefault="00C72EE3"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2016, emissions from Fuelwood were highest in Forest Woodland with 57.7</w:t>
      </w:r>
      <w:r w:rsidR="000E6D8E"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followed by Other Wooded land with 21.8</w:t>
      </w:r>
      <w:r w:rsidR="000E6D8E"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Emissions of fuelwood removals in Moist Evergreen and Dry Evergreen were both </w:t>
      </w:r>
      <w:r w:rsidR="000E6D8E" w:rsidRPr="00191ACB">
        <w:rPr>
          <w:rFonts w:ascii="Times New Roman" w:hAnsi="Times New Roman" w:cs="Times New Roman"/>
          <w:color w:val="000000" w:themeColor="text1"/>
          <w:sz w:val="24"/>
          <w:szCs w:val="24"/>
        </w:rPr>
        <w:t xml:space="preserve">at </w:t>
      </w:r>
      <w:r w:rsidRPr="00191ACB">
        <w:rPr>
          <w:rFonts w:ascii="Times New Roman" w:hAnsi="Times New Roman" w:cs="Times New Roman"/>
          <w:color w:val="000000" w:themeColor="text1"/>
          <w:sz w:val="24"/>
          <w:szCs w:val="24"/>
        </w:rPr>
        <w:t>9.1</w:t>
      </w:r>
      <w:r w:rsidR="000E6D8E"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(Figure</w:t>
      </w:r>
      <w:r w:rsidR="001512D9" w:rsidRPr="00191ACB">
        <w:rPr>
          <w:rFonts w:ascii="Times New Roman" w:hAnsi="Times New Roman" w:cs="Times New Roman"/>
          <w:color w:val="000000" w:themeColor="text1"/>
          <w:sz w:val="24"/>
          <w:szCs w:val="24"/>
        </w:rPr>
        <w:t>3.26</w:t>
      </w:r>
      <w:r w:rsidRPr="00191ACB">
        <w:rPr>
          <w:rFonts w:ascii="Times New Roman" w:hAnsi="Times New Roman" w:cs="Times New Roman"/>
          <w:color w:val="000000" w:themeColor="text1"/>
          <w:sz w:val="24"/>
          <w:szCs w:val="24"/>
        </w:rPr>
        <w:t>).</w:t>
      </w:r>
    </w:p>
    <w:p w14:paraId="5DAAA09A" w14:textId="77777777" w:rsidR="00585D9F" w:rsidRPr="00191ACB" w:rsidRDefault="00585D9F" w:rsidP="005E626A">
      <w:pPr>
        <w:spacing w:after="120" w:line="240" w:lineRule="auto"/>
        <w:jc w:val="both"/>
        <w:rPr>
          <w:rFonts w:ascii="Times New Roman" w:hAnsi="Times New Roman" w:cs="Times New Roman"/>
          <w:color w:val="000000" w:themeColor="text1"/>
          <w:sz w:val="24"/>
          <w:szCs w:val="24"/>
        </w:rPr>
      </w:pPr>
    </w:p>
    <w:p w14:paraId="79E34F7A" w14:textId="77777777" w:rsidR="00214971" w:rsidRPr="00191ACB" w:rsidRDefault="00214971" w:rsidP="00214971">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lastRenderedPageBreak/>
        <w:t xml:space="preserve">     </w:t>
      </w:r>
      <w:r w:rsidRPr="00191ACB">
        <w:rPr>
          <w:rFonts w:ascii="Times New Roman" w:hAnsi="Times New Roman" w:cs="Times New Roman"/>
          <w:noProof/>
          <w:color w:val="000000" w:themeColor="text1"/>
          <w:sz w:val="24"/>
          <w:szCs w:val="24"/>
          <w:lang w:val="en-GB" w:eastAsia="en-GB"/>
        </w:rPr>
        <w:drawing>
          <wp:inline distT="0" distB="0" distL="0" distR="0" wp14:anchorId="5E529CC3" wp14:editId="2254BD1C">
            <wp:extent cx="4259580" cy="2400300"/>
            <wp:effectExtent l="0" t="0" r="7620" b="0"/>
            <wp:docPr id="85" name="Chart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06D02CB" w14:textId="57AE9AE0" w:rsidR="00214971" w:rsidRPr="00191ACB" w:rsidRDefault="003C6D42" w:rsidP="000E11A3">
      <w:pPr>
        <w:pStyle w:val="Caption"/>
        <w:rPr>
          <w:i w:val="0"/>
          <w:color w:val="000000" w:themeColor="text1"/>
          <w:sz w:val="24"/>
          <w:szCs w:val="24"/>
        </w:rPr>
      </w:pPr>
      <w:bookmarkStart w:id="213" w:name="_Toc15311629"/>
      <w:bookmarkStart w:id="214" w:name="_Toc48427469"/>
      <w:r w:rsidRPr="00191ACB">
        <w:rPr>
          <w:i w:val="0"/>
          <w:color w:val="000000" w:themeColor="text1"/>
          <w:sz w:val="24"/>
          <w:szCs w:val="24"/>
        </w:rPr>
        <w:t xml:space="preserve"> </w:t>
      </w:r>
      <w:bookmarkStart w:id="215" w:name="_Toc56583871"/>
      <w:bookmarkEnd w:id="213"/>
      <w:bookmarkEnd w:id="214"/>
      <w:r w:rsidR="000E11A3"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26</w:t>
      </w:r>
      <w:r w:rsidR="009D481C">
        <w:rPr>
          <w:sz w:val="24"/>
          <w:szCs w:val="24"/>
        </w:rPr>
        <w:fldChar w:fldCharType="end"/>
      </w:r>
      <w:r w:rsidR="000E11A3" w:rsidRPr="00191ACB">
        <w:rPr>
          <w:sz w:val="24"/>
          <w:szCs w:val="24"/>
        </w:rPr>
        <w:t>:Percentage contributions of emissions of fuelwood removals by forest classification</w:t>
      </w:r>
      <w:bookmarkEnd w:id="215"/>
    </w:p>
    <w:p w14:paraId="32B6A493" w14:textId="77777777" w:rsidR="00585D9F" w:rsidRPr="00191ACB" w:rsidRDefault="00585D9F" w:rsidP="00585D9F">
      <w:pPr>
        <w:spacing w:after="120" w:line="240" w:lineRule="auto"/>
        <w:jc w:val="both"/>
        <w:rPr>
          <w:rFonts w:ascii="Times New Roman" w:hAnsi="Times New Roman" w:cs="Times New Roman"/>
          <w:color w:val="000000" w:themeColor="text1"/>
          <w:sz w:val="24"/>
          <w:szCs w:val="24"/>
        </w:rPr>
      </w:pPr>
    </w:p>
    <w:p w14:paraId="1110E8CF" w14:textId="1C3F4AA6" w:rsidR="00214971" w:rsidRPr="00191ACB" w:rsidRDefault="00214971"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Fuel wood removals include charcoal and firewood and it has been noted that an increase in electricity tariffs increases the demand for charcoal which is used in both urban and peri-urban areas. Provided in Table </w:t>
      </w:r>
      <w:r w:rsidR="001512D9" w:rsidRPr="00191ACB">
        <w:rPr>
          <w:rFonts w:ascii="Times New Roman" w:hAnsi="Times New Roman" w:cs="Times New Roman"/>
          <w:color w:val="000000" w:themeColor="text1"/>
          <w:sz w:val="24"/>
          <w:szCs w:val="24"/>
        </w:rPr>
        <w:t>3.14</w:t>
      </w:r>
      <w:r w:rsidRPr="00191ACB">
        <w:rPr>
          <w:rFonts w:ascii="Times New Roman" w:hAnsi="Times New Roman" w:cs="Times New Roman"/>
          <w:color w:val="000000" w:themeColor="text1"/>
          <w:sz w:val="24"/>
          <w:szCs w:val="24"/>
        </w:rPr>
        <w:t xml:space="preserve"> are emissions from fuelwood removal by forest classifications.</w:t>
      </w:r>
    </w:p>
    <w:p w14:paraId="298E5298" w14:textId="2305E751" w:rsidR="003B7FCD" w:rsidRPr="00191ACB" w:rsidRDefault="003B7FCD">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br w:type="page"/>
      </w:r>
    </w:p>
    <w:p w14:paraId="742B38E2" w14:textId="7220FF64" w:rsidR="00214971" w:rsidRPr="00191ACB" w:rsidRDefault="000E11A3" w:rsidP="000E11A3">
      <w:pPr>
        <w:pStyle w:val="Caption"/>
        <w:rPr>
          <w:color w:val="000000" w:themeColor="text1"/>
          <w:sz w:val="24"/>
          <w:szCs w:val="24"/>
        </w:rPr>
      </w:pPr>
      <w:bookmarkStart w:id="216" w:name="_Toc56583775"/>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14</w:t>
      </w:r>
      <w:r w:rsidR="00875942">
        <w:rPr>
          <w:sz w:val="24"/>
          <w:szCs w:val="24"/>
        </w:rPr>
        <w:fldChar w:fldCharType="end"/>
      </w:r>
      <w:r w:rsidRPr="00191ACB">
        <w:rPr>
          <w:sz w:val="24"/>
          <w:szCs w:val="24"/>
        </w:rPr>
        <w:t>: Emissions from fuelwood removal by forest classifications (Gg CO2 eq.)</w:t>
      </w:r>
      <w:bookmarkEnd w:id="216"/>
    </w:p>
    <w:tbl>
      <w:tblPr>
        <w:tblW w:w="7680" w:type="dxa"/>
        <w:tblInd w:w="-5" w:type="dxa"/>
        <w:tblLook w:val="04A0" w:firstRow="1" w:lastRow="0" w:firstColumn="1" w:lastColumn="0" w:noHBand="0" w:noVBand="1"/>
      </w:tblPr>
      <w:tblGrid>
        <w:gridCol w:w="960"/>
        <w:gridCol w:w="1243"/>
        <w:gridCol w:w="1203"/>
        <w:gridCol w:w="1283"/>
        <w:gridCol w:w="1216"/>
        <w:gridCol w:w="1203"/>
        <w:gridCol w:w="1030"/>
        <w:gridCol w:w="1190"/>
      </w:tblGrid>
      <w:tr w:rsidR="00214971" w:rsidRPr="00191ACB" w14:paraId="63BECCF3" w14:textId="77777777" w:rsidTr="005C7EBE">
        <w:trPr>
          <w:trHeight w:val="288"/>
          <w:tblHead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2BE4" w14:textId="77777777" w:rsidR="00214971" w:rsidRPr="00191ACB" w:rsidRDefault="00214971"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4CA91FC" w14:textId="77777777" w:rsidR="00214971" w:rsidRPr="00191ACB" w:rsidRDefault="00214971"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Dry Deciduous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A4F4750" w14:textId="77777777" w:rsidR="00214971" w:rsidRPr="00191ACB" w:rsidRDefault="00214971"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Dry Evergreen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E6FAEF0" w14:textId="77777777" w:rsidR="00214971" w:rsidRPr="00191ACB" w:rsidRDefault="00214971"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Eucalyptus Plantation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D97162A" w14:textId="77777777" w:rsidR="00214971" w:rsidRPr="00191ACB" w:rsidRDefault="00214971"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Forest Woodland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83A0F18" w14:textId="77777777" w:rsidR="00214971" w:rsidRPr="00191ACB" w:rsidRDefault="00214971"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Moist Evergreen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661CA4A" w14:textId="77777777" w:rsidR="00214971" w:rsidRPr="00191ACB" w:rsidRDefault="00214971"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Other Wooded Land</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09A1FB1" w14:textId="77777777" w:rsidR="00214971" w:rsidRPr="00191ACB" w:rsidRDefault="00214971"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Pine Plantation</w:t>
            </w:r>
          </w:p>
        </w:tc>
      </w:tr>
      <w:tr w:rsidR="00214971" w:rsidRPr="00191ACB" w14:paraId="4353A312" w14:textId="77777777" w:rsidTr="005C7EBE">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C965AA"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1994</w:t>
            </w:r>
          </w:p>
        </w:tc>
        <w:tc>
          <w:tcPr>
            <w:tcW w:w="960" w:type="dxa"/>
            <w:tcBorders>
              <w:top w:val="nil"/>
              <w:left w:val="nil"/>
              <w:bottom w:val="single" w:sz="4" w:space="0" w:color="auto"/>
              <w:right w:val="single" w:sz="4" w:space="0" w:color="auto"/>
            </w:tcBorders>
            <w:shd w:val="clear" w:color="auto" w:fill="auto"/>
            <w:noWrap/>
            <w:vAlign w:val="center"/>
            <w:hideMark/>
          </w:tcPr>
          <w:p w14:paraId="2E4DE700"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987.6</w:t>
            </w:r>
          </w:p>
        </w:tc>
        <w:tc>
          <w:tcPr>
            <w:tcW w:w="960" w:type="dxa"/>
            <w:tcBorders>
              <w:top w:val="nil"/>
              <w:left w:val="nil"/>
              <w:bottom w:val="single" w:sz="4" w:space="0" w:color="auto"/>
              <w:right w:val="single" w:sz="4" w:space="0" w:color="auto"/>
            </w:tcBorders>
            <w:shd w:val="clear" w:color="auto" w:fill="auto"/>
            <w:noWrap/>
            <w:vAlign w:val="center"/>
            <w:hideMark/>
          </w:tcPr>
          <w:p w14:paraId="7DA3C656"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1808.3</w:t>
            </w:r>
          </w:p>
        </w:tc>
        <w:tc>
          <w:tcPr>
            <w:tcW w:w="960" w:type="dxa"/>
            <w:tcBorders>
              <w:top w:val="nil"/>
              <w:left w:val="nil"/>
              <w:bottom w:val="single" w:sz="4" w:space="0" w:color="auto"/>
              <w:right w:val="single" w:sz="4" w:space="0" w:color="auto"/>
            </w:tcBorders>
            <w:shd w:val="clear" w:color="auto" w:fill="auto"/>
            <w:noWrap/>
            <w:vAlign w:val="center"/>
            <w:hideMark/>
          </w:tcPr>
          <w:p w14:paraId="0EFCBB32"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4" w:space="0" w:color="auto"/>
              <w:right w:val="single" w:sz="4" w:space="0" w:color="auto"/>
            </w:tcBorders>
            <w:shd w:val="clear" w:color="auto" w:fill="auto"/>
            <w:noWrap/>
            <w:vAlign w:val="center"/>
            <w:hideMark/>
          </w:tcPr>
          <w:p w14:paraId="10A61AA6"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11416.9</w:t>
            </w:r>
          </w:p>
        </w:tc>
        <w:tc>
          <w:tcPr>
            <w:tcW w:w="960" w:type="dxa"/>
            <w:tcBorders>
              <w:top w:val="nil"/>
              <w:left w:val="nil"/>
              <w:bottom w:val="single" w:sz="4" w:space="0" w:color="auto"/>
              <w:right w:val="single" w:sz="4" w:space="0" w:color="auto"/>
            </w:tcBorders>
            <w:shd w:val="clear" w:color="auto" w:fill="auto"/>
            <w:noWrap/>
            <w:vAlign w:val="center"/>
            <w:hideMark/>
          </w:tcPr>
          <w:p w14:paraId="4F590F98"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1251.9</w:t>
            </w:r>
          </w:p>
        </w:tc>
        <w:tc>
          <w:tcPr>
            <w:tcW w:w="960" w:type="dxa"/>
            <w:tcBorders>
              <w:top w:val="nil"/>
              <w:left w:val="nil"/>
              <w:bottom w:val="single" w:sz="4" w:space="0" w:color="auto"/>
              <w:right w:val="single" w:sz="4" w:space="0" w:color="auto"/>
            </w:tcBorders>
            <w:shd w:val="clear" w:color="auto" w:fill="auto"/>
            <w:noWrap/>
            <w:vAlign w:val="center"/>
            <w:hideMark/>
          </w:tcPr>
          <w:p w14:paraId="26B82A63"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4785.2</w:t>
            </w:r>
          </w:p>
        </w:tc>
        <w:tc>
          <w:tcPr>
            <w:tcW w:w="960" w:type="dxa"/>
            <w:tcBorders>
              <w:top w:val="nil"/>
              <w:left w:val="nil"/>
              <w:bottom w:val="single" w:sz="4" w:space="0" w:color="auto"/>
              <w:right w:val="single" w:sz="4" w:space="0" w:color="auto"/>
            </w:tcBorders>
            <w:shd w:val="clear" w:color="auto" w:fill="auto"/>
            <w:noWrap/>
            <w:vAlign w:val="center"/>
            <w:hideMark/>
          </w:tcPr>
          <w:p w14:paraId="023EEE96"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214971" w:rsidRPr="00191ACB" w14:paraId="12DDB15E" w14:textId="77777777" w:rsidTr="005C7EBE">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AA3B451"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2000</w:t>
            </w:r>
          </w:p>
        </w:tc>
        <w:tc>
          <w:tcPr>
            <w:tcW w:w="960" w:type="dxa"/>
            <w:tcBorders>
              <w:top w:val="nil"/>
              <w:left w:val="nil"/>
              <w:bottom w:val="single" w:sz="4" w:space="0" w:color="auto"/>
              <w:right w:val="single" w:sz="4" w:space="0" w:color="auto"/>
            </w:tcBorders>
            <w:shd w:val="clear" w:color="auto" w:fill="auto"/>
            <w:noWrap/>
            <w:vAlign w:val="center"/>
            <w:hideMark/>
          </w:tcPr>
          <w:p w14:paraId="754982E8"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1187</w:t>
            </w:r>
          </w:p>
        </w:tc>
        <w:tc>
          <w:tcPr>
            <w:tcW w:w="960" w:type="dxa"/>
            <w:tcBorders>
              <w:top w:val="nil"/>
              <w:left w:val="nil"/>
              <w:bottom w:val="single" w:sz="4" w:space="0" w:color="auto"/>
              <w:right w:val="single" w:sz="4" w:space="0" w:color="auto"/>
            </w:tcBorders>
            <w:shd w:val="clear" w:color="auto" w:fill="auto"/>
            <w:noWrap/>
            <w:vAlign w:val="center"/>
            <w:hideMark/>
          </w:tcPr>
          <w:p w14:paraId="202FE54F"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2173.4</w:t>
            </w:r>
          </w:p>
        </w:tc>
        <w:tc>
          <w:tcPr>
            <w:tcW w:w="960" w:type="dxa"/>
            <w:tcBorders>
              <w:top w:val="nil"/>
              <w:left w:val="nil"/>
              <w:bottom w:val="single" w:sz="4" w:space="0" w:color="auto"/>
              <w:right w:val="single" w:sz="4" w:space="0" w:color="auto"/>
            </w:tcBorders>
            <w:shd w:val="clear" w:color="auto" w:fill="auto"/>
            <w:noWrap/>
            <w:vAlign w:val="center"/>
            <w:hideMark/>
          </w:tcPr>
          <w:p w14:paraId="687CD83F"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4" w:space="0" w:color="auto"/>
              <w:right w:val="single" w:sz="4" w:space="0" w:color="auto"/>
            </w:tcBorders>
            <w:shd w:val="clear" w:color="auto" w:fill="auto"/>
            <w:noWrap/>
            <w:vAlign w:val="center"/>
            <w:hideMark/>
          </w:tcPr>
          <w:p w14:paraId="1880CCD8"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13665.7</w:t>
            </w:r>
          </w:p>
        </w:tc>
        <w:tc>
          <w:tcPr>
            <w:tcW w:w="960" w:type="dxa"/>
            <w:tcBorders>
              <w:top w:val="nil"/>
              <w:left w:val="nil"/>
              <w:bottom w:val="single" w:sz="4" w:space="0" w:color="auto"/>
              <w:right w:val="single" w:sz="4" w:space="0" w:color="auto"/>
            </w:tcBorders>
            <w:shd w:val="clear" w:color="auto" w:fill="auto"/>
            <w:noWrap/>
            <w:vAlign w:val="center"/>
            <w:hideMark/>
          </w:tcPr>
          <w:p w14:paraId="203F39C9"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1444.5</w:t>
            </w:r>
          </w:p>
        </w:tc>
        <w:tc>
          <w:tcPr>
            <w:tcW w:w="960" w:type="dxa"/>
            <w:tcBorders>
              <w:top w:val="nil"/>
              <w:left w:val="nil"/>
              <w:bottom w:val="single" w:sz="4" w:space="0" w:color="auto"/>
              <w:right w:val="single" w:sz="4" w:space="0" w:color="auto"/>
            </w:tcBorders>
            <w:shd w:val="clear" w:color="auto" w:fill="auto"/>
            <w:noWrap/>
            <w:vAlign w:val="center"/>
            <w:hideMark/>
          </w:tcPr>
          <w:p w14:paraId="34989A27"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5176.1</w:t>
            </w:r>
          </w:p>
        </w:tc>
        <w:tc>
          <w:tcPr>
            <w:tcW w:w="960" w:type="dxa"/>
            <w:tcBorders>
              <w:top w:val="nil"/>
              <w:left w:val="nil"/>
              <w:bottom w:val="single" w:sz="4" w:space="0" w:color="auto"/>
              <w:right w:val="single" w:sz="4" w:space="0" w:color="auto"/>
            </w:tcBorders>
            <w:shd w:val="clear" w:color="auto" w:fill="auto"/>
            <w:noWrap/>
            <w:vAlign w:val="center"/>
            <w:hideMark/>
          </w:tcPr>
          <w:p w14:paraId="5D5EA49B"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214971" w:rsidRPr="00191ACB" w14:paraId="4F53809D" w14:textId="77777777" w:rsidTr="005C7EBE">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DEA1B91"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2005</w:t>
            </w:r>
          </w:p>
        </w:tc>
        <w:tc>
          <w:tcPr>
            <w:tcW w:w="960" w:type="dxa"/>
            <w:tcBorders>
              <w:top w:val="nil"/>
              <w:left w:val="nil"/>
              <w:bottom w:val="single" w:sz="4" w:space="0" w:color="auto"/>
              <w:right w:val="single" w:sz="4" w:space="0" w:color="auto"/>
            </w:tcBorders>
            <w:shd w:val="clear" w:color="auto" w:fill="auto"/>
            <w:noWrap/>
            <w:vAlign w:val="center"/>
            <w:hideMark/>
          </w:tcPr>
          <w:p w14:paraId="79308142"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1323.1</w:t>
            </w:r>
          </w:p>
        </w:tc>
        <w:tc>
          <w:tcPr>
            <w:tcW w:w="960" w:type="dxa"/>
            <w:tcBorders>
              <w:top w:val="nil"/>
              <w:left w:val="nil"/>
              <w:bottom w:val="single" w:sz="4" w:space="0" w:color="auto"/>
              <w:right w:val="single" w:sz="4" w:space="0" w:color="auto"/>
            </w:tcBorders>
            <w:shd w:val="clear" w:color="auto" w:fill="auto"/>
            <w:noWrap/>
            <w:vAlign w:val="center"/>
            <w:hideMark/>
          </w:tcPr>
          <w:p w14:paraId="54DBBD48"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2422.5</w:t>
            </w:r>
          </w:p>
        </w:tc>
        <w:tc>
          <w:tcPr>
            <w:tcW w:w="960" w:type="dxa"/>
            <w:tcBorders>
              <w:top w:val="nil"/>
              <w:left w:val="nil"/>
              <w:bottom w:val="single" w:sz="4" w:space="0" w:color="auto"/>
              <w:right w:val="single" w:sz="4" w:space="0" w:color="auto"/>
            </w:tcBorders>
            <w:shd w:val="clear" w:color="auto" w:fill="auto"/>
            <w:noWrap/>
            <w:vAlign w:val="center"/>
            <w:hideMark/>
          </w:tcPr>
          <w:p w14:paraId="0CF95A30"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4" w:space="0" w:color="auto"/>
              <w:right w:val="single" w:sz="4" w:space="0" w:color="auto"/>
            </w:tcBorders>
            <w:shd w:val="clear" w:color="auto" w:fill="auto"/>
            <w:noWrap/>
            <w:vAlign w:val="center"/>
            <w:hideMark/>
          </w:tcPr>
          <w:p w14:paraId="55058D8C"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15294.3</w:t>
            </w:r>
          </w:p>
        </w:tc>
        <w:tc>
          <w:tcPr>
            <w:tcW w:w="960" w:type="dxa"/>
            <w:tcBorders>
              <w:top w:val="nil"/>
              <w:left w:val="nil"/>
              <w:bottom w:val="single" w:sz="4" w:space="0" w:color="auto"/>
              <w:right w:val="single" w:sz="4" w:space="0" w:color="auto"/>
            </w:tcBorders>
            <w:shd w:val="clear" w:color="auto" w:fill="auto"/>
            <w:noWrap/>
            <w:vAlign w:val="center"/>
            <w:hideMark/>
          </w:tcPr>
          <w:p w14:paraId="511410D8"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1677.1</w:t>
            </w:r>
          </w:p>
        </w:tc>
        <w:tc>
          <w:tcPr>
            <w:tcW w:w="960" w:type="dxa"/>
            <w:tcBorders>
              <w:top w:val="nil"/>
              <w:left w:val="nil"/>
              <w:bottom w:val="single" w:sz="4" w:space="0" w:color="auto"/>
              <w:right w:val="single" w:sz="4" w:space="0" w:color="auto"/>
            </w:tcBorders>
            <w:shd w:val="clear" w:color="auto" w:fill="auto"/>
            <w:noWrap/>
            <w:vAlign w:val="center"/>
            <w:hideMark/>
          </w:tcPr>
          <w:p w14:paraId="09D71845"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6410.3</w:t>
            </w:r>
          </w:p>
        </w:tc>
        <w:tc>
          <w:tcPr>
            <w:tcW w:w="960" w:type="dxa"/>
            <w:tcBorders>
              <w:top w:val="nil"/>
              <w:left w:val="nil"/>
              <w:bottom w:val="single" w:sz="4" w:space="0" w:color="auto"/>
              <w:right w:val="single" w:sz="4" w:space="0" w:color="auto"/>
            </w:tcBorders>
            <w:shd w:val="clear" w:color="auto" w:fill="auto"/>
            <w:noWrap/>
            <w:vAlign w:val="center"/>
            <w:hideMark/>
          </w:tcPr>
          <w:p w14:paraId="1BCAD4D4"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214971" w:rsidRPr="00191ACB" w14:paraId="75EFDC58" w14:textId="77777777" w:rsidTr="005C7EBE">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179D855"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960" w:type="dxa"/>
            <w:tcBorders>
              <w:top w:val="nil"/>
              <w:left w:val="nil"/>
              <w:bottom w:val="single" w:sz="4" w:space="0" w:color="auto"/>
              <w:right w:val="single" w:sz="4" w:space="0" w:color="auto"/>
            </w:tcBorders>
            <w:shd w:val="clear" w:color="auto" w:fill="auto"/>
            <w:noWrap/>
            <w:vAlign w:val="center"/>
            <w:hideMark/>
          </w:tcPr>
          <w:p w14:paraId="4A6D11CA"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1246.7</w:t>
            </w:r>
          </w:p>
        </w:tc>
        <w:tc>
          <w:tcPr>
            <w:tcW w:w="960" w:type="dxa"/>
            <w:tcBorders>
              <w:top w:val="nil"/>
              <w:left w:val="nil"/>
              <w:bottom w:val="single" w:sz="4" w:space="0" w:color="auto"/>
              <w:right w:val="single" w:sz="4" w:space="0" w:color="auto"/>
            </w:tcBorders>
            <w:shd w:val="clear" w:color="auto" w:fill="auto"/>
            <w:noWrap/>
            <w:vAlign w:val="center"/>
            <w:hideMark/>
          </w:tcPr>
          <w:p w14:paraId="55505536"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2282.6</w:t>
            </w:r>
          </w:p>
        </w:tc>
        <w:tc>
          <w:tcPr>
            <w:tcW w:w="960" w:type="dxa"/>
            <w:tcBorders>
              <w:top w:val="nil"/>
              <w:left w:val="nil"/>
              <w:bottom w:val="single" w:sz="4" w:space="0" w:color="auto"/>
              <w:right w:val="single" w:sz="4" w:space="0" w:color="auto"/>
            </w:tcBorders>
            <w:shd w:val="clear" w:color="auto" w:fill="auto"/>
            <w:noWrap/>
            <w:vAlign w:val="center"/>
            <w:hideMark/>
          </w:tcPr>
          <w:p w14:paraId="05E1E8DD"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4" w:space="0" w:color="auto"/>
              <w:right w:val="single" w:sz="4" w:space="0" w:color="auto"/>
            </w:tcBorders>
            <w:shd w:val="clear" w:color="auto" w:fill="auto"/>
            <w:noWrap/>
            <w:vAlign w:val="center"/>
            <w:hideMark/>
          </w:tcPr>
          <w:p w14:paraId="46AF1D82"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17058.3</w:t>
            </w:r>
          </w:p>
        </w:tc>
        <w:tc>
          <w:tcPr>
            <w:tcW w:w="960" w:type="dxa"/>
            <w:tcBorders>
              <w:top w:val="nil"/>
              <w:left w:val="nil"/>
              <w:bottom w:val="single" w:sz="4" w:space="0" w:color="auto"/>
              <w:right w:val="single" w:sz="4" w:space="0" w:color="auto"/>
            </w:tcBorders>
            <w:shd w:val="clear" w:color="auto" w:fill="auto"/>
            <w:noWrap/>
            <w:vAlign w:val="center"/>
            <w:hideMark/>
          </w:tcPr>
          <w:p w14:paraId="470BD90C"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2212.4</w:t>
            </w:r>
          </w:p>
        </w:tc>
        <w:tc>
          <w:tcPr>
            <w:tcW w:w="960" w:type="dxa"/>
            <w:tcBorders>
              <w:top w:val="nil"/>
              <w:left w:val="nil"/>
              <w:bottom w:val="single" w:sz="4" w:space="0" w:color="auto"/>
              <w:right w:val="single" w:sz="4" w:space="0" w:color="auto"/>
            </w:tcBorders>
            <w:shd w:val="clear" w:color="auto" w:fill="auto"/>
            <w:noWrap/>
            <w:vAlign w:val="center"/>
            <w:hideMark/>
          </w:tcPr>
          <w:p w14:paraId="2C926C84"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8682.8</w:t>
            </w:r>
          </w:p>
        </w:tc>
        <w:tc>
          <w:tcPr>
            <w:tcW w:w="960" w:type="dxa"/>
            <w:tcBorders>
              <w:top w:val="nil"/>
              <w:left w:val="nil"/>
              <w:bottom w:val="single" w:sz="4" w:space="0" w:color="auto"/>
              <w:right w:val="single" w:sz="4" w:space="0" w:color="auto"/>
            </w:tcBorders>
            <w:shd w:val="clear" w:color="auto" w:fill="auto"/>
            <w:noWrap/>
            <w:vAlign w:val="center"/>
            <w:hideMark/>
          </w:tcPr>
          <w:p w14:paraId="0859BE8D"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214971" w:rsidRPr="00191ACB" w14:paraId="174A988F" w14:textId="77777777" w:rsidTr="005C7EBE">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E513DB"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2011</w:t>
            </w:r>
          </w:p>
        </w:tc>
        <w:tc>
          <w:tcPr>
            <w:tcW w:w="960" w:type="dxa"/>
            <w:tcBorders>
              <w:top w:val="nil"/>
              <w:left w:val="nil"/>
              <w:bottom w:val="single" w:sz="4" w:space="0" w:color="auto"/>
              <w:right w:val="single" w:sz="4" w:space="0" w:color="auto"/>
            </w:tcBorders>
            <w:shd w:val="clear" w:color="auto" w:fill="auto"/>
            <w:noWrap/>
            <w:vAlign w:val="center"/>
            <w:hideMark/>
          </w:tcPr>
          <w:p w14:paraId="28378403"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1602.7</w:t>
            </w:r>
          </w:p>
        </w:tc>
        <w:tc>
          <w:tcPr>
            <w:tcW w:w="960" w:type="dxa"/>
            <w:tcBorders>
              <w:top w:val="nil"/>
              <w:left w:val="nil"/>
              <w:bottom w:val="single" w:sz="4" w:space="0" w:color="auto"/>
              <w:right w:val="single" w:sz="4" w:space="0" w:color="auto"/>
            </w:tcBorders>
            <w:shd w:val="clear" w:color="auto" w:fill="auto"/>
            <w:noWrap/>
            <w:vAlign w:val="center"/>
            <w:hideMark/>
          </w:tcPr>
          <w:p w14:paraId="74D03D8E"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2934.5</w:t>
            </w:r>
          </w:p>
        </w:tc>
        <w:tc>
          <w:tcPr>
            <w:tcW w:w="960" w:type="dxa"/>
            <w:tcBorders>
              <w:top w:val="nil"/>
              <w:left w:val="nil"/>
              <w:bottom w:val="single" w:sz="4" w:space="0" w:color="auto"/>
              <w:right w:val="single" w:sz="4" w:space="0" w:color="auto"/>
            </w:tcBorders>
            <w:shd w:val="clear" w:color="auto" w:fill="auto"/>
            <w:noWrap/>
            <w:vAlign w:val="center"/>
            <w:hideMark/>
          </w:tcPr>
          <w:p w14:paraId="73D661F3"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4" w:space="0" w:color="auto"/>
              <w:right w:val="single" w:sz="4" w:space="0" w:color="auto"/>
            </w:tcBorders>
            <w:shd w:val="clear" w:color="auto" w:fill="auto"/>
            <w:noWrap/>
            <w:vAlign w:val="center"/>
            <w:hideMark/>
          </w:tcPr>
          <w:p w14:paraId="0278A0BD"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18451.5</w:t>
            </w:r>
          </w:p>
        </w:tc>
        <w:tc>
          <w:tcPr>
            <w:tcW w:w="960" w:type="dxa"/>
            <w:tcBorders>
              <w:top w:val="nil"/>
              <w:left w:val="nil"/>
              <w:bottom w:val="single" w:sz="4" w:space="0" w:color="auto"/>
              <w:right w:val="single" w:sz="4" w:space="0" w:color="auto"/>
            </w:tcBorders>
            <w:shd w:val="clear" w:color="auto" w:fill="auto"/>
            <w:noWrap/>
            <w:vAlign w:val="center"/>
            <w:hideMark/>
          </w:tcPr>
          <w:p w14:paraId="68BB3711"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1950.3</w:t>
            </w:r>
          </w:p>
        </w:tc>
        <w:tc>
          <w:tcPr>
            <w:tcW w:w="960" w:type="dxa"/>
            <w:tcBorders>
              <w:top w:val="nil"/>
              <w:left w:val="nil"/>
              <w:bottom w:val="single" w:sz="4" w:space="0" w:color="auto"/>
              <w:right w:val="single" w:sz="4" w:space="0" w:color="auto"/>
            </w:tcBorders>
            <w:shd w:val="clear" w:color="auto" w:fill="auto"/>
            <w:noWrap/>
            <w:vAlign w:val="center"/>
            <w:hideMark/>
          </w:tcPr>
          <w:p w14:paraId="713C8129"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6988.7</w:t>
            </w:r>
          </w:p>
        </w:tc>
        <w:tc>
          <w:tcPr>
            <w:tcW w:w="960" w:type="dxa"/>
            <w:tcBorders>
              <w:top w:val="nil"/>
              <w:left w:val="nil"/>
              <w:bottom w:val="single" w:sz="4" w:space="0" w:color="auto"/>
              <w:right w:val="single" w:sz="4" w:space="0" w:color="auto"/>
            </w:tcBorders>
            <w:shd w:val="clear" w:color="auto" w:fill="auto"/>
            <w:noWrap/>
            <w:vAlign w:val="center"/>
            <w:hideMark/>
          </w:tcPr>
          <w:p w14:paraId="3933E7A6"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214971" w:rsidRPr="00191ACB" w14:paraId="4728BC4F" w14:textId="77777777" w:rsidTr="005C7EBE">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CB63D8"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2012</w:t>
            </w:r>
          </w:p>
        </w:tc>
        <w:tc>
          <w:tcPr>
            <w:tcW w:w="960" w:type="dxa"/>
            <w:tcBorders>
              <w:top w:val="nil"/>
              <w:left w:val="nil"/>
              <w:bottom w:val="single" w:sz="4" w:space="0" w:color="auto"/>
              <w:right w:val="single" w:sz="4" w:space="0" w:color="auto"/>
            </w:tcBorders>
            <w:shd w:val="clear" w:color="auto" w:fill="auto"/>
            <w:noWrap/>
            <w:vAlign w:val="center"/>
            <w:hideMark/>
          </w:tcPr>
          <w:p w14:paraId="4CC20A4B"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1648.5</w:t>
            </w:r>
          </w:p>
        </w:tc>
        <w:tc>
          <w:tcPr>
            <w:tcW w:w="960" w:type="dxa"/>
            <w:tcBorders>
              <w:top w:val="nil"/>
              <w:left w:val="nil"/>
              <w:bottom w:val="single" w:sz="4" w:space="0" w:color="auto"/>
              <w:right w:val="single" w:sz="4" w:space="0" w:color="auto"/>
            </w:tcBorders>
            <w:shd w:val="clear" w:color="auto" w:fill="auto"/>
            <w:noWrap/>
            <w:vAlign w:val="center"/>
            <w:hideMark/>
          </w:tcPr>
          <w:p w14:paraId="4B11BB42"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3018.4</w:t>
            </w:r>
          </w:p>
        </w:tc>
        <w:tc>
          <w:tcPr>
            <w:tcW w:w="960" w:type="dxa"/>
            <w:tcBorders>
              <w:top w:val="nil"/>
              <w:left w:val="nil"/>
              <w:bottom w:val="single" w:sz="4" w:space="0" w:color="auto"/>
              <w:right w:val="single" w:sz="4" w:space="0" w:color="auto"/>
            </w:tcBorders>
            <w:shd w:val="clear" w:color="auto" w:fill="auto"/>
            <w:noWrap/>
            <w:vAlign w:val="center"/>
            <w:hideMark/>
          </w:tcPr>
          <w:p w14:paraId="0249AEEB"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4" w:space="0" w:color="auto"/>
              <w:right w:val="single" w:sz="4" w:space="0" w:color="auto"/>
            </w:tcBorders>
            <w:shd w:val="clear" w:color="auto" w:fill="auto"/>
            <w:noWrap/>
            <w:vAlign w:val="center"/>
            <w:hideMark/>
          </w:tcPr>
          <w:p w14:paraId="5FC81BFA"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18978.5</w:t>
            </w:r>
          </w:p>
        </w:tc>
        <w:tc>
          <w:tcPr>
            <w:tcW w:w="960" w:type="dxa"/>
            <w:tcBorders>
              <w:top w:val="nil"/>
              <w:left w:val="nil"/>
              <w:bottom w:val="single" w:sz="4" w:space="0" w:color="auto"/>
              <w:right w:val="single" w:sz="4" w:space="0" w:color="auto"/>
            </w:tcBorders>
            <w:shd w:val="clear" w:color="auto" w:fill="auto"/>
            <w:noWrap/>
            <w:vAlign w:val="center"/>
            <w:hideMark/>
          </w:tcPr>
          <w:p w14:paraId="1AE61EEA"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2006</w:t>
            </w:r>
          </w:p>
        </w:tc>
        <w:tc>
          <w:tcPr>
            <w:tcW w:w="960" w:type="dxa"/>
            <w:tcBorders>
              <w:top w:val="nil"/>
              <w:left w:val="nil"/>
              <w:bottom w:val="single" w:sz="4" w:space="0" w:color="auto"/>
              <w:right w:val="single" w:sz="4" w:space="0" w:color="auto"/>
            </w:tcBorders>
            <w:shd w:val="clear" w:color="auto" w:fill="auto"/>
            <w:noWrap/>
            <w:vAlign w:val="center"/>
            <w:hideMark/>
          </w:tcPr>
          <w:p w14:paraId="093CC05E"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7188.3</w:t>
            </w:r>
          </w:p>
        </w:tc>
        <w:tc>
          <w:tcPr>
            <w:tcW w:w="960" w:type="dxa"/>
            <w:tcBorders>
              <w:top w:val="nil"/>
              <w:left w:val="nil"/>
              <w:bottom w:val="single" w:sz="4" w:space="0" w:color="auto"/>
              <w:right w:val="single" w:sz="4" w:space="0" w:color="auto"/>
            </w:tcBorders>
            <w:shd w:val="clear" w:color="auto" w:fill="auto"/>
            <w:noWrap/>
            <w:vAlign w:val="center"/>
            <w:hideMark/>
          </w:tcPr>
          <w:p w14:paraId="7AAC82F4"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214971" w:rsidRPr="00191ACB" w14:paraId="47AB8E66" w14:textId="77777777" w:rsidTr="005C7EBE">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0CCEB4F"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2013</w:t>
            </w:r>
          </w:p>
        </w:tc>
        <w:tc>
          <w:tcPr>
            <w:tcW w:w="960" w:type="dxa"/>
            <w:tcBorders>
              <w:top w:val="nil"/>
              <w:left w:val="nil"/>
              <w:bottom w:val="single" w:sz="4" w:space="0" w:color="auto"/>
              <w:right w:val="single" w:sz="4" w:space="0" w:color="auto"/>
            </w:tcBorders>
            <w:shd w:val="clear" w:color="auto" w:fill="auto"/>
            <w:noWrap/>
            <w:vAlign w:val="center"/>
            <w:hideMark/>
          </w:tcPr>
          <w:p w14:paraId="506BE98D"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1695.7</w:t>
            </w:r>
          </w:p>
        </w:tc>
        <w:tc>
          <w:tcPr>
            <w:tcW w:w="960" w:type="dxa"/>
            <w:tcBorders>
              <w:top w:val="nil"/>
              <w:left w:val="nil"/>
              <w:bottom w:val="single" w:sz="4" w:space="0" w:color="auto"/>
              <w:right w:val="single" w:sz="4" w:space="0" w:color="auto"/>
            </w:tcBorders>
            <w:shd w:val="clear" w:color="auto" w:fill="auto"/>
            <w:noWrap/>
            <w:vAlign w:val="center"/>
            <w:hideMark/>
          </w:tcPr>
          <w:p w14:paraId="56EB945F"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3104.9</w:t>
            </w:r>
          </w:p>
        </w:tc>
        <w:tc>
          <w:tcPr>
            <w:tcW w:w="960" w:type="dxa"/>
            <w:tcBorders>
              <w:top w:val="nil"/>
              <w:left w:val="nil"/>
              <w:bottom w:val="single" w:sz="4" w:space="0" w:color="auto"/>
              <w:right w:val="single" w:sz="4" w:space="0" w:color="auto"/>
            </w:tcBorders>
            <w:shd w:val="clear" w:color="auto" w:fill="auto"/>
            <w:noWrap/>
            <w:vAlign w:val="center"/>
            <w:hideMark/>
          </w:tcPr>
          <w:p w14:paraId="26A7F720"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4" w:space="0" w:color="auto"/>
              <w:right w:val="single" w:sz="4" w:space="0" w:color="auto"/>
            </w:tcBorders>
            <w:shd w:val="clear" w:color="auto" w:fill="auto"/>
            <w:noWrap/>
            <w:vAlign w:val="center"/>
            <w:hideMark/>
          </w:tcPr>
          <w:p w14:paraId="14C04EB5"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19522.5</w:t>
            </w:r>
          </w:p>
        </w:tc>
        <w:tc>
          <w:tcPr>
            <w:tcW w:w="960" w:type="dxa"/>
            <w:tcBorders>
              <w:top w:val="nil"/>
              <w:left w:val="nil"/>
              <w:bottom w:val="single" w:sz="4" w:space="0" w:color="auto"/>
              <w:right w:val="single" w:sz="4" w:space="0" w:color="auto"/>
            </w:tcBorders>
            <w:shd w:val="clear" w:color="auto" w:fill="auto"/>
            <w:noWrap/>
            <w:vAlign w:val="center"/>
            <w:hideMark/>
          </w:tcPr>
          <w:p w14:paraId="3098458E"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2063.5</w:t>
            </w:r>
          </w:p>
        </w:tc>
        <w:tc>
          <w:tcPr>
            <w:tcW w:w="960" w:type="dxa"/>
            <w:tcBorders>
              <w:top w:val="nil"/>
              <w:left w:val="nil"/>
              <w:bottom w:val="single" w:sz="4" w:space="0" w:color="auto"/>
              <w:right w:val="single" w:sz="4" w:space="0" w:color="auto"/>
            </w:tcBorders>
            <w:shd w:val="clear" w:color="auto" w:fill="auto"/>
            <w:noWrap/>
            <w:vAlign w:val="center"/>
            <w:hideMark/>
          </w:tcPr>
          <w:p w14:paraId="5CB11D38"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7394.4</w:t>
            </w:r>
          </w:p>
        </w:tc>
        <w:tc>
          <w:tcPr>
            <w:tcW w:w="960" w:type="dxa"/>
            <w:tcBorders>
              <w:top w:val="nil"/>
              <w:left w:val="nil"/>
              <w:bottom w:val="single" w:sz="4" w:space="0" w:color="auto"/>
              <w:right w:val="single" w:sz="4" w:space="0" w:color="auto"/>
            </w:tcBorders>
            <w:shd w:val="clear" w:color="auto" w:fill="auto"/>
            <w:noWrap/>
            <w:vAlign w:val="center"/>
            <w:hideMark/>
          </w:tcPr>
          <w:p w14:paraId="11BAD5DF"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214971" w:rsidRPr="00191ACB" w14:paraId="43A976C6" w14:textId="77777777" w:rsidTr="005C7EBE">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82B659"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2014</w:t>
            </w:r>
          </w:p>
        </w:tc>
        <w:tc>
          <w:tcPr>
            <w:tcW w:w="960" w:type="dxa"/>
            <w:tcBorders>
              <w:top w:val="nil"/>
              <w:left w:val="nil"/>
              <w:bottom w:val="single" w:sz="4" w:space="0" w:color="auto"/>
              <w:right w:val="single" w:sz="4" w:space="0" w:color="auto"/>
            </w:tcBorders>
            <w:shd w:val="clear" w:color="auto" w:fill="auto"/>
            <w:noWrap/>
            <w:vAlign w:val="center"/>
            <w:hideMark/>
          </w:tcPr>
          <w:p w14:paraId="009A3F44"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1744.5</w:t>
            </w:r>
          </w:p>
        </w:tc>
        <w:tc>
          <w:tcPr>
            <w:tcW w:w="960" w:type="dxa"/>
            <w:tcBorders>
              <w:top w:val="nil"/>
              <w:left w:val="nil"/>
              <w:bottom w:val="single" w:sz="4" w:space="0" w:color="auto"/>
              <w:right w:val="single" w:sz="4" w:space="0" w:color="auto"/>
            </w:tcBorders>
            <w:shd w:val="clear" w:color="auto" w:fill="auto"/>
            <w:noWrap/>
            <w:vAlign w:val="center"/>
            <w:hideMark/>
          </w:tcPr>
          <w:p w14:paraId="3879B965"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3194.2</w:t>
            </w:r>
          </w:p>
        </w:tc>
        <w:tc>
          <w:tcPr>
            <w:tcW w:w="960" w:type="dxa"/>
            <w:tcBorders>
              <w:top w:val="nil"/>
              <w:left w:val="nil"/>
              <w:bottom w:val="single" w:sz="4" w:space="0" w:color="auto"/>
              <w:right w:val="single" w:sz="4" w:space="0" w:color="auto"/>
            </w:tcBorders>
            <w:shd w:val="clear" w:color="auto" w:fill="auto"/>
            <w:noWrap/>
            <w:vAlign w:val="center"/>
            <w:hideMark/>
          </w:tcPr>
          <w:p w14:paraId="30CA192E"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4" w:space="0" w:color="auto"/>
              <w:right w:val="single" w:sz="4" w:space="0" w:color="auto"/>
            </w:tcBorders>
            <w:shd w:val="clear" w:color="auto" w:fill="auto"/>
            <w:noWrap/>
            <w:vAlign w:val="center"/>
            <w:hideMark/>
          </w:tcPr>
          <w:p w14:paraId="5434D592"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20083.8</w:t>
            </w:r>
          </w:p>
        </w:tc>
        <w:tc>
          <w:tcPr>
            <w:tcW w:w="960" w:type="dxa"/>
            <w:tcBorders>
              <w:top w:val="nil"/>
              <w:left w:val="nil"/>
              <w:bottom w:val="single" w:sz="4" w:space="0" w:color="auto"/>
              <w:right w:val="single" w:sz="4" w:space="0" w:color="auto"/>
            </w:tcBorders>
            <w:shd w:val="clear" w:color="auto" w:fill="auto"/>
            <w:noWrap/>
            <w:vAlign w:val="center"/>
            <w:hideMark/>
          </w:tcPr>
          <w:p w14:paraId="09F23668"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2122.9</w:t>
            </w:r>
          </w:p>
        </w:tc>
        <w:tc>
          <w:tcPr>
            <w:tcW w:w="960" w:type="dxa"/>
            <w:tcBorders>
              <w:top w:val="nil"/>
              <w:left w:val="nil"/>
              <w:bottom w:val="single" w:sz="4" w:space="0" w:color="auto"/>
              <w:right w:val="single" w:sz="4" w:space="0" w:color="auto"/>
            </w:tcBorders>
            <w:shd w:val="clear" w:color="auto" w:fill="auto"/>
            <w:noWrap/>
            <w:vAlign w:val="center"/>
            <w:hideMark/>
          </w:tcPr>
          <w:p w14:paraId="2C1DEAA1"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7607</w:t>
            </w:r>
          </w:p>
        </w:tc>
        <w:tc>
          <w:tcPr>
            <w:tcW w:w="960" w:type="dxa"/>
            <w:tcBorders>
              <w:top w:val="nil"/>
              <w:left w:val="nil"/>
              <w:bottom w:val="single" w:sz="4" w:space="0" w:color="auto"/>
              <w:right w:val="single" w:sz="4" w:space="0" w:color="auto"/>
            </w:tcBorders>
            <w:shd w:val="clear" w:color="auto" w:fill="auto"/>
            <w:noWrap/>
            <w:vAlign w:val="center"/>
            <w:hideMark/>
          </w:tcPr>
          <w:p w14:paraId="12BEFAD5"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214971" w:rsidRPr="00191ACB" w14:paraId="2459912B" w14:textId="77777777" w:rsidTr="005C7EBE">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73E6903"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960" w:type="dxa"/>
            <w:tcBorders>
              <w:top w:val="nil"/>
              <w:left w:val="nil"/>
              <w:bottom w:val="single" w:sz="4" w:space="0" w:color="auto"/>
              <w:right w:val="single" w:sz="4" w:space="0" w:color="auto"/>
            </w:tcBorders>
            <w:shd w:val="clear" w:color="auto" w:fill="auto"/>
            <w:noWrap/>
            <w:vAlign w:val="center"/>
            <w:hideMark/>
          </w:tcPr>
          <w:p w14:paraId="104F8530"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1794.8</w:t>
            </w:r>
          </w:p>
        </w:tc>
        <w:tc>
          <w:tcPr>
            <w:tcW w:w="960" w:type="dxa"/>
            <w:tcBorders>
              <w:top w:val="nil"/>
              <w:left w:val="nil"/>
              <w:bottom w:val="single" w:sz="4" w:space="0" w:color="auto"/>
              <w:right w:val="single" w:sz="4" w:space="0" w:color="auto"/>
            </w:tcBorders>
            <w:shd w:val="clear" w:color="auto" w:fill="auto"/>
            <w:noWrap/>
            <w:vAlign w:val="center"/>
            <w:hideMark/>
          </w:tcPr>
          <w:p w14:paraId="55B547E5"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3286.3</w:t>
            </w:r>
          </w:p>
        </w:tc>
        <w:tc>
          <w:tcPr>
            <w:tcW w:w="960" w:type="dxa"/>
            <w:tcBorders>
              <w:top w:val="nil"/>
              <w:left w:val="nil"/>
              <w:bottom w:val="single" w:sz="4" w:space="0" w:color="auto"/>
              <w:right w:val="single" w:sz="4" w:space="0" w:color="auto"/>
            </w:tcBorders>
            <w:shd w:val="clear" w:color="auto" w:fill="auto"/>
            <w:noWrap/>
            <w:vAlign w:val="center"/>
            <w:hideMark/>
          </w:tcPr>
          <w:p w14:paraId="269404A5"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4" w:space="0" w:color="auto"/>
              <w:right w:val="single" w:sz="4" w:space="0" w:color="auto"/>
            </w:tcBorders>
            <w:shd w:val="clear" w:color="auto" w:fill="auto"/>
            <w:noWrap/>
            <w:vAlign w:val="center"/>
            <w:hideMark/>
          </w:tcPr>
          <w:p w14:paraId="1782E95D"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20663.3</w:t>
            </w:r>
          </w:p>
        </w:tc>
        <w:tc>
          <w:tcPr>
            <w:tcW w:w="960" w:type="dxa"/>
            <w:tcBorders>
              <w:top w:val="nil"/>
              <w:left w:val="nil"/>
              <w:bottom w:val="single" w:sz="4" w:space="0" w:color="auto"/>
              <w:right w:val="single" w:sz="4" w:space="0" w:color="auto"/>
            </w:tcBorders>
            <w:shd w:val="clear" w:color="auto" w:fill="auto"/>
            <w:noWrap/>
            <w:vAlign w:val="center"/>
            <w:hideMark/>
          </w:tcPr>
          <w:p w14:paraId="143F49D6"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2184.1</w:t>
            </w:r>
          </w:p>
        </w:tc>
        <w:tc>
          <w:tcPr>
            <w:tcW w:w="960" w:type="dxa"/>
            <w:tcBorders>
              <w:top w:val="nil"/>
              <w:left w:val="nil"/>
              <w:bottom w:val="single" w:sz="4" w:space="0" w:color="auto"/>
              <w:right w:val="single" w:sz="4" w:space="0" w:color="auto"/>
            </w:tcBorders>
            <w:shd w:val="clear" w:color="auto" w:fill="auto"/>
            <w:noWrap/>
            <w:vAlign w:val="center"/>
            <w:hideMark/>
          </w:tcPr>
          <w:p w14:paraId="5B00614B"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7826.5</w:t>
            </w:r>
          </w:p>
        </w:tc>
        <w:tc>
          <w:tcPr>
            <w:tcW w:w="960" w:type="dxa"/>
            <w:tcBorders>
              <w:top w:val="nil"/>
              <w:left w:val="nil"/>
              <w:bottom w:val="single" w:sz="4" w:space="0" w:color="auto"/>
              <w:right w:val="single" w:sz="4" w:space="0" w:color="auto"/>
            </w:tcBorders>
            <w:shd w:val="clear" w:color="auto" w:fill="auto"/>
            <w:noWrap/>
            <w:vAlign w:val="center"/>
            <w:hideMark/>
          </w:tcPr>
          <w:p w14:paraId="38A1702F"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r w:rsidR="00214971" w:rsidRPr="00191ACB" w14:paraId="4CE70B2A" w14:textId="77777777" w:rsidTr="005C7EBE">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22ED26"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2016</w:t>
            </w:r>
          </w:p>
        </w:tc>
        <w:tc>
          <w:tcPr>
            <w:tcW w:w="960" w:type="dxa"/>
            <w:tcBorders>
              <w:top w:val="nil"/>
              <w:left w:val="nil"/>
              <w:bottom w:val="single" w:sz="4" w:space="0" w:color="auto"/>
              <w:right w:val="single" w:sz="4" w:space="0" w:color="auto"/>
            </w:tcBorders>
            <w:shd w:val="clear" w:color="auto" w:fill="auto"/>
            <w:noWrap/>
            <w:vAlign w:val="center"/>
            <w:hideMark/>
          </w:tcPr>
          <w:p w14:paraId="25F08C12"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1801</w:t>
            </w:r>
          </w:p>
        </w:tc>
        <w:tc>
          <w:tcPr>
            <w:tcW w:w="960" w:type="dxa"/>
            <w:tcBorders>
              <w:top w:val="nil"/>
              <w:left w:val="nil"/>
              <w:bottom w:val="single" w:sz="4" w:space="0" w:color="auto"/>
              <w:right w:val="single" w:sz="4" w:space="0" w:color="auto"/>
            </w:tcBorders>
            <w:shd w:val="clear" w:color="auto" w:fill="auto"/>
            <w:noWrap/>
            <w:vAlign w:val="center"/>
            <w:hideMark/>
          </w:tcPr>
          <w:p w14:paraId="183A4A09"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3297.6</w:t>
            </w:r>
          </w:p>
        </w:tc>
        <w:tc>
          <w:tcPr>
            <w:tcW w:w="960" w:type="dxa"/>
            <w:tcBorders>
              <w:top w:val="nil"/>
              <w:left w:val="nil"/>
              <w:bottom w:val="single" w:sz="4" w:space="0" w:color="auto"/>
              <w:right w:val="single" w:sz="4" w:space="0" w:color="auto"/>
            </w:tcBorders>
            <w:shd w:val="clear" w:color="auto" w:fill="auto"/>
            <w:noWrap/>
            <w:vAlign w:val="center"/>
            <w:hideMark/>
          </w:tcPr>
          <w:p w14:paraId="0F36F74A"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960" w:type="dxa"/>
            <w:tcBorders>
              <w:top w:val="nil"/>
              <w:left w:val="nil"/>
              <w:bottom w:val="single" w:sz="4" w:space="0" w:color="auto"/>
              <w:right w:val="single" w:sz="4" w:space="0" w:color="auto"/>
            </w:tcBorders>
            <w:shd w:val="clear" w:color="auto" w:fill="auto"/>
            <w:noWrap/>
            <w:vAlign w:val="center"/>
            <w:hideMark/>
          </w:tcPr>
          <w:p w14:paraId="4AB99851"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20734</w:t>
            </w:r>
          </w:p>
        </w:tc>
        <w:tc>
          <w:tcPr>
            <w:tcW w:w="960" w:type="dxa"/>
            <w:tcBorders>
              <w:top w:val="nil"/>
              <w:left w:val="nil"/>
              <w:bottom w:val="single" w:sz="4" w:space="0" w:color="auto"/>
              <w:right w:val="single" w:sz="4" w:space="0" w:color="auto"/>
            </w:tcBorders>
            <w:shd w:val="clear" w:color="auto" w:fill="auto"/>
            <w:noWrap/>
            <w:vAlign w:val="center"/>
            <w:hideMark/>
          </w:tcPr>
          <w:p w14:paraId="4D152B60"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2191.6</w:t>
            </w:r>
          </w:p>
        </w:tc>
        <w:tc>
          <w:tcPr>
            <w:tcW w:w="960" w:type="dxa"/>
            <w:tcBorders>
              <w:top w:val="nil"/>
              <w:left w:val="nil"/>
              <w:bottom w:val="single" w:sz="4" w:space="0" w:color="auto"/>
              <w:right w:val="single" w:sz="4" w:space="0" w:color="auto"/>
            </w:tcBorders>
            <w:shd w:val="clear" w:color="auto" w:fill="auto"/>
            <w:noWrap/>
            <w:vAlign w:val="center"/>
            <w:hideMark/>
          </w:tcPr>
          <w:p w14:paraId="402DD472"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7853.4</w:t>
            </w:r>
          </w:p>
        </w:tc>
        <w:tc>
          <w:tcPr>
            <w:tcW w:w="960" w:type="dxa"/>
            <w:tcBorders>
              <w:top w:val="nil"/>
              <w:left w:val="nil"/>
              <w:bottom w:val="single" w:sz="4" w:space="0" w:color="auto"/>
              <w:right w:val="single" w:sz="4" w:space="0" w:color="auto"/>
            </w:tcBorders>
            <w:shd w:val="clear" w:color="auto" w:fill="auto"/>
            <w:noWrap/>
            <w:vAlign w:val="center"/>
            <w:hideMark/>
          </w:tcPr>
          <w:p w14:paraId="393BF9B3"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r>
    </w:tbl>
    <w:p w14:paraId="56A41A81" w14:textId="77777777" w:rsidR="00214971" w:rsidRPr="00191ACB" w:rsidRDefault="00214971" w:rsidP="00214971">
      <w:pPr>
        <w:pStyle w:val="NoSpacing"/>
        <w:rPr>
          <w:rFonts w:ascii="Times New Roman" w:hAnsi="Times New Roman" w:cs="Times New Roman"/>
          <w:color w:val="000000" w:themeColor="text1"/>
          <w:sz w:val="24"/>
          <w:szCs w:val="24"/>
        </w:rPr>
      </w:pPr>
    </w:p>
    <w:p w14:paraId="0FDC52FB" w14:textId="219EC4B6" w:rsidR="00FC4FC5" w:rsidRPr="00191ACB" w:rsidRDefault="00214971"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load </w:t>
      </w:r>
      <w:r w:rsidR="005836CF" w:rsidRPr="00191ACB">
        <w:rPr>
          <w:rFonts w:ascii="Times New Roman" w:hAnsi="Times New Roman" w:cs="Times New Roman"/>
          <w:color w:val="000000" w:themeColor="text1"/>
          <w:sz w:val="24"/>
          <w:szCs w:val="24"/>
        </w:rPr>
        <w:t>management</w:t>
      </w:r>
      <w:r w:rsidRPr="00191ACB">
        <w:rPr>
          <w:rFonts w:ascii="Times New Roman" w:hAnsi="Times New Roman" w:cs="Times New Roman"/>
          <w:color w:val="000000" w:themeColor="text1"/>
          <w:sz w:val="24"/>
          <w:szCs w:val="24"/>
        </w:rPr>
        <w:t xml:space="preserve"> experienced in 2014 to 2015 also affected the trends of removals upwards. Forest woodland and Other wooded land has the highest removals with the least observed in Dry deciduous Forest and Moist Evergreen. </w:t>
      </w:r>
      <w:r w:rsidR="008A21F3" w:rsidRPr="00191ACB">
        <w:rPr>
          <w:rFonts w:ascii="Times New Roman" w:hAnsi="Times New Roman" w:cs="Times New Roman"/>
          <w:color w:val="000000" w:themeColor="text1"/>
          <w:sz w:val="24"/>
          <w:szCs w:val="24"/>
        </w:rPr>
        <w:t>However,</w:t>
      </w:r>
      <w:r w:rsidRPr="00191ACB">
        <w:rPr>
          <w:rFonts w:ascii="Times New Roman" w:hAnsi="Times New Roman" w:cs="Times New Roman"/>
          <w:color w:val="000000" w:themeColor="text1"/>
          <w:sz w:val="24"/>
          <w:szCs w:val="24"/>
        </w:rPr>
        <w:t xml:space="preserve"> no significant change was observed in both the Pine and Eucalyptus plantations for the period under review. It may be noted that the plantation species, commonly Pine and Eucalyptus are not preferred in fuel wood production. On the other hand, the general overview of the trend shows that there has been an increase in the overall fuel wood removals across the various forest subcategories. </w:t>
      </w:r>
    </w:p>
    <w:p w14:paraId="42B52615" w14:textId="77777777" w:rsidR="00FC4FC5" w:rsidRPr="00191ACB" w:rsidRDefault="00FC4FC5" w:rsidP="005E626A">
      <w:pPr>
        <w:spacing w:before="240" w:after="120" w:line="240" w:lineRule="auto"/>
        <w:jc w:val="both"/>
        <w:rPr>
          <w:rFonts w:ascii="Times New Roman" w:hAnsi="Times New Roman" w:cs="Times New Roman"/>
          <w:color w:val="000000" w:themeColor="text1"/>
          <w:sz w:val="24"/>
          <w:szCs w:val="24"/>
        </w:rPr>
      </w:pPr>
    </w:p>
    <w:p w14:paraId="53CD677F" w14:textId="77777777" w:rsidR="00214971" w:rsidRPr="00191ACB" w:rsidRDefault="00214971" w:rsidP="005E626A">
      <w:pPr>
        <w:pStyle w:val="NoSpacing"/>
        <w:spacing w:after="120"/>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 xml:space="preserve">Trends in Disturbances </w:t>
      </w:r>
    </w:p>
    <w:p w14:paraId="17FC926A" w14:textId="5559A140" w:rsidR="002D2918" w:rsidRPr="00191ACB" w:rsidRDefault="00214971"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Disturbances </w:t>
      </w:r>
      <w:r w:rsidR="005836CF" w:rsidRPr="00191ACB">
        <w:rPr>
          <w:rFonts w:ascii="Times New Roman" w:hAnsi="Times New Roman" w:cs="Times New Roman"/>
          <w:color w:val="000000" w:themeColor="text1"/>
          <w:sz w:val="24"/>
          <w:szCs w:val="24"/>
        </w:rPr>
        <w:t xml:space="preserve">are </w:t>
      </w:r>
      <w:r w:rsidRPr="00191ACB">
        <w:rPr>
          <w:rFonts w:ascii="Times New Roman" w:hAnsi="Times New Roman" w:cs="Times New Roman"/>
          <w:color w:val="000000" w:themeColor="text1"/>
          <w:sz w:val="24"/>
          <w:szCs w:val="24"/>
        </w:rPr>
        <w:t>identified as areas affected by late burning for various reasons such as use of fire for land preparation</w:t>
      </w:r>
      <w:r w:rsidR="005836CF" w:rsidRPr="00191ACB">
        <w:rPr>
          <w:rFonts w:ascii="Times New Roman" w:hAnsi="Times New Roman" w:cs="Times New Roman"/>
          <w:color w:val="000000" w:themeColor="text1"/>
          <w:sz w:val="24"/>
          <w:szCs w:val="24"/>
        </w:rPr>
        <w:t xml:space="preserve"> while e</w:t>
      </w:r>
      <w:r w:rsidRPr="00191ACB">
        <w:rPr>
          <w:rFonts w:ascii="Times New Roman" w:hAnsi="Times New Roman" w:cs="Times New Roman"/>
          <w:color w:val="000000" w:themeColor="text1"/>
          <w:sz w:val="24"/>
          <w:szCs w:val="24"/>
        </w:rPr>
        <w:t xml:space="preserve">arly burning </w:t>
      </w:r>
      <w:r w:rsidR="005836CF" w:rsidRPr="00191ACB">
        <w:rPr>
          <w:rFonts w:ascii="Times New Roman" w:hAnsi="Times New Roman" w:cs="Times New Roman"/>
          <w:color w:val="000000" w:themeColor="text1"/>
          <w:sz w:val="24"/>
          <w:szCs w:val="24"/>
        </w:rPr>
        <w:t>i</w:t>
      </w:r>
      <w:r w:rsidRPr="00191ACB">
        <w:rPr>
          <w:rFonts w:ascii="Times New Roman" w:hAnsi="Times New Roman" w:cs="Times New Roman"/>
          <w:color w:val="000000" w:themeColor="text1"/>
          <w:sz w:val="24"/>
          <w:szCs w:val="24"/>
        </w:rPr>
        <w:t xml:space="preserve">s classified as a management practice. The two burning regimes are normally conducted from May-July and August-October for early burning and late burning respectively. In the period under review, the areas included under disturbances </w:t>
      </w:r>
      <w:r w:rsidR="005836CF" w:rsidRPr="00191ACB">
        <w:rPr>
          <w:rFonts w:ascii="Times New Roman" w:hAnsi="Times New Roman" w:cs="Times New Roman"/>
          <w:color w:val="000000" w:themeColor="text1"/>
          <w:sz w:val="24"/>
          <w:szCs w:val="24"/>
        </w:rPr>
        <w:t>we</w:t>
      </w:r>
      <w:r w:rsidRPr="00191ACB">
        <w:rPr>
          <w:rFonts w:ascii="Times New Roman" w:hAnsi="Times New Roman" w:cs="Times New Roman"/>
          <w:color w:val="000000" w:themeColor="text1"/>
          <w:sz w:val="24"/>
          <w:szCs w:val="24"/>
        </w:rPr>
        <w:t>re; forests, grasslands and settlements. The general trend in disturbance in the forest indicate</w:t>
      </w:r>
      <w:r w:rsidR="005836CF" w:rsidRPr="00191ACB">
        <w:rPr>
          <w:rFonts w:ascii="Times New Roman" w:hAnsi="Times New Roman" w:cs="Times New Roman"/>
          <w:color w:val="000000" w:themeColor="text1"/>
          <w:sz w:val="24"/>
          <w:szCs w:val="24"/>
        </w:rPr>
        <w:t>d</w:t>
      </w:r>
      <w:r w:rsidRPr="00191ACB">
        <w:rPr>
          <w:rFonts w:ascii="Times New Roman" w:hAnsi="Times New Roman" w:cs="Times New Roman"/>
          <w:color w:val="000000" w:themeColor="text1"/>
          <w:sz w:val="24"/>
          <w:szCs w:val="24"/>
        </w:rPr>
        <w:t xml:space="preserve"> a downward trend from 2011 to 2014 with a sudden rise in 2015 and 2016 as shown in Figure </w:t>
      </w:r>
      <w:r w:rsidR="001512D9" w:rsidRPr="00191ACB">
        <w:rPr>
          <w:rFonts w:ascii="Times New Roman" w:hAnsi="Times New Roman" w:cs="Times New Roman"/>
          <w:color w:val="000000" w:themeColor="text1"/>
          <w:sz w:val="24"/>
          <w:szCs w:val="24"/>
        </w:rPr>
        <w:t>3.27</w:t>
      </w:r>
      <w:r w:rsidRPr="00191ACB">
        <w:rPr>
          <w:rFonts w:ascii="Times New Roman" w:hAnsi="Times New Roman" w:cs="Times New Roman"/>
          <w:color w:val="000000" w:themeColor="text1"/>
          <w:sz w:val="24"/>
          <w:szCs w:val="24"/>
        </w:rPr>
        <w:t xml:space="preserve">.  </w:t>
      </w:r>
    </w:p>
    <w:p w14:paraId="7E1306BE" w14:textId="77777777" w:rsidR="00214971" w:rsidRPr="00191ACB" w:rsidRDefault="00214971" w:rsidP="005E626A">
      <w:pPr>
        <w:pStyle w:val="NoSpacing"/>
        <w:spacing w:after="120"/>
        <w:jc w:val="both"/>
        <w:rPr>
          <w:rFonts w:ascii="Times New Roman" w:hAnsi="Times New Roman" w:cs="Times New Roman"/>
          <w:color w:val="000000" w:themeColor="text1"/>
          <w:sz w:val="24"/>
          <w:szCs w:val="24"/>
        </w:rPr>
      </w:pPr>
    </w:p>
    <w:p w14:paraId="3AF6B204" w14:textId="72AECB60" w:rsidR="00214971" w:rsidRPr="00191ACB" w:rsidRDefault="00214971" w:rsidP="00214971">
      <w:pPr>
        <w:pStyle w:val="NoSpacing"/>
        <w:rPr>
          <w:rFonts w:ascii="Times New Roman" w:hAnsi="Times New Roman" w:cs="Times New Roman"/>
          <w:color w:val="000000" w:themeColor="text1"/>
          <w:sz w:val="24"/>
          <w:szCs w:val="24"/>
        </w:rPr>
      </w:pPr>
      <w:r w:rsidRPr="00182B0C">
        <w:rPr>
          <w:rFonts w:ascii="Times New Roman" w:hAnsi="Times New Roman" w:cs="Times New Roman"/>
          <w:noProof/>
          <w:color w:val="000000" w:themeColor="text1"/>
          <w:sz w:val="24"/>
          <w:szCs w:val="24"/>
          <w:bdr w:val="single" w:sz="4" w:space="0" w:color="auto"/>
          <w:lang w:val="en-GB" w:eastAsia="en-GB"/>
        </w:rPr>
        <w:lastRenderedPageBreak/>
        <w:drawing>
          <wp:inline distT="114300" distB="114300" distL="114300" distR="114300" wp14:anchorId="27E78D9A" wp14:editId="2B3D7F06">
            <wp:extent cx="5022000" cy="2372400"/>
            <wp:effectExtent l="0" t="0" r="7620" b="8890"/>
            <wp:docPr id="18"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rotWithShape="1">
                    <a:blip r:embed="rId60"/>
                    <a:srcRect t="10948"/>
                    <a:stretch/>
                  </pic:blipFill>
                  <pic:spPr bwMode="auto">
                    <a:xfrm>
                      <a:off x="0" y="0"/>
                      <a:ext cx="5022000" cy="2372400"/>
                    </a:xfrm>
                    <a:prstGeom prst="rect">
                      <a:avLst/>
                    </a:prstGeom>
                    <a:ln>
                      <a:noFill/>
                    </a:ln>
                    <a:extLst>
                      <a:ext uri="{53640926-AAD7-44D8-BBD7-CCE9431645EC}">
                        <a14:shadowObscured xmlns:a14="http://schemas.microsoft.com/office/drawing/2010/main"/>
                      </a:ext>
                    </a:extLst>
                  </pic:spPr>
                </pic:pic>
              </a:graphicData>
            </a:graphic>
          </wp:inline>
        </w:drawing>
      </w:r>
    </w:p>
    <w:p w14:paraId="00919C5B" w14:textId="60DF4F66" w:rsidR="000E11A3" w:rsidRPr="00191ACB" w:rsidRDefault="000E11A3" w:rsidP="000E11A3">
      <w:pPr>
        <w:pStyle w:val="Caption"/>
        <w:rPr>
          <w:color w:val="000000" w:themeColor="text1"/>
          <w:sz w:val="24"/>
          <w:szCs w:val="24"/>
        </w:rPr>
      </w:pPr>
      <w:bookmarkStart w:id="217" w:name="_Toc56583872"/>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27</w:t>
      </w:r>
      <w:r w:rsidR="009D481C">
        <w:rPr>
          <w:sz w:val="24"/>
          <w:szCs w:val="24"/>
        </w:rPr>
        <w:fldChar w:fldCharType="end"/>
      </w:r>
      <w:r w:rsidRPr="00191ACB">
        <w:rPr>
          <w:sz w:val="24"/>
          <w:szCs w:val="24"/>
        </w:rPr>
        <w:t>:Trend in disturbance in Forests</w:t>
      </w:r>
      <w:bookmarkEnd w:id="217"/>
    </w:p>
    <w:p w14:paraId="28D81B8A" w14:textId="4C308996" w:rsidR="00214971" w:rsidRPr="00191ACB" w:rsidRDefault="00214971"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Dry Deciduous Forest indicates a gentle rise i</w:t>
      </w:r>
      <w:r w:rsidR="006C63DB" w:rsidRPr="00191ACB">
        <w:rPr>
          <w:rFonts w:ascii="Times New Roman" w:hAnsi="Times New Roman" w:cs="Times New Roman"/>
          <w:color w:val="000000" w:themeColor="text1"/>
          <w:sz w:val="24"/>
          <w:szCs w:val="24"/>
        </w:rPr>
        <w:t xml:space="preserve">n disturbance from 2011 to 2016. </w:t>
      </w:r>
      <w:r w:rsidRPr="00191ACB">
        <w:rPr>
          <w:rFonts w:ascii="Times New Roman" w:hAnsi="Times New Roman" w:cs="Times New Roman"/>
          <w:color w:val="000000" w:themeColor="text1"/>
          <w:sz w:val="24"/>
          <w:szCs w:val="24"/>
        </w:rPr>
        <w:t xml:space="preserve">This sub category comprises the </w:t>
      </w:r>
      <w:r w:rsidRPr="009462B1">
        <w:rPr>
          <w:rFonts w:ascii="Times New Roman" w:hAnsi="Times New Roman" w:cs="Times New Roman"/>
          <w:i/>
          <w:iCs/>
          <w:color w:val="000000" w:themeColor="text1"/>
          <w:sz w:val="24"/>
          <w:szCs w:val="24"/>
        </w:rPr>
        <w:t>Baikiaea</w:t>
      </w:r>
      <w:r w:rsidRPr="00191ACB">
        <w:rPr>
          <w:rFonts w:ascii="Times New Roman" w:hAnsi="Times New Roman" w:cs="Times New Roman"/>
          <w:color w:val="000000" w:themeColor="text1"/>
          <w:sz w:val="24"/>
          <w:szCs w:val="24"/>
        </w:rPr>
        <w:t xml:space="preserve"> and deciduous thickets, which shed leaves annually and more susceptible to burning, especially in the late dry season. Dry Evergreen Forest show</w:t>
      </w:r>
      <w:r w:rsidR="00AE1FB3" w:rsidRPr="00191ACB">
        <w:rPr>
          <w:rFonts w:ascii="Times New Roman" w:hAnsi="Times New Roman" w:cs="Times New Roman"/>
          <w:color w:val="000000" w:themeColor="text1"/>
          <w:sz w:val="24"/>
          <w:szCs w:val="24"/>
        </w:rPr>
        <w:t>ed</w:t>
      </w:r>
      <w:r w:rsidRPr="00191ACB">
        <w:rPr>
          <w:rFonts w:ascii="Times New Roman" w:hAnsi="Times New Roman" w:cs="Times New Roman"/>
          <w:color w:val="000000" w:themeColor="text1"/>
          <w:sz w:val="24"/>
          <w:szCs w:val="24"/>
        </w:rPr>
        <w:t xml:space="preserve"> a downward trend in disturbance during the reporting period. This forest type is dominated by </w:t>
      </w:r>
      <w:r w:rsidRPr="009462B1">
        <w:rPr>
          <w:rFonts w:ascii="Times New Roman" w:hAnsi="Times New Roman" w:cs="Times New Roman"/>
          <w:i/>
          <w:iCs/>
          <w:color w:val="000000" w:themeColor="text1"/>
          <w:sz w:val="24"/>
          <w:szCs w:val="24"/>
        </w:rPr>
        <w:t>Parinari</w:t>
      </w:r>
      <w:r w:rsidRPr="00191ACB">
        <w:rPr>
          <w:rFonts w:ascii="Times New Roman" w:hAnsi="Times New Roman" w:cs="Times New Roman"/>
          <w:color w:val="000000" w:themeColor="text1"/>
          <w:sz w:val="24"/>
          <w:szCs w:val="24"/>
        </w:rPr>
        <w:t xml:space="preserve">, </w:t>
      </w:r>
      <w:r w:rsidRPr="009462B1">
        <w:rPr>
          <w:rFonts w:ascii="Times New Roman" w:hAnsi="Times New Roman" w:cs="Times New Roman"/>
          <w:i/>
          <w:iCs/>
          <w:color w:val="000000" w:themeColor="text1"/>
          <w:sz w:val="24"/>
          <w:szCs w:val="24"/>
        </w:rPr>
        <w:t>Marquesia,</w:t>
      </w:r>
      <w:r w:rsidRPr="00191ACB">
        <w:rPr>
          <w:rFonts w:ascii="Times New Roman" w:hAnsi="Times New Roman" w:cs="Times New Roman"/>
          <w:color w:val="000000" w:themeColor="text1"/>
          <w:sz w:val="24"/>
          <w:szCs w:val="24"/>
        </w:rPr>
        <w:t xml:space="preserve"> Kalahari sand, Copperbelt Chipya and the lake basin Chipya</w:t>
      </w:r>
      <w:r w:rsidR="006C63DB"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It may be noted that the Chipya woodlands emerge due to consistent disturbance by fire and hence they develop gradual resistance to annual burning.</w:t>
      </w:r>
    </w:p>
    <w:p w14:paraId="05A556D3" w14:textId="5795570A" w:rsidR="00214971" w:rsidRPr="00191ACB" w:rsidRDefault="00214971" w:rsidP="009462B1">
      <w:pPr>
        <w:pStyle w:val="Heading4"/>
        <w:numPr>
          <w:ilvl w:val="3"/>
          <w:numId w:val="36"/>
        </w:numPr>
        <w:ind w:left="851" w:hanging="851"/>
      </w:pPr>
      <w:bookmarkStart w:id="218" w:name="_Toc15311507"/>
      <w:bookmarkStart w:id="219" w:name="_Toc48427328"/>
      <w:r w:rsidRPr="00191ACB">
        <w:t>Crop land</w:t>
      </w:r>
      <w:bookmarkEnd w:id="218"/>
      <w:bookmarkEnd w:id="219"/>
    </w:p>
    <w:p w14:paraId="3300A063" w14:textId="12CD0FE1" w:rsidR="00214971" w:rsidRPr="00191ACB" w:rsidRDefault="00214971"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Emissions from crop land grew from 12,831.0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the base year 1994 to 21,855.7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2016.  During the period under review the total cultivated areas under major crops showed a general expansion between 2011 and 2014 as indicated in Figure </w:t>
      </w:r>
      <w:r w:rsidR="001512D9" w:rsidRPr="00191ACB">
        <w:rPr>
          <w:rFonts w:ascii="Times New Roman" w:hAnsi="Times New Roman" w:cs="Times New Roman"/>
          <w:color w:val="000000" w:themeColor="text1"/>
          <w:sz w:val="24"/>
          <w:szCs w:val="24"/>
        </w:rPr>
        <w:t>3.28</w:t>
      </w:r>
      <w:r w:rsidRPr="00191ACB">
        <w:rPr>
          <w:rFonts w:ascii="Times New Roman" w:hAnsi="Times New Roman" w:cs="Times New Roman"/>
          <w:color w:val="000000" w:themeColor="text1"/>
          <w:sz w:val="24"/>
          <w:szCs w:val="24"/>
        </w:rPr>
        <w:t>. The large area in 2014 (1,856,199ha), which is the highest for the period under revie</w:t>
      </w:r>
      <w:r w:rsidR="00AE1FB3" w:rsidRPr="00191ACB">
        <w:rPr>
          <w:rFonts w:ascii="Times New Roman" w:hAnsi="Times New Roman" w:cs="Times New Roman"/>
          <w:color w:val="000000" w:themeColor="text1"/>
          <w:sz w:val="24"/>
          <w:szCs w:val="24"/>
        </w:rPr>
        <w:t>w</w:t>
      </w:r>
      <w:r w:rsidRPr="00191ACB">
        <w:rPr>
          <w:rFonts w:ascii="Times New Roman" w:hAnsi="Times New Roman" w:cs="Times New Roman"/>
          <w:color w:val="000000" w:themeColor="text1"/>
          <w:sz w:val="24"/>
          <w:szCs w:val="24"/>
        </w:rPr>
        <w:t>, can be attributed to good rainfall in the 2013/14 rain season and increased farming activities in new farm blocks.  In 2015 (1,520,894ha) there was a decrease in cultivated area of 18.1</w:t>
      </w:r>
      <w:r w:rsidR="00AE1FB3"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compared to the previous year. The decrease can be attributed to the extreme weather events in the form of drought experienced in 2015 (World Bank, 2019). In 2016, however, there </w:t>
      </w:r>
      <w:r w:rsidR="00AE1FB3" w:rsidRPr="00191ACB">
        <w:rPr>
          <w:rFonts w:ascii="Times New Roman" w:hAnsi="Times New Roman" w:cs="Times New Roman"/>
          <w:color w:val="000000" w:themeColor="text1"/>
          <w:sz w:val="24"/>
          <w:szCs w:val="24"/>
        </w:rPr>
        <w:t>wa</w:t>
      </w:r>
      <w:r w:rsidRPr="00191ACB">
        <w:rPr>
          <w:rFonts w:ascii="Times New Roman" w:hAnsi="Times New Roman" w:cs="Times New Roman"/>
          <w:color w:val="000000" w:themeColor="text1"/>
          <w:sz w:val="24"/>
          <w:szCs w:val="24"/>
        </w:rPr>
        <w:t>s an increase in cultivated area (1,826,940 ha) which is close to the area recorded in 2014.</w:t>
      </w:r>
    </w:p>
    <w:p w14:paraId="72FCD60E" w14:textId="4767F70B" w:rsidR="00214971" w:rsidRPr="00191ACB" w:rsidRDefault="00214971" w:rsidP="00F04D87">
      <w:pPr>
        <w:spacing w:before="240" w:after="120" w:line="276" w:lineRule="auto"/>
        <w:jc w:val="both"/>
        <w:rPr>
          <w:rFonts w:ascii="Times New Roman" w:eastAsia="Calibri" w:hAnsi="Times New Roman" w:cs="Times New Roman"/>
          <w:color w:val="000000" w:themeColor="text1"/>
          <w:sz w:val="24"/>
          <w:szCs w:val="24"/>
        </w:rPr>
      </w:pPr>
      <w:r w:rsidRPr="00191ACB">
        <w:rPr>
          <w:rFonts w:ascii="Times New Roman" w:hAnsi="Times New Roman" w:cs="Times New Roman"/>
          <w:color w:val="000000" w:themeColor="text1"/>
          <w:sz w:val="24"/>
          <w:szCs w:val="24"/>
        </w:rPr>
        <w:t>Th</w:t>
      </w:r>
      <w:r w:rsidR="007C445E" w:rsidRPr="00191ACB">
        <w:rPr>
          <w:rFonts w:ascii="Times New Roman" w:hAnsi="Times New Roman" w:cs="Times New Roman"/>
          <w:color w:val="000000" w:themeColor="text1"/>
          <w:sz w:val="24"/>
          <w:szCs w:val="24"/>
        </w:rPr>
        <w:t xml:space="preserve">e </w:t>
      </w:r>
      <w:r w:rsidRPr="00191ACB">
        <w:rPr>
          <w:rFonts w:ascii="Times New Roman" w:hAnsi="Times New Roman" w:cs="Times New Roman"/>
          <w:color w:val="000000" w:themeColor="text1"/>
          <w:sz w:val="24"/>
          <w:szCs w:val="24"/>
        </w:rPr>
        <w:t>number of beneficiaries on the Government input support programme</w:t>
      </w:r>
      <w:r w:rsidR="007C445E" w:rsidRPr="00191ACB">
        <w:rPr>
          <w:rFonts w:ascii="Times New Roman" w:hAnsi="Times New Roman" w:cs="Times New Roman"/>
          <w:color w:val="000000" w:themeColor="text1"/>
          <w:sz w:val="24"/>
          <w:szCs w:val="24"/>
        </w:rPr>
        <w:t xml:space="preserve"> increased </w:t>
      </w:r>
      <w:r w:rsidRPr="00191ACB">
        <w:rPr>
          <w:rFonts w:ascii="Times New Roman" w:hAnsi="Times New Roman" w:cs="Times New Roman"/>
          <w:color w:val="000000" w:themeColor="text1"/>
          <w:sz w:val="24"/>
          <w:szCs w:val="24"/>
        </w:rPr>
        <w:t xml:space="preserve">to 1,600,000 in 2016 from  </w:t>
      </w:r>
      <w:r w:rsidRPr="00191ACB">
        <w:rPr>
          <w:rFonts w:ascii="Times New Roman" w:eastAsia="Calibri" w:hAnsi="Times New Roman" w:cs="Times New Roman"/>
          <w:color w:val="000000" w:themeColor="text1"/>
          <w:sz w:val="24"/>
          <w:szCs w:val="24"/>
        </w:rPr>
        <w:t xml:space="preserve"> 1,000,000 in 2015</w:t>
      </w:r>
      <w:r w:rsidRPr="00191ACB">
        <w:rPr>
          <w:rFonts w:ascii="Times New Roman" w:eastAsia="Calibri" w:hAnsi="Times New Roman" w:cs="Times New Roman"/>
          <w:color w:val="000000" w:themeColor="text1"/>
          <w:sz w:val="24"/>
          <w:szCs w:val="24"/>
          <w:shd w:val="clear" w:color="auto" w:fill="DDEBF7"/>
        </w:rPr>
        <w:t>,</w:t>
      </w:r>
      <w:r w:rsidR="007B4855">
        <w:rPr>
          <w:rFonts w:ascii="Times New Roman" w:eastAsia="Calibri" w:hAnsi="Times New Roman" w:cs="Times New Roman"/>
          <w:color w:val="000000" w:themeColor="text1"/>
          <w:sz w:val="24"/>
          <w:szCs w:val="24"/>
          <w:shd w:val="clear" w:color="auto" w:fill="DDEBF7"/>
        </w:rPr>
        <w:t xml:space="preserve"> </w:t>
      </w:r>
      <w:r w:rsidR="00ED7ECC" w:rsidRPr="00191ACB">
        <w:rPr>
          <w:rFonts w:ascii="Times New Roman" w:eastAsia="Calibri" w:hAnsi="Times New Roman" w:cs="Times New Roman"/>
          <w:color w:val="000000" w:themeColor="text1"/>
          <w:sz w:val="24"/>
          <w:szCs w:val="24"/>
        </w:rPr>
        <w:t xml:space="preserve">an increase of 60% </w:t>
      </w:r>
      <w:r w:rsidR="007C445E" w:rsidRPr="00191ACB">
        <w:rPr>
          <w:rFonts w:ascii="Times New Roman" w:eastAsia="Calibri" w:hAnsi="Times New Roman" w:cs="Times New Roman"/>
          <w:color w:val="000000" w:themeColor="text1"/>
          <w:sz w:val="24"/>
          <w:szCs w:val="24"/>
        </w:rPr>
        <w:t xml:space="preserve">(GRZ, 2019) </w:t>
      </w:r>
      <w:r w:rsidR="00ED7ECC" w:rsidRPr="00191ACB">
        <w:rPr>
          <w:rFonts w:ascii="Times New Roman" w:eastAsia="Calibri" w:hAnsi="Times New Roman" w:cs="Times New Roman"/>
          <w:color w:val="000000" w:themeColor="text1"/>
          <w:sz w:val="24"/>
          <w:szCs w:val="24"/>
        </w:rPr>
        <w:t xml:space="preserve">(Figure </w:t>
      </w:r>
      <w:r w:rsidR="001512D9" w:rsidRPr="00191ACB">
        <w:rPr>
          <w:rFonts w:ascii="Times New Roman" w:eastAsia="Calibri" w:hAnsi="Times New Roman" w:cs="Times New Roman"/>
          <w:color w:val="000000" w:themeColor="text1"/>
          <w:sz w:val="24"/>
          <w:szCs w:val="24"/>
        </w:rPr>
        <w:t>3.28)</w:t>
      </w:r>
      <w:r w:rsidRPr="00191ACB">
        <w:rPr>
          <w:rFonts w:ascii="Times New Roman" w:eastAsia="Calibri" w:hAnsi="Times New Roman" w:cs="Times New Roman"/>
          <w:color w:val="000000" w:themeColor="text1"/>
          <w:sz w:val="24"/>
          <w:szCs w:val="24"/>
        </w:rPr>
        <w:t xml:space="preserve">. </w:t>
      </w:r>
    </w:p>
    <w:p w14:paraId="68ACD03E" w14:textId="77777777" w:rsidR="00214971" w:rsidRPr="00191ACB" w:rsidRDefault="00214971" w:rsidP="00214971">
      <w:pPr>
        <w:pStyle w:val="NoSpacing"/>
        <w:rPr>
          <w:rFonts w:ascii="Times New Roman" w:hAnsi="Times New Roman" w:cs="Times New Roman"/>
          <w:color w:val="000000" w:themeColor="text1"/>
          <w:sz w:val="24"/>
          <w:szCs w:val="24"/>
        </w:rPr>
      </w:pPr>
    </w:p>
    <w:p w14:paraId="34D93620" w14:textId="4AB45F33" w:rsidR="00214971" w:rsidRPr="00191ACB" w:rsidRDefault="00214971" w:rsidP="00214971">
      <w:pPr>
        <w:pStyle w:val="NoSpacing"/>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114300" distB="114300" distL="114300" distR="114300" wp14:anchorId="42F450BE" wp14:editId="502BDB7E">
            <wp:extent cx="4431957" cy="2010033"/>
            <wp:effectExtent l="0" t="0" r="6985" b="9525"/>
            <wp:docPr id="30"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61"/>
                    <a:srcRect/>
                    <a:stretch>
                      <a:fillRect/>
                    </a:stretch>
                  </pic:blipFill>
                  <pic:spPr>
                    <a:xfrm>
                      <a:off x="0" y="0"/>
                      <a:ext cx="4436566" cy="2012123"/>
                    </a:xfrm>
                    <a:prstGeom prst="rect">
                      <a:avLst/>
                    </a:prstGeom>
                    <a:ln/>
                  </pic:spPr>
                </pic:pic>
              </a:graphicData>
            </a:graphic>
          </wp:inline>
        </w:drawing>
      </w:r>
    </w:p>
    <w:p w14:paraId="04B4FD8D" w14:textId="092CB647" w:rsidR="000E11A3" w:rsidRPr="00191ACB" w:rsidRDefault="000E11A3" w:rsidP="000E11A3">
      <w:pPr>
        <w:pStyle w:val="Caption"/>
        <w:rPr>
          <w:color w:val="000000" w:themeColor="text1"/>
          <w:sz w:val="24"/>
          <w:szCs w:val="24"/>
        </w:rPr>
      </w:pPr>
      <w:bookmarkStart w:id="220" w:name="_Toc56583873"/>
      <w:r w:rsidRPr="00191ACB">
        <w:rPr>
          <w:sz w:val="24"/>
          <w:szCs w:val="24"/>
        </w:rPr>
        <w:lastRenderedPageBreak/>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28</w:t>
      </w:r>
      <w:r w:rsidR="009D481C">
        <w:rPr>
          <w:sz w:val="24"/>
          <w:szCs w:val="24"/>
        </w:rPr>
        <w:fldChar w:fldCharType="end"/>
      </w:r>
      <w:r w:rsidRPr="00191ACB">
        <w:rPr>
          <w:sz w:val="24"/>
          <w:szCs w:val="24"/>
        </w:rPr>
        <w:t>:Total cropland cultivation trend 2011- 2016</w:t>
      </w:r>
      <w:bookmarkEnd w:id="220"/>
    </w:p>
    <w:p w14:paraId="0BFE36E1" w14:textId="587E51DA" w:rsidR="00214971" w:rsidRPr="00191ACB" w:rsidRDefault="00214971"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A trend analysis of six selected crops (maize, wheat, rice, soybean, groundnuts and sugarcane) shows that in 2014, maize, rice and groundnuts had the highest areas under cultivation for the period under review.  </w:t>
      </w:r>
    </w:p>
    <w:p w14:paraId="42D9E2AD" w14:textId="77777777" w:rsidR="00214971" w:rsidRPr="00191ACB" w:rsidRDefault="00214971" w:rsidP="005E626A">
      <w:pPr>
        <w:pStyle w:val="NoSpacing"/>
        <w:spacing w:after="120"/>
        <w:jc w:val="both"/>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Maize</w:t>
      </w:r>
    </w:p>
    <w:p w14:paraId="3BD9E2DC" w14:textId="7640DDD9" w:rsidR="00214971" w:rsidRPr="00191ACB" w:rsidRDefault="00214971"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Trends in area harvested under maize cultivation decline</w:t>
      </w:r>
      <w:r w:rsidR="000705CB" w:rsidRPr="00191ACB">
        <w:rPr>
          <w:rFonts w:ascii="Times New Roman" w:hAnsi="Times New Roman" w:cs="Times New Roman"/>
          <w:color w:val="000000" w:themeColor="text1"/>
          <w:sz w:val="24"/>
          <w:szCs w:val="24"/>
        </w:rPr>
        <w:t>d</w:t>
      </w:r>
      <w:r w:rsidRPr="00191ACB">
        <w:rPr>
          <w:rFonts w:ascii="Times New Roman" w:hAnsi="Times New Roman" w:cs="Times New Roman"/>
          <w:color w:val="000000" w:themeColor="text1"/>
          <w:sz w:val="24"/>
          <w:szCs w:val="24"/>
        </w:rPr>
        <w:t xml:space="preserve"> from 1,100,000 ha in 2011 to 950,000 ha in 2015.  The </w:t>
      </w:r>
      <w:r w:rsidR="000705CB" w:rsidRPr="00191ACB">
        <w:rPr>
          <w:rFonts w:ascii="Times New Roman" w:hAnsi="Times New Roman" w:cs="Times New Roman"/>
          <w:color w:val="000000" w:themeColor="text1"/>
          <w:sz w:val="24"/>
          <w:szCs w:val="24"/>
        </w:rPr>
        <w:t xml:space="preserve">area </w:t>
      </w:r>
      <w:r w:rsidRPr="00191ACB">
        <w:rPr>
          <w:rFonts w:ascii="Times New Roman" w:hAnsi="Times New Roman" w:cs="Times New Roman"/>
          <w:color w:val="000000" w:themeColor="text1"/>
          <w:sz w:val="24"/>
          <w:szCs w:val="24"/>
        </w:rPr>
        <w:t>cultivat</w:t>
      </w:r>
      <w:r w:rsidR="000705CB" w:rsidRPr="00191ACB">
        <w:rPr>
          <w:rFonts w:ascii="Times New Roman" w:hAnsi="Times New Roman" w:cs="Times New Roman"/>
          <w:color w:val="000000" w:themeColor="text1"/>
          <w:sz w:val="24"/>
          <w:szCs w:val="24"/>
        </w:rPr>
        <w:t>ed was influenced by</w:t>
      </w:r>
      <w:r w:rsidRPr="00191ACB">
        <w:rPr>
          <w:rFonts w:ascii="Times New Roman" w:hAnsi="Times New Roman" w:cs="Times New Roman"/>
          <w:color w:val="000000" w:themeColor="text1"/>
          <w:sz w:val="24"/>
          <w:szCs w:val="24"/>
        </w:rPr>
        <w:t xml:space="preserve"> climat</w:t>
      </w:r>
      <w:r w:rsidR="000705CB" w:rsidRPr="00191ACB">
        <w:rPr>
          <w:rFonts w:ascii="Times New Roman" w:hAnsi="Times New Roman" w:cs="Times New Roman"/>
          <w:color w:val="000000" w:themeColor="text1"/>
          <w:sz w:val="24"/>
          <w:szCs w:val="24"/>
        </w:rPr>
        <w:t>ic factors</w:t>
      </w:r>
      <w:r w:rsidRPr="00191ACB">
        <w:rPr>
          <w:rFonts w:ascii="Times New Roman" w:hAnsi="Times New Roman" w:cs="Times New Roman"/>
          <w:color w:val="000000" w:themeColor="text1"/>
          <w:sz w:val="24"/>
          <w:szCs w:val="24"/>
        </w:rPr>
        <w:t>, markets,</w:t>
      </w:r>
      <w:r w:rsidR="000705CB" w:rsidRPr="00191ACB">
        <w:rPr>
          <w:rFonts w:ascii="Times New Roman" w:hAnsi="Times New Roman" w:cs="Times New Roman"/>
          <w:color w:val="000000" w:themeColor="text1"/>
          <w:sz w:val="24"/>
          <w:szCs w:val="24"/>
        </w:rPr>
        <w:t xml:space="preserve"> cost of</w:t>
      </w:r>
      <w:r w:rsidRPr="00191ACB">
        <w:rPr>
          <w:rFonts w:ascii="Times New Roman" w:hAnsi="Times New Roman" w:cs="Times New Roman"/>
          <w:color w:val="000000" w:themeColor="text1"/>
          <w:sz w:val="24"/>
          <w:szCs w:val="24"/>
        </w:rPr>
        <w:t xml:space="preserve"> inputs</w:t>
      </w:r>
      <w:r w:rsidR="000705CB"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deman</w:t>
      </w:r>
      <w:r w:rsidR="000705CB" w:rsidRPr="00191ACB">
        <w:rPr>
          <w:rFonts w:ascii="Times New Roman" w:hAnsi="Times New Roman" w:cs="Times New Roman"/>
          <w:color w:val="000000" w:themeColor="text1"/>
          <w:sz w:val="24"/>
          <w:szCs w:val="24"/>
        </w:rPr>
        <w:t>d and</w:t>
      </w:r>
      <w:r w:rsidRPr="00191ACB">
        <w:rPr>
          <w:rFonts w:ascii="Times New Roman" w:hAnsi="Times New Roman" w:cs="Times New Roman"/>
          <w:color w:val="000000" w:themeColor="text1"/>
          <w:sz w:val="24"/>
          <w:szCs w:val="24"/>
        </w:rPr>
        <w:t xml:space="preserve"> supply forces</w:t>
      </w:r>
      <w:r w:rsidR="000705CB" w:rsidRPr="00191ACB">
        <w:rPr>
          <w:rFonts w:ascii="Times New Roman" w:hAnsi="Times New Roman" w:cs="Times New Roman"/>
          <w:color w:val="000000" w:themeColor="text1"/>
          <w:sz w:val="24"/>
          <w:szCs w:val="24"/>
        </w:rPr>
        <w:t xml:space="preserve"> as well as i</w:t>
      </w:r>
      <w:r w:rsidRPr="00191ACB">
        <w:rPr>
          <w:rFonts w:ascii="Times New Roman" w:hAnsi="Times New Roman" w:cs="Times New Roman"/>
          <w:color w:val="000000" w:themeColor="text1"/>
          <w:sz w:val="24"/>
          <w:szCs w:val="24"/>
        </w:rPr>
        <w:t xml:space="preserve">ncreased budgetary support to small scale </w:t>
      </w:r>
      <w:r w:rsidR="000705CB" w:rsidRPr="00191ACB">
        <w:rPr>
          <w:rFonts w:ascii="Times New Roman" w:hAnsi="Times New Roman" w:cs="Times New Roman"/>
          <w:color w:val="000000" w:themeColor="text1"/>
          <w:sz w:val="24"/>
          <w:szCs w:val="24"/>
        </w:rPr>
        <w:t>farmers.</w:t>
      </w:r>
      <w:r w:rsidRPr="00191ACB">
        <w:rPr>
          <w:rFonts w:ascii="Times New Roman" w:hAnsi="Times New Roman" w:cs="Times New Roman"/>
          <w:color w:val="000000" w:themeColor="text1"/>
          <w:sz w:val="24"/>
          <w:szCs w:val="24"/>
        </w:rPr>
        <w:t xml:space="preserve"> </w:t>
      </w:r>
    </w:p>
    <w:p w14:paraId="30E0EDDC" w14:textId="77777777" w:rsidR="00214971" w:rsidRPr="00191ACB" w:rsidRDefault="00214971" w:rsidP="005E626A">
      <w:pPr>
        <w:pStyle w:val="NoSpacing"/>
        <w:spacing w:after="120"/>
        <w:jc w:val="both"/>
        <w:rPr>
          <w:rFonts w:ascii="Times New Roman" w:hAnsi="Times New Roman" w:cs="Times New Roman"/>
          <w:color w:val="000000" w:themeColor="text1"/>
          <w:sz w:val="24"/>
          <w:szCs w:val="24"/>
        </w:rPr>
      </w:pPr>
    </w:p>
    <w:p w14:paraId="4011E5E4" w14:textId="77777777" w:rsidR="00214971" w:rsidRPr="00191ACB" w:rsidRDefault="00214971" w:rsidP="005E626A">
      <w:pPr>
        <w:pStyle w:val="NoSpacing"/>
        <w:spacing w:after="120"/>
        <w:jc w:val="both"/>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Wheat</w:t>
      </w:r>
    </w:p>
    <w:p w14:paraId="09AD34EC" w14:textId="331C857C" w:rsidR="00214971" w:rsidRPr="00191ACB" w:rsidRDefault="00214971" w:rsidP="00F04D87">
      <w:pPr>
        <w:spacing w:before="240" w:after="120" w:line="276" w:lineRule="auto"/>
        <w:jc w:val="both"/>
        <w:rPr>
          <w:rFonts w:ascii="Times New Roman" w:hAnsi="Times New Roman" w:cs="Times New Roman"/>
          <w:bCs/>
          <w:color w:val="000000" w:themeColor="text1"/>
          <w:sz w:val="24"/>
          <w:szCs w:val="24"/>
        </w:rPr>
      </w:pPr>
      <w:r w:rsidRPr="00191ACB">
        <w:rPr>
          <w:rFonts w:ascii="Times New Roman" w:hAnsi="Times New Roman" w:cs="Times New Roman"/>
          <w:color w:val="000000" w:themeColor="text1"/>
          <w:sz w:val="24"/>
          <w:szCs w:val="24"/>
        </w:rPr>
        <w:t xml:space="preserve">The harvested area under wheat from 2011 to 2012 remained almost constant </w:t>
      </w:r>
      <w:r w:rsidR="007E7C27" w:rsidRPr="00191ACB">
        <w:rPr>
          <w:rFonts w:ascii="Times New Roman" w:hAnsi="Times New Roman" w:cs="Times New Roman"/>
          <w:color w:val="000000" w:themeColor="text1"/>
          <w:sz w:val="24"/>
          <w:szCs w:val="24"/>
        </w:rPr>
        <w:t>but had been fluctuating from</w:t>
      </w:r>
      <w:r w:rsidRPr="00191ACB">
        <w:rPr>
          <w:rFonts w:ascii="Times New Roman" w:hAnsi="Times New Roman" w:cs="Times New Roman"/>
          <w:color w:val="000000" w:themeColor="text1"/>
          <w:sz w:val="24"/>
          <w:szCs w:val="24"/>
        </w:rPr>
        <w:t xml:space="preserve"> </w:t>
      </w:r>
      <w:r w:rsidR="00E00A68" w:rsidRPr="00191ACB">
        <w:rPr>
          <w:rFonts w:ascii="Times New Roman" w:hAnsi="Times New Roman" w:cs="Times New Roman"/>
          <w:bCs/>
          <w:color w:val="000000" w:themeColor="text1"/>
          <w:sz w:val="24"/>
          <w:szCs w:val="24"/>
        </w:rPr>
        <w:t xml:space="preserve">41,809.6 ha in </w:t>
      </w:r>
      <w:r w:rsidRPr="00191ACB">
        <w:rPr>
          <w:rFonts w:ascii="Times New Roman" w:hAnsi="Times New Roman" w:cs="Times New Roman"/>
          <w:color w:val="000000" w:themeColor="text1"/>
          <w:sz w:val="24"/>
          <w:szCs w:val="24"/>
        </w:rPr>
        <w:t>2013</w:t>
      </w:r>
      <w:r w:rsidR="007E7C27" w:rsidRPr="00191ACB">
        <w:rPr>
          <w:rFonts w:ascii="Times New Roman" w:hAnsi="Times New Roman" w:cs="Times New Roman"/>
          <w:color w:val="000000" w:themeColor="text1"/>
          <w:sz w:val="24"/>
          <w:szCs w:val="24"/>
        </w:rPr>
        <w:t xml:space="preserve"> to </w:t>
      </w:r>
      <w:r w:rsidR="00E00A68" w:rsidRPr="00191ACB">
        <w:rPr>
          <w:rFonts w:ascii="Times New Roman" w:hAnsi="Times New Roman" w:cs="Times New Roman"/>
          <w:color w:val="000000" w:themeColor="text1"/>
          <w:sz w:val="24"/>
          <w:szCs w:val="24"/>
        </w:rPr>
        <w:t xml:space="preserve">24,170.3 ha in </w:t>
      </w:r>
      <w:r w:rsidRPr="00191ACB">
        <w:rPr>
          <w:rFonts w:ascii="Times New Roman" w:hAnsi="Times New Roman" w:cs="Times New Roman"/>
          <w:color w:val="000000" w:themeColor="text1"/>
          <w:sz w:val="24"/>
          <w:szCs w:val="24"/>
        </w:rPr>
        <w:t xml:space="preserve">2016. The trend </w:t>
      </w:r>
      <w:r w:rsidR="007E7C27" w:rsidRPr="00191ACB">
        <w:rPr>
          <w:rFonts w:ascii="Times New Roman" w:hAnsi="Times New Roman" w:cs="Times New Roman"/>
          <w:color w:val="000000" w:themeColor="text1"/>
          <w:sz w:val="24"/>
          <w:szCs w:val="24"/>
        </w:rPr>
        <w:t>w</w:t>
      </w:r>
      <w:r w:rsidR="00E00A68" w:rsidRPr="00191ACB">
        <w:rPr>
          <w:rFonts w:ascii="Times New Roman" w:hAnsi="Times New Roman" w:cs="Times New Roman"/>
          <w:color w:val="000000" w:themeColor="text1"/>
          <w:sz w:val="24"/>
          <w:szCs w:val="24"/>
        </w:rPr>
        <w:t>a</w:t>
      </w:r>
      <w:r w:rsidRPr="00191ACB">
        <w:rPr>
          <w:rFonts w:ascii="Times New Roman" w:hAnsi="Times New Roman" w:cs="Times New Roman"/>
          <w:color w:val="000000" w:themeColor="text1"/>
          <w:sz w:val="24"/>
          <w:szCs w:val="24"/>
        </w:rPr>
        <w:t xml:space="preserve">s generally negative, and could </w:t>
      </w:r>
      <w:r w:rsidR="00E00A68" w:rsidRPr="00191ACB">
        <w:rPr>
          <w:rFonts w:ascii="Times New Roman" w:hAnsi="Times New Roman" w:cs="Times New Roman"/>
          <w:color w:val="000000" w:themeColor="text1"/>
          <w:sz w:val="24"/>
          <w:szCs w:val="24"/>
        </w:rPr>
        <w:t xml:space="preserve">be attributed to effects of </w:t>
      </w:r>
      <w:r w:rsidRPr="00191ACB">
        <w:rPr>
          <w:rFonts w:ascii="Times New Roman" w:hAnsi="Times New Roman" w:cs="Times New Roman"/>
          <w:color w:val="000000" w:themeColor="text1"/>
          <w:sz w:val="24"/>
          <w:szCs w:val="24"/>
        </w:rPr>
        <w:t>drought on the underground water recharge systems</w:t>
      </w:r>
      <w:r w:rsidR="00E00A68"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w:t>
      </w:r>
    </w:p>
    <w:p w14:paraId="6247CC3A" w14:textId="77777777" w:rsidR="00214971" w:rsidRPr="00191ACB" w:rsidRDefault="00214971" w:rsidP="005E626A">
      <w:pPr>
        <w:pStyle w:val="NoSpacing"/>
        <w:spacing w:after="120"/>
        <w:jc w:val="both"/>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Soy beans</w:t>
      </w:r>
    </w:p>
    <w:p w14:paraId="7772BDE9" w14:textId="57260C87" w:rsidR="00214971" w:rsidRPr="00191ACB" w:rsidRDefault="00FC22F6"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Cultivated </w:t>
      </w:r>
      <w:r w:rsidR="00E00A68" w:rsidRPr="00191ACB">
        <w:rPr>
          <w:rFonts w:ascii="Times New Roman" w:hAnsi="Times New Roman" w:cs="Times New Roman"/>
          <w:color w:val="000000" w:themeColor="text1"/>
          <w:sz w:val="24"/>
          <w:szCs w:val="24"/>
        </w:rPr>
        <w:t>a</w:t>
      </w:r>
      <w:r w:rsidR="00214971" w:rsidRPr="00191ACB">
        <w:rPr>
          <w:rFonts w:ascii="Times New Roman" w:hAnsi="Times New Roman" w:cs="Times New Roman"/>
          <w:color w:val="000000" w:themeColor="text1"/>
          <w:sz w:val="24"/>
          <w:szCs w:val="24"/>
        </w:rPr>
        <w:t>rea under soybeans expanded from as low as 60,000 ha in 2011 to 138,000 ha in 2016 represent</w:t>
      </w:r>
      <w:r w:rsidR="00E00A68" w:rsidRPr="00191ACB">
        <w:rPr>
          <w:rFonts w:ascii="Times New Roman" w:hAnsi="Times New Roman" w:cs="Times New Roman"/>
          <w:color w:val="000000" w:themeColor="text1"/>
          <w:sz w:val="24"/>
          <w:szCs w:val="24"/>
        </w:rPr>
        <w:t>ing</w:t>
      </w:r>
      <w:r w:rsidR="00214971" w:rsidRPr="00191ACB">
        <w:rPr>
          <w:rFonts w:ascii="Times New Roman" w:hAnsi="Times New Roman" w:cs="Times New Roman"/>
          <w:color w:val="000000" w:themeColor="text1"/>
          <w:sz w:val="24"/>
          <w:szCs w:val="24"/>
        </w:rPr>
        <w:t xml:space="preserve"> over 100% increase. This can be attributed to the fact that Zambia’s agriculture sector has been identified as key to unlocking economic growth as it provides the main support for Zambia’s rural economy. </w:t>
      </w:r>
    </w:p>
    <w:p w14:paraId="175B9B54" w14:textId="77777777" w:rsidR="00214971" w:rsidRPr="00191ACB" w:rsidRDefault="00214971" w:rsidP="005E626A">
      <w:pPr>
        <w:pStyle w:val="NoSpacing"/>
        <w:spacing w:after="120"/>
        <w:jc w:val="both"/>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Groundnuts</w:t>
      </w:r>
    </w:p>
    <w:p w14:paraId="3F5B5588" w14:textId="77777777" w:rsidR="00AD0892" w:rsidRPr="00191ACB" w:rsidRDefault="00214971"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Groundnuts are mainly grown by small scale farmers, and are very important rotational crops. The areas </w:t>
      </w:r>
      <w:r w:rsidR="00FC22F6" w:rsidRPr="00191ACB">
        <w:rPr>
          <w:rFonts w:ascii="Times New Roman" w:hAnsi="Times New Roman" w:cs="Times New Roman"/>
          <w:color w:val="000000" w:themeColor="text1"/>
          <w:sz w:val="24"/>
          <w:szCs w:val="24"/>
        </w:rPr>
        <w:t>cultiva</w:t>
      </w:r>
      <w:r w:rsidRPr="00191ACB">
        <w:rPr>
          <w:rFonts w:ascii="Times New Roman" w:hAnsi="Times New Roman" w:cs="Times New Roman"/>
          <w:color w:val="000000" w:themeColor="text1"/>
          <w:sz w:val="24"/>
          <w:szCs w:val="24"/>
        </w:rPr>
        <w:t xml:space="preserve">ted </w:t>
      </w:r>
      <w:r w:rsidR="00FC22F6" w:rsidRPr="00191ACB">
        <w:rPr>
          <w:rFonts w:ascii="Times New Roman" w:hAnsi="Times New Roman" w:cs="Times New Roman"/>
          <w:color w:val="000000" w:themeColor="text1"/>
          <w:sz w:val="24"/>
          <w:szCs w:val="24"/>
        </w:rPr>
        <w:t>generally remained constant as there were marginal differences in the years 2011 to 2016</w:t>
      </w:r>
      <w:r w:rsidRPr="00191ACB">
        <w:rPr>
          <w:rFonts w:ascii="Times New Roman" w:hAnsi="Times New Roman" w:cs="Times New Roman"/>
          <w:color w:val="000000" w:themeColor="text1"/>
          <w:sz w:val="24"/>
          <w:szCs w:val="24"/>
        </w:rPr>
        <w:t xml:space="preserve">.  Fertilizer use </w:t>
      </w:r>
      <w:r w:rsidR="00AD0892" w:rsidRPr="00191ACB">
        <w:rPr>
          <w:rFonts w:ascii="Times New Roman" w:hAnsi="Times New Roman" w:cs="Times New Roman"/>
          <w:color w:val="000000" w:themeColor="text1"/>
          <w:sz w:val="24"/>
          <w:szCs w:val="24"/>
        </w:rPr>
        <w:t xml:space="preserve">was </w:t>
      </w:r>
      <w:r w:rsidRPr="00191ACB">
        <w:rPr>
          <w:rFonts w:ascii="Times New Roman" w:hAnsi="Times New Roman" w:cs="Times New Roman"/>
          <w:color w:val="000000" w:themeColor="text1"/>
          <w:sz w:val="24"/>
          <w:szCs w:val="24"/>
        </w:rPr>
        <w:t xml:space="preserve">on the lower side as leguminous </w:t>
      </w:r>
      <w:r w:rsidR="00AD0892" w:rsidRPr="00191ACB">
        <w:rPr>
          <w:rFonts w:ascii="Times New Roman" w:hAnsi="Times New Roman" w:cs="Times New Roman"/>
          <w:color w:val="000000" w:themeColor="text1"/>
          <w:sz w:val="24"/>
          <w:szCs w:val="24"/>
        </w:rPr>
        <w:t xml:space="preserve">crops are </w:t>
      </w:r>
      <w:r w:rsidRPr="00191ACB">
        <w:rPr>
          <w:rFonts w:ascii="Times New Roman" w:hAnsi="Times New Roman" w:cs="Times New Roman"/>
          <w:color w:val="000000" w:themeColor="text1"/>
          <w:sz w:val="24"/>
          <w:szCs w:val="24"/>
        </w:rPr>
        <w:t>self</w:t>
      </w:r>
      <w:r w:rsidR="00FC22F6"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nitrogen fixing plants</w:t>
      </w:r>
      <w:r w:rsidR="00AD0892" w:rsidRPr="00191ACB">
        <w:rPr>
          <w:rFonts w:ascii="Times New Roman" w:hAnsi="Times New Roman" w:cs="Times New Roman"/>
          <w:color w:val="000000" w:themeColor="text1"/>
          <w:sz w:val="24"/>
          <w:szCs w:val="24"/>
        </w:rPr>
        <w:t xml:space="preserve">. </w:t>
      </w:r>
    </w:p>
    <w:p w14:paraId="16602332" w14:textId="5464F016" w:rsidR="00214971" w:rsidRPr="00191ACB" w:rsidRDefault="00214971" w:rsidP="005E626A">
      <w:pPr>
        <w:pStyle w:val="NoSpacing"/>
        <w:spacing w:after="120"/>
        <w:jc w:val="both"/>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Sugarcane</w:t>
      </w:r>
    </w:p>
    <w:p w14:paraId="0132EBCA" w14:textId="494F177F" w:rsidR="00214971" w:rsidRPr="00191ACB" w:rsidRDefault="00214971" w:rsidP="00F04D87">
      <w:p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Sugarcane</w:t>
      </w:r>
      <w:r w:rsidR="00B87C2C" w:rsidRPr="00191ACB">
        <w:rPr>
          <w:rFonts w:ascii="Times New Roman" w:hAnsi="Times New Roman" w:cs="Times New Roman"/>
          <w:color w:val="000000" w:themeColor="text1"/>
          <w:sz w:val="24"/>
          <w:szCs w:val="24"/>
        </w:rPr>
        <w:t xml:space="preserve"> production</w:t>
      </w:r>
      <w:r w:rsidRPr="00191ACB">
        <w:rPr>
          <w:rFonts w:ascii="Times New Roman" w:hAnsi="Times New Roman" w:cs="Times New Roman"/>
          <w:color w:val="000000" w:themeColor="text1"/>
          <w:sz w:val="24"/>
          <w:szCs w:val="24"/>
        </w:rPr>
        <w:t xml:space="preserve"> show</w:t>
      </w:r>
      <w:r w:rsidR="00B87C2C" w:rsidRPr="00191ACB">
        <w:rPr>
          <w:rFonts w:ascii="Times New Roman" w:hAnsi="Times New Roman" w:cs="Times New Roman"/>
          <w:color w:val="000000" w:themeColor="text1"/>
          <w:sz w:val="24"/>
          <w:szCs w:val="24"/>
        </w:rPr>
        <w:t>ed</w:t>
      </w:r>
      <w:r w:rsidRPr="00191ACB">
        <w:rPr>
          <w:rFonts w:ascii="Times New Roman" w:hAnsi="Times New Roman" w:cs="Times New Roman"/>
          <w:color w:val="000000" w:themeColor="text1"/>
          <w:sz w:val="24"/>
          <w:szCs w:val="24"/>
        </w:rPr>
        <w:t xml:space="preserve"> an increasing trend </w:t>
      </w:r>
      <w:r w:rsidR="00B87C2C" w:rsidRPr="00191ACB">
        <w:rPr>
          <w:rFonts w:ascii="Times New Roman" w:hAnsi="Times New Roman" w:cs="Times New Roman"/>
          <w:color w:val="000000" w:themeColor="text1"/>
          <w:sz w:val="24"/>
          <w:szCs w:val="24"/>
        </w:rPr>
        <w:t>during the reporting period from 2,117,909.8 tonnes in 2011 to 2,276,580.9 tonnes in 2016</w:t>
      </w:r>
      <w:r w:rsidRPr="00191ACB">
        <w:rPr>
          <w:rFonts w:ascii="Times New Roman" w:hAnsi="Times New Roman" w:cs="Times New Roman"/>
          <w:color w:val="000000" w:themeColor="text1"/>
          <w:sz w:val="24"/>
          <w:szCs w:val="24"/>
        </w:rPr>
        <w:t xml:space="preserve">. This </w:t>
      </w:r>
      <w:r w:rsidR="00B87C2C" w:rsidRPr="00191ACB">
        <w:rPr>
          <w:rFonts w:ascii="Times New Roman" w:hAnsi="Times New Roman" w:cs="Times New Roman"/>
          <w:color w:val="000000" w:themeColor="text1"/>
          <w:sz w:val="24"/>
          <w:szCs w:val="24"/>
        </w:rPr>
        <w:t>was attributed to</w:t>
      </w:r>
      <w:r w:rsidRPr="00191ACB">
        <w:rPr>
          <w:rFonts w:ascii="Times New Roman" w:hAnsi="Times New Roman" w:cs="Times New Roman"/>
          <w:color w:val="000000" w:themeColor="text1"/>
          <w:sz w:val="24"/>
          <w:szCs w:val="24"/>
        </w:rPr>
        <w:t xml:space="preserve"> commercial investment</w:t>
      </w:r>
      <w:r w:rsidR="00B87C2C" w:rsidRPr="00191ACB">
        <w:rPr>
          <w:rFonts w:ascii="Times New Roman" w:hAnsi="Times New Roman" w:cs="Times New Roman"/>
          <w:color w:val="000000" w:themeColor="text1"/>
          <w:sz w:val="24"/>
          <w:szCs w:val="24"/>
        </w:rPr>
        <w:t>s</w:t>
      </w:r>
      <w:r w:rsidRPr="00191ACB">
        <w:rPr>
          <w:rFonts w:ascii="Times New Roman" w:hAnsi="Times New Roman" w:cs="Times New Roman"/>
          <w:color w:val="000000" w:themeColor="text1"/>
          <w:sz w:val="24"/>
          <w:szCs w:val="24"/>
        </w:rPr>
        <w:t xml:space="preserve"> in machinery</w:t>
      </w:r>
      <w:r w:rsidR="00FC06C4"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irrigation canals</w:t>
      </w:r>
      <w:r w:rsidR="00FC06C4"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drainage systems</w:t>
      </w:r>
      <w:r w:rsidR="00FC06C4" w:rsidRPr="00191ACB">
        <w:rPr>
          <w:rFonts w:ascii="Times New Roman" w:hAnsi="Times New Roman" w:cs="Times New Roman"/>
          <w:color w:val="000000" w:themeColor="text1"/>
          <w:sz w:val="24"/>
          <w:szCs w:val="24"/>
        </w:rPr>
        <w:t xml:space="preserve"> and usage of basal fertilizer</w:t>
      </w:r>
      <w:r w:rsidRPr="00191ACB">
        <w:rPr>
          <w:rFonts w:ascii="Times New Roman" w:hAnsi="Times New Roman" w:cs="Times New Roman"/>
          <w:color w:val="000000" w:themeColor="text1"/>
          <w:sz w:val="24"/>
          <w:szCs w:val="24"/>
        </w:rPr>
        <w:t xml:space="preserve">.  </w:t>
      </w:r>
    </w:p>
    <w:p w14:paraId="0A138E6C" w14:textId="77777777" w:rsidR="00F04D87" w:rsidRPr="00191ACB" w:rsidRDefault="00F04D87" w:rsidP="00F04D87">
      <w:pPr>
        <w:spacing w:before="240" w:after="120" w:line="276" w:lineRule="auto"/>
        <w:jc w:val="both"/>
        <w:rPr>
          <w:rFonts w:ascii="Times New Roman" w:hAnsi="Times New Roman" w:cs="Times New Roman"/>
          <w:color w:val="000000" w:themeColor="text1"/>
          <w:sz w:val="24"/>
          <w:szCs w:val="24"/>
        </w:rPr>
      </w:pPr>
    </w:p>
    <w:p w14:paraId="3A77A90D" w14:textId="0B4F0026" w:rsidR="00214971" w:rsidRPr="009462B1" w:rsidRDefault="00214971" w:rsidP="009462B1">
      <w:pPr>
        <w:pStyle w:val="Heading4"/>
        <w:numPr>
          <w:ilvl w:val="3"/>
          <w:numId w:val="36"/>
        </w:numPr>
        <w:ind w:left="851" w:hanging="851"/>
      </w:pPr>
      <w:r w:rsidRPr="009462B1">
        <w:t>Settlements</w:t>
      </w:r>
    </w:p>
    <w:p w14:paraId="3C7B7C07" w14:textId="6C8EA0C7" w:rsidR="005E27D9" w:rsidRPr="00191ACB" w:rsidRDefault="00214971"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This section provides estimates of carbon stock changes and greenhouse gas emissions and removals associated with changes in biomass, dead organic matter (DOM), and soil carbon on lands classified as settlements. Settlements including all developed land i.e., residential, transportation, commercial, and production (commercial, manufacturing) infrastructure of any size. Emissions from Settlements </w:t>
      </w:r>
      <w:r w:rsidR="005E27D9" w:rsidRPr="00191ACB">
        <w:rPr>
          <w:rFonts w:ascii="Times New Roman" w:hAnsi="Times New Roman" w:cs="Times New Roman"/>
          <w:color w:val="000000" w:themeColor="text1"/>
          <w:sz w:val="24"/>
          <w:szCs w:val="24"/>
        </w:rPr>
        <w:t>increased by 217.9% from 3,137.9 Gg CO</w:t>
      </w:r>
      <w:r w:rsidR="005E27D9" w:rsidRPr="00191ACB">
        <w:rPr>
          <w:rFonts w:ascii="Times New Roman" w:hAnsi="Times New Roman" w:cs="Times New Roman"/>
          <w:color w:val="000000" w:themeColor="text1"/>
          <w:sz w:val="24"/>
          <w:szCs w:val="24"/>
          <w:vertAlign w:val="subscript"/>
        </w:rPr>
        <w:t xml:space="preserve">2 eq. </w:t>
      </w:r>
      <w:r w:rsidR="005E27D9" w:rsidRPr="00191ACB">
        <w:rPr>
          <w:rFonts w:ascii="Times New Roman" w:hAnsi="Times New Roman" w:cs="Times New Roman"/>
          <w:color w:val="000000" w:themeColor="text1"/>
          <w:sz w:val="24"/>
          <w:szCs w:val="24"/>
        </w:rPr>
        <w:t>in 1994 base year to 9851.8 Gg CO</w:t>
      </w:r>
      <w:r w:rsidR="005E27D9" w:rsidRPr="00191ACB">
        <w:rPr>
          <w:rFonts w:ascii="Times New Roman" w:hAnsi="Times New Roman" w:cs="Times New Roman"/>
          <w:color w:val="000000" w:themeColor="text1"/>
          <w:sz w:val="24"/>
          <w:szCs w:val="24"/>
          <w:vertAlign w:val="subscript"/>
        </w:rPr>
        <w:t>2 eq</w:t>
      </w:r>
      <w:r w:rsidR="005E27D9" w:rsidRPr="00191ACB">
        <w:rPr>
          <w:rFonts w:ascii="Times New Roman" w:hAnsi="Times New Roman" w:cs="Times New Roman"/>
          <w:color w:val="000000" w:themeColor="text1"/>
          <w:sz w:val="24"/>
          <w:szCs w:val="24"/>
        </w:rPr>
        <w:t>. in 2016 (Figure</w:t>
      </w:r>
      <w:r w:rsidR="001512D9" w:rsidRPr="00191ACB">
        <w:rPr>
          <w:rFonts w:ascii="Times New Roman" w:hAnsi="Times New Roman" w:cs="Times New Roman"/>
          <w:color w:val="000000" w:themeColor="text1"/>
          <w:sz w:val="24"/>
          <w:szCs w:val="24"/>
        </w:rPr>
        <w:t>3.29</w:t>
      </w:r>
      <w:r w:rsidR="005E27D9" w:rsidRPr="00191ACB">
        <w:rPr>
          <w:rFonts w:ascii="Times New Roman" w:hAnsi="Times New Roman" w:cs="Times New Roman"/>
          <w:color w:val="000000" w:themeColor="text1"/>
          <w:sz w:val="24"/>
          <w:szCs w:val="24"/>
        </w:rPr>
        <w:t>).</w:t>
      </w:r>
    </w:p>
    <w:p w14:paraId="07A8B7B0" w14:textId="77777777" w:rsidR="00B90A10" w:rsidRPr="00191ACB" w:rsidRDefault="00B90A10" w:rsidP="005E626A">
      <w:pPr>
        <w:spacing w:after="120" w:line="240" w:lineRule="auto"/>
        <w:jc w:val="both"/>
        <w:rPr>
          <w:rFonts w:ascii="Times New Roman" w:hAnsi="Times New Roman" w:cs="Times New Roman"/>
          <w:color w:val="000000" w:themeColor="text1"/>
          <w:sz w:val="24"/>
          <w:szCs w:val="24"/>
        </w:rPr>
      </w:pPr>
    </w:p>
    <w:p w14:paraId="751ACA32" w14:textId="77777777" w:rsidR="00214971" w:rsidRPr="00191ACB" w:rsidRDefault="00214971" w:rsidP="00214971">
      <w:pPr>
        <w:spacing w:line="360" w:lineRule="auto"/>
        <w:jc w:val="both"/>
        <w:rPr>
          <w:rFonts w:ascii="Times New Roman" w:hAnsi="Times New Roman" w:cs="Times New Roman"/>
          <w:b/>
          <w:color w:val="000000" w:themeColor="text1"/>
          <w:sz w:val="24"/>
          <w:szCs w:val="24"/>
          <w:highlight w:val="yellow"/>
        </w:rPr>
      </w:pPr>
      <w:r w:rsidRPr="00191ACB">
        <w:rPr>
          <w:rFonts w:ascii="Times New Roman" w:hAnsi="Times New Roman" w:cs="Times New Roman"/>
          <w:noProof/>
          <w:color w:val="000000" w:themeColor="text1"/>
          <w:sz w:val="24"/>
          <w:szCs w:val="24"/>
          <w:highlight w:val="yellow"/>
          <w:lang w:val="en-GB" w:eastAsia="en-GB"/>
        </w:rPr>
        <w:lastRenderedPageBreak/>
        <w:drawing>
          <wp:inline distT="0" distB="0" distL="0" distR="0" wp14:anchorId="39BBA6ED" wp14:editId="6EFFADE2">
            <wp:extent cx="5943600" cy="2603500"/>
            <wp:effectExtent l="0" t="0" r="0" b="6350"/>
            <wp:docPr id="91" name="Chart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FCBCD30" w14:textId="6E11DF0E" w:rsidR="00214971" w:rsidRPr="00191ACB" w:rsidRDefault="000E11A3" w:rsidP="000E11A3">
      <w:pPr>
        <w:pStyle w:val="Caption"/>
        <w:rPr>
          <w:i w:val="0"/>
          <w:color w:val="000000" w:themeColor="text1"/>
          <w:sz w:val="24"/>
          <w:szCs w:val="24"/>
        </w:rPr>
      </w:pPr>
      <w:bookmarkStart w:id="221" w:name="_Toc56583874"/>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29</w:t>
      </w:r>
      <w:r w:rsidR="009D481C">
        <w:rPr>
          <w:sz w:val="24"/>
          <w:szCs w:val="24"/>
        </w:rPr>
        <w:fldChar w:fldCharType="end"/>
      </w:r>
      <w:r w:rsidRPr="00191ACB">
        <w:rPr>
          <w:sz w:val="24"/>
          <w:szCs w:val="24"/>
        </w:rPr>
        <w:t>:Trends of emissions from settlements</w:t>
      </w:r>
      <w:bookmarkEnd w:id="221"/>
    </w:p>
    <w:p w14:paraId="53B8BCCA" w14:textId="77777777" w:rsidR="00FC4FC5" w:rsidRPr="00191ACB" w:rsidRDefault="00FC4FC5" w:rsidP="005E626A">
      <w:pPr>
        <w:spacing w:after="120" w:line="240" w:lineRule="auto"/>
        <w:jc w:val="both"/>
        <w:rPr>
          <w:rFonts w:ascii="Times New Roman" w:hAnsi="Times New Roman" w:cs="Times New Roman"/>
          <w:color w:val="000000" w:themeColor="text1"/>
          <w:sz w:val="24"/>
          <w:szCs w:val="24"/>
        </w:rPr>
      </w:pPr>
    </w:p>
    <w:p w14:paraId="4748188A" w14:textId="413E74E3" w:rsidR="00214971" w:rsidRPr="00191ACB" w:rsidRDefault="00214971" w:rsidP="009462B1">
      <w:pPr>
        <w:pStyle w:val="Heading3"/>
        <w:numPr>
          <w:ilvl w:val="2"/>
          <w:numId w:val="36"/>
        </w:numPr>
        <w:ind w:left="851" w:hanging="851"/>
      </w:pPr>
      <w:bookmarkStart w:id="222" w:name="_Toc57902846"/>
      <w:r w:rsidRPr="00191ACB">
        <w:t>Aggregate Sources and Non</w:t>
      </w:r>
      <w:r w:rsidR="00CF09B3" w:rsidRPr="00191ACB">
        <w:t>-</w:t>
      </w:r>
      <w:r w:rsidRPr="00191ACB">
        <w:t>CO</w:t>
      </w:r>
      <w:r w:rsidRPr="00191ACB">
        <w:rPr>
          <w:vertAlign w:val="subscript"/>
        </w:rPr>
        <w:t>2</w:t>
      </w:r>
      <w:r w:rsidRPr="00191ACB">
        <w:t xml:space="preserve"> emissions on land</w:t>
      </w:r>
      <w:bookmarkEnd w:id="222"/>
    </w:p>
    <w:p w14:paraId="33E2436B" w14:textId="493E2921" w:rsidR="00214971" w:rsidRPr="00191ACB" w:rsidRDefault="00214971"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Aggregate sources and non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emissions on land were considered according to source subcategories as outlined in the IPCC guidelines (IPCC, 2006), namely; Emissions from Biomass burning, Liming, Urea application, Direct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emissions from managed soils, Indirect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emissions from managed soils, Indirect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emissions from manure management, Rice cultivation and Other. The emissions from aggregate Sources and Non</w:t>
      </w:r>
      <w:r w:rsidR="00CF09B3"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emissions on land increased from 7211.2 Gg CO</w:t>
      </w:r>
      <w:r w:rsidRPr="00191ACB">
        <w:rPr>
          <w:rFonts w:ascii="Times New Roman" w:hAnsi="Times New Roman" w:cs="Times New Roman"/>
          <w:color w:val="000000" w:themeColor="text1"/>
          <w:sz w:val="24"/>
          <w:szCs w:val="24"/>
          <w:vertAlign w:val="subscript"/>
        </w:rPr>
        <w:t xml:space="preserve">2 eq. </w:t>
      </w:r>
      <w:r w:rsidRPr="00191ACB">
        <w:rPr>
          <w:rFonts w:ascii="Times New Roman" w:hAnsi="Times New Roman" w:cs="Times New Roman"/>
          <w:color w:val="000000" w:themeColor="text1"/>
          <w:sz w:val="24"/>
          <w:szCs w:val="24"/>
        </w:rPr>
        <w:t>in 1994 base year to 11,079.6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in 2016 representing 53.6% growth</w:t>
      </w:r>
      <w:r w:rsidR="00B90A10"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 xml:space="preserve">(Figure </w:t>
      </w:r>
      <w:r w:rsidR="001512D9" w:rsidRPr="00191ACB">
        <w:rPr>
          <w:rFonts w:ascii="Times New Roman" w:hAnsi="Times New Roman" w:cs="Times New Roman"/>
          <w:color w:val="000000" w:themeColor="text1"/>
          <w:sz w:val="24"/>
          <w:szCs w:val="24"/>
        </w:rPr>
        <w:t>3.30</w:t>
      </w:r>
      <w:r w:rsidRPr="00191ACB">
        <w:rPr>
          <w:rFonts w:ascii="Times New Roman" w:hAnsi="Times New Roman" w:cs="Times New Roman"/>
          <w:color w:val="000000" w:themeColor="text1"/>
          <w:sz w:val="24"/>
          <w:szCs w:val="24"/>
        </w:rPr>
        <w:t>).</w:t>
      </w:r>
    </w:p>
    <w:p w14:paraId="0A413F2F" w14:textId="77777777" w:rsidR="00214971" w:rsidRPr="00191ACB" w:rsidRDefault="00214971" w:rsidP="00214971">
      <w:pPr>
        <w:spacing w:before="100" w:after="10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b/>
          <w:noProof/>
          <w:color w:val="000000" w:themeColor="text1"/>
          <w:sz w:val="24"/>
          <w:szCs w:val="24"/>
          <w:lang w:val="en-GB" w:eastAsia="en-GB"/>
        </w:rPr>
        <w:drawing>
          <wp:inline distT="0" distB="0" distL="0" distR="0" wp14:anchorId="61BEA47F" wp14:editId="69B97D77">
            <wp:extent cx="5943600" cy="2341880"/>
            <wp:effectExtent l="0" t="0" r="0" b="127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421A35A" w14:textId="6133184E" w:rsidR="00214971" w:rsidRPr="00191ACB" w:rsidRDefault="000E11A3" w:rsidP="000E11A3">
      <w:pPr>
        <w:pStyle w:val="Caption"/>
        <w:rPr>
          <w:i w:val="0"/>
          <w:color w:val="000000" w:themeColor="text1"/>
          <w:sz w:val="24"/>
          <w:szCs w:val="24"/>
        </w:rPr>
      </w:pPr>
      <w:bookmarkStart w:id="223" w:name="_Toc56583875"/>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30</w:t>
      </w:r>
      <w:r w:rsidR="009D481C">
        <w:rPr>
          <w:sz w:val="24"/>
          <w:szCs w:val="24"/>
        </w:rPr>
        <w:fldChar w:fldCharType="end"/>
      </w:r>
      <w:r w:rsidRPr="00191ACB">
        <w:rPr>
          <w:sz w:val="24"/>
          <w:szCs w:val="24"/>
        </w:rPr>
        <w:t>:Emissions trend for the Aggregate sources and non-CO2 emissions sources</w:t>
      </w:r>
      <w:bookmarkEnd w:id="223"/>
    </w:p>
    <w:p w14:paraId="19846CCB" w14:textId="1C5899CF" w:rsidR="00214971" w:rsidRPr="00191ACB" w:rsidRDefault="00214971"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2016, emissions from biomass burning was the highest contributor to emissions for Aggregate and non-CO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emissions sources on land </w:t>
      </w:r>
      <w:r w:rsidR="00CF09B3" w:rsidRPr="00191ACB">
        <w:rPr>
          <w:rFonts w:ascii="Times New Roman" w:hAnsi="Times New Roman" w:cs="Times New Roman"/>
          <w:color w:val="000000" w:themeColor="text1"/>
          <w:sz w:val="24"/>
          <w:szCs w:val="24"/>
        </w:rPr>
        <w:t>at</w:t>
      </w:r>
      <w:r w:rsidRPr="00191ACB">
        <w:rPr>
          <w:rFonts w:ascii="Times New Roman" w:hAnsi="Times New Roman" w:cs="Times New Roman"/>
          <w:color w:val="000000" w:themeColor="text1"/>
          <w:sz w:val="24"/>
          <w:szCs w:val="24"/>
        </w:rPr>
        <w:t xml:space="preserve"> 92.5</w:t>
      </w:r>
      <w:r w:rsidR="00CF09B3"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This was followed by emissions from Direct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emissions from managed soils at 5.9</w:t>
      </w:r>
      <w:r w:rsidR="00CF09B3"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Emissions from urea application was 0.94</w:t>
      </w:r>
      <w:r w:rsidR="00CF09B3"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and the least was emissions from rice cultivation at 0.19</w:t>
      </w:r>
      <w:r w:rsidR="00CF09B3"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(Figure </w:t>
      </w:r>
      <w:r w:rsidR="001512D9" w:rsidRPr="00191ACB">
        <w:rPr>
          <w:rFonts w:ascii="Times New Roman" w:hAnsi="Times New Roman" w:cs="Times New Roman"/>
          <w:color w:val="000000" w:themeColor="text1"/>
          <w:sz w:val="24"/>
          <w:szCs w:val="24"/>
        </w:rPr>
        <w:t>3.31</w:t>
      </w:r>
      <w:r w:rsidRPr="00191ACB">
        <w:rPr>
          <w:rFonts w:ascii="Times New Roman" w:hAnsi="Times New Roman" w:cs="Times New Roman"/>
          <w:color w:val="000000" w:themeColor="text1"/>
          <w:sz w:val="24"/>
          <w:szCs w:val="24"/>
        </w:rPr>
        <w:t>).</w:t>
      </w:r>
    </w:p>
    <w:p w14:paraId="712F6C45" w14:textId="77777777" w:rsidR="00FC4FC5" w:rsidRPr="00191ACB" w:rsidRDefault="00FC4FC5" w:rsidP="005E626A">
      <w:pPr>
        <w:spacing w:after="120" w:line="240" w:lineRule="auto"/>
        <w:jc w:val="both"/>
        <w:rPr>
          <w:rFonts w:ascii="Times New Roman" w:hAnsi="Times New Roman" w:cs="Times New Roman"/>
          <w:color w:val="000000" w:themeColor="text1"/>
          <w:sz w:val="24"/>
          <w:szCs w:val="24"/>
        </w:rPr>
      </w:pPr>
    </w:p>
    <w:p w14:paraId="436A1038" w14:textId="77777777" w:rsidR="00214971" w:rsidRPr="00191ACB" w:rsidRDefault="00214971" w:rsidP="00214971">
      <w:pPr>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lastRenderedPageBreak/>
        <w:drawing>
          <wp:inline distT="0" distB="0" distL="0" distR="0" wp14:anchorId="0C0F3C90" wp14:editId="3F931D3B">
            <wp:extent cx="3688080" cy="2628900"/>
            <wp:effectExtent l="0" t="0" r="762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6FD1EAA" w14:textId="12B03748" w:rsidR="00214971" w:rsidRPr="00191ACB" w:rsidRDefault="000E11A3" w:rsidP="000E11A3">
      <w:pPr>
        <w:pStyle w:val="Caption"/>
        <w:rPr>
          <w:i w:val="0"/>
          <w:color w:val="000000" w:themeColor="text1"/>
          <w:sz w:val="24"/>
          <w:szCs w:val="24"/>
        </w:rPr>
      </w:pPr>
      <w:bookmarkStart w:id="224" w:name="_Toc56583876"/>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31</w:t>
      </w:r>
      <w:r w:rsidR="009D481C">
        <w:rPr>
          <w:sz w:val="24"/>
          <w:szCs w:val="24"/>
        </w:rPr>
        <w:fldChar w:fldCharType="end"/>
      </w:r>
      <w:r w:rsidRPr="00191ACB">
        <w:rPr>
          <w:sz w:val="24"/>
          <w:szCs w:val="24"/>
        </w:rPr>
        <w:t>:Percentage contribution to Aggregate sources and non CO2 emissions on Land</w:t>
      </w:r>
      <w:bookmarkEnd w:id="224"/>
    </w:p>
    <w:p w14:paraId="478E564B" w14:textId="005D8DC3" w:rsidR="00214971" w:rsidRPr="00F04D87" w:rsidRDefault="00214971" w:rsidP="00F04D87">
      <w:pPr>
        <w:spacing w:after="120" w:line="276" w:lineRule="auto"/>
        <w:jc w:val="both"/>
        <w:rPr>
          <w:rFonts w:ascii="Times New Roman" w:hAnsi="Times New Roman" w:cs="Times New Roman"/>
          <w:color w:val="000000" w:themeColor="text1"/>
          <w:sz w:val="24"/>
          <w:szCs w:val="24"/>
        </w:rPr>
      </w:pPr>
      <w:r w:rsidRPr="00F04D87">
        <w:rPr>
          <w:rFonts w:ascii="Times New Roman" w:hAnsi="Times New Roman" w:cs="Times New Roman"/>
          <w:color w:val="000000" w:themeColor="text1"/>
          <w:sz w:val="24"/>
          <w:szCs w:val="24"/>
        </w:rPr>
        <w:t xml:space="preserve">By gas, CH4 was the highest contributor to emissions under Aggregate sources on land </w:t>
      </w:r>
      <w:r w:rsidR="00DA7320" w:rsidRPr="00F04D87">
        <w:rPr>
          <w:rFonts w:ascii="Times New Roman" w:hAnsi="Times New Roman" w:cs="Times New Roman"/>
          <w:color w:val="000000" w:themeColor="text1"/>
          <w:sz w:val="24"/>
          <w:szCs w:val="24"/>
        </w:rPr>
        <w:t>at</w:t>
      </w:r>
      <w:r w:rsidRPr="00F04D87">
        <w:rPr>
          <w:rFonts w:ascii="Times New Roman" w:hAnsi="Times New Roman" w:cs="Times New Roman"/>
          <w:color w:val="000000" w:themeColor="text1"/>
          <w:sz w:val="24"/>
          <w:szCs w:val="24"/>
        </w:rPr>
        <w:t xml:space="preserve"> 74</w:t>
      </w:r>
      <w:r w:rsidR="00DA7320" w:rsidRPr="00F04D87">
        <w:rPr>
          <w:rFonts w:ascii="Times New Roman" w:hAnsi="Times New Roman" w:cs="Times New Roman"/>
          <w:color w:val="000000" w:themeColor="text1"/>
          <w:sz w:val="24"/>
          <w:szCs w:val="24"/>
        </w:rPr>
        <w:t xml:space="preserve"> percent</w:t>
      </w:r>
      <w:r w:rsidRPr="00F04D87">
        <w:rPr>
          <w:rFonts w:ascii="Times New Roman" w:hAnsi="Times New Roman" w:cs="Times New Roman"/>
          <w:color w:val="000000" w:themeColor="text1"/>
          <w:sz w:val="24"/>
          <w:szCs w:val="24"/>
        </w:rPr>
        <w:t xml:space="preserve"> followed by CO2 at 23</w:t>
      </w:r>
      <w:r w:rsidR="00DA7320" w:rsidRPr="00F04D87">
        <w:rPr>
          <w:rFonts w:ascii="Times New Roman" w:hAnsi="Times New Roman" w:cs="Times New Roman"/>
          <w:color w:val="000000" w:themeColor="text1"/>
          <w:sz w:val="24"/>
          <w:szCs w:val="24"/>
        </w:rPr>
        <w:t xml:space="preserve"> percent</w:t>
      </w:r>
      <w:r w:rsidRPr="00F04D87">
        <w:rPr>
          <w:rFonts w:ascii="Times New Roman" w:hAnsi="Times New Roman" w:cs="Times New Roman"/>
          <w:color w:val="000000" w:themeColor="text1"/>
          <w:sz w:val="24"/>
          <w:szCs w:val="24"/>
        </w:rPr>
        <w:t xml:space="preserve"> </w:t>
      </w:r>
      <w:r w:rsidR="00DA7320" w:rsidRPr="00F04D87">
        <w:rPr>
          <w:rFonts w:ascii="Times New Roman" w:hAnsi="Times New Roman" w:cs="Times New Roman"/>
          <w:color w:val="000000" w:themeColor="text1"/>
          <w:sz w:val="24"/>
          <w:szCs w:val="24"/>
        </w:rPr>
        <w:t>and</w:t>
      </w:r>
      <w:r w:rsidRPr="00F04D87">
        <w:rPr>
          <w:rFonts w:ascii="Times New Roman" w:hAnsi="Times New Roman" w:cs="Times New Roman"/>
          <w:color w:val="000000" w:themeColor="text1"/>
          <w:sz w:val="24"/>
          <w:szCs w:val="24"/>
        </w:rPr>
        <w:t xml:space="preserve"> N2</w:t>
      </w:r>
      <w:r w:rsidR="00ED7ECC" w:rsidRPr="00F04D87">
        <w:rPr>
          <w:rFonts w:ascii="Times New Roman" w:hAnsi="Times New Roman" w:cs="Times New Roman"/>
          <w:color w:val="000000" w:themeColor="text1"/>
          <w:sz w:val="24"/>
          <w:szCs w:val="24"/>
        </w:rPr>
        <w:t>O at 3</w:t>
      </w:r>
      <w:r w:rsidR="00DA7320" w:rsidRPr="00F04D87">
        <w:rPr>
          <w:rFonts w:ascii="Times New Roman" w:hAnsi="Times New Roman" w:cs="Times New Roman"/>
          <w:color w:val="000000" w:themeColor="text1"/>
          <w:sz w:val="24"/>
          <w:szCs w:val="24"/>
        </w:rPr>
        <w:t xml:space="preserve"> percent</w:t>
      </w:r>
      <w:r w:rsidR="00ED7ECC" w:rsidRPr="00F04D87">
        <w:rPr>
          <w:rFonts w:ascii="Times New Roman" w:hAnsi="Times New Roman" w:cs="Times New Roman"/>
          <w:color w:val="000000" w:themeColor="text1"/>
          <w:sz w:val="24"/>
          <w:szCs w:val="24"/>
        </w:rPr>
        <w:t xml:space="preserve"> (Figure </w:t>
      </w:r>
      <w:r w:rsidR="001512D9" w:rsidRPr="00F04D87">
        <w:rPr>
          <w:rFonts w:ascii="Times New Roman" w:hAnsi="Times New Roman" w:cs="Times New Roman"/>
          <w:color w:val="000000" w:themeColor="text1"/>
          <w:sz w:val="24"/>
          <w:szCs w:val="24"/>
        </w:rPr>
        <w:t>3.32</w:t>
      </w:r>
      <w:r w:rsidRPr="00F04D87">
        <w:rPr>
          <w:rFonts w:ascii="Times New Roman" w:hAnsi="Times New Roman" w:cs="Times New Roman"/>
          <w:color w:val="000000" w:themeColor="text1"/>
          <w:sz w:val="24"/>
          <w:szCs w:val="24"/>
        </w:rPr>
        <w:t xml:space="preserve">). </w:t>
      </w:r>
    </w:p>
    <w:p w14:paraId="3A9162B9" w14:textId="77777777" w:rsidR="00214971" w:rsidRPr="00191ACB" w:rsidRDefault="00214971" w:rsidP="00214971">
      <w:pPr>
        <w:pStyle w:val="NormalWeb"/>
        <w:spacing w:before="0" w:beforeAutospacing="0" w:after="0" w:afterAutospacing="0"/>
        <w:jc w:val="both"/>
        <w:rPr>
          <w:rFonts w:eastAsiaTheme="minorEastAsia"/>
          <w:color w:val="000000" w:themeColor="text1"/>
          <w:kern w:val="24"/>
        </w:rPr>
      </w:pPr>
    </w:p>
    <w:p w14:paraId="76852720" w14:textId="77777777" w:rsidR="00214971" w:rsidRPr="00191ACB" w:rsidRDefault="00214971" w:rsidP="00214971">
      <w:pPr>
        <w:pStyle w:val="NormalWeb"/>
        <w:spacing w:before="0" w:beforeAutospacing="0" w:after="0" w:afterAutospacing="0"/>
        <w:jc w:val="both"/>
        <w:rPr>
          <w:rFonts w:eastAsiaTheme="minorEastAsia"/>
          <w:color w:val="000000" w:themeColor="text1"/>
          <w:kern w:val="24"/>
        </w:rPr>
      </w:pPr>
      <w:r w:rsidRPr="00191ACB">
        <w:rPr>
          <w:noProof/>
          <w:color w:val="000000" w:themeColor="text1"/>
          <w:lang w:val="en-GB" w:eastAsia="en-GB"/>
        </w:rPr>
        <w:drawing>
          <wp:inline distT="0" distB="0" distL="0" distR="0" wp14:anchorId="09D52DC3" wp14:editId="524956B3">
            <wp:extent cx="3764280" cy="2468880"/>
            <wp:effectExtent l="0" t="0" r="7620" b="762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6D3AE13F" w14:textId="36EFAB12" w:rsidR="00214971" w:rsidRPr="00191ACB" w:rsidRDefault="000E11A3" w:rsidP="000E11A3">
      <w:pPr>
        <w:pStyle w:val="Caption"/>
        <w:rPr>
          <w:i w:val="0"/>
          <w:color w:val="000000" w:themeColor="text1"/>
          <w:sz w:val="24"/>
          <w:szCs w:val="24"/>
        </w:rPr>
      </w:pPr>
      <w:bookmarkStart w:id="225" w:name="_Toc56583877"/>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32</w:t>
      </w:r>
      <w:r w:rsidR="009D481C">
        <w:rPr>
          <w:sz w:val="24"/>
          <w:szCs w:val="24"/>
        </w:rPr>
        <w:fldChar w:fldCharType="end"/>
      </w:r>
      <w:r w:rsidRPr="00191ACB">
        <w:rPr>
          <w:sz w:val="24"/>
          <w:szCs w:val="24"/>
        </w:rPr>
        <w:t>:By gas percentage contribution to Aggregate sources and non CO2 emissions on land</w:t>
      </w:r>
      <w:bookmarkEnd w:id="225"/>
    </w:p>
    <w:p w14:paraId="42209FD4" w14:textId="2C80A42A" w:rsidR="00935720" w:rsidRPr="00191ACB" w:rsidRDefault="00214971"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Results for emissions of greenhouse gases for subcategories on aggregate sources from 1994 to 2016 are provided in the subsequent</w:t>
      </w:r>
      <w:r w:rsidR="00DA7320" w:rsidRPr="00191ACB">
        <w:rPr>
          <w:rFonts w:ascii="Times New Roman" w:hAnsi="Times New Roman" w:cs="Times New Roman"/>
          <w:color w:val="000000" w:themeColor="text1"/>
          <w:sz w:val="24"/>
          <w:szCs w:val="24"/>
        </w:rPr>
        <w:t xml:space="preserve"> sub section</w:t>
      </w:r>
      <w:r w:rsidRPr="00191ACB">
        <w:rPr>
          <w:rFonts w:ascii="Times New Roman" w:hAnsi="Times New Roman" w:cs="Times New Roman"/>
          <w:color w:val="000000" w:themeColor="text1"/>
          <w:sz w:val="24"/>
          <w:szCs w:val="24"/>
        </w:rPr>
        <w:t xml:space="preserve">.  </w:t>
      </w:r>
      <w:bookmarkStart w:id="226" w:name="_Toc48427329"/>
    </w:p>
    <w:p w14:paraId="5E26A936" w14:textId="77777777" w:rsidR="00DA7320" w:rsidRPr="00191ACB" w:rsidRDefault="00DA7320" w:rsidP="00DA7320">
      <w:pPr>
        <w:spacing w:after="120" w:line="240" w:lineRule="auto"/>
        <w:jc w:val="both"/>
        <w:rPr>
          <w:rFonts w:ascii="Times New Roman" w:hAnsi="Times New Roman" w:cs="Times New Roman"/>
          <w:color w:val="000000" w:themeColor="text1"/>
          <w:sz w:val="24"/>
          <w:szCs w:val="24"/>
        </w:rPr>
      </w:pPr>
    </w:p>
    <w:p w14:paraId="6825E7EE" w14:textId="2F2DA8BB" w:rsidR="00214971" w:rsidRPr="009462B1" w:rsidRDefault="00214971" w:rsidP="009462B1">
      <w:pPr>
        <w:pStyle w:val="Heading4"/>
        <w:numPr>
          <w:ilvl w:val="3"/>
          <w:numId w:val="36"/>
        </w:numPr>
        <w:ind w:left="851" w:hanging="851"/>
      </w:pPr>
      <w:r w:rsidRPr="009462B1">
        <w:t>Emissions from Biomass burning</w:t>
      </w:r>
      <w:bookmarkEnd w:id="226"/>
    </w:p>
    <w:p w14:paraId="4F57ACB0" w14:textId="726AEBFD" w:rsidR="00214971" w:rsidRPr="00191ACB" w:rsidRDefault="00CE2112"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Zambia, b</w:t>
      </w:r>
      <w:r w:rsidR="00214971" w:rsidRPr="00191ACB">
        <w:rPr>
          <w:rFonts w:ascii="Times New Roman" w:hAnsi="Times New Roman" w:cs="Times New Roman"/>
          <w:color w:val="000000" w:themeColor="text1"/>
          <w:sz w:val="24"/>
          <w:szCs w:val="24"/>
        </w:rPr>
        <w:t>iomass burning occurs in forest land, crop land, grass land and in all other land</w:t>
      </w:r>
      <w:r w:rsidRPr="00191ACB">
        <w:rPr>
          <w:rFonts w:ascii="Times New Roman" w:hAnsi="Times New Roman" w:cs="Times New Roman"/>
          <w:color w:val="000000" w:themeColor="text1"/>
          <w:sz w:val="24"/>
          <w:szCs w:val="24"/>
        </w:rPr>
        <w:t xml:space="preserve"> in form of uncontrolled (wildfires) and managed (prescribed) fires.</w:t>
      </w:r>
      <w:r w:rsidR="00214971"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Annually</w:t>
      </w:r>
      <w:r w:rsidR="00214971" w:rsidRPr="00191ACB">
        <w:rPr>
          <w:rFonts w:ascii="Times New Roman" w:hAnsi="Times New Roman" w:cs="Times New Roman"/>
          <w:color w:val="000000" w:themeColor="text1"/>
          <w:sz w:val="24"/>
          <w:szCs w:val="24"/>
        </w:rPr>
        <w:t xml:space="preserve">, during the dry season, forest fires occur in most parts of Zambia. </w:t>
      </w:r>
      <w:r w:rsidR="009F2A6C" w:rsidRPr="00191ACB">
        <w:rPr>
          <w:rFonts w:ascii="Times New Roman" w:hAnsi="Times New Roman" w:cs="Times New Roman"/>
          <w:color w:val="000000" w:themeColor="text1"/>
          <w:sz w:val="24"/>
          <w:szCs w:val="24"/>
        </w:rPr>
        <w:t>B</w:t>
      </w:r>
      <w:r w:rsidR="00214971" w:rsidRPr="00191ACB">
        <w:rPr>
          <w:rFonts w:ascii="Times New Roman" w:hAnsi="Times New Roman" w:cs="Times New Roman"/>
          <w:color w:val="000000" w:themeColor="text1"/>
          <w:sz w:val="24"/>
          <w:szCs w:val="24"/>
        </w:rPr>
        <w:t xml:space="preserve">urning in the </w:t>
      </w:r>
      <w:r w:rsidR="009F2A6C" w:rsidRPr="00191ACB">
        <w:rPr>
          <w:rFonts w:ascii="Times New Roman" w:hAnsi="Times New Roman" w:cs="Times New Roman"/>
          <w:color w:val="000000" w:themeColor="text1"/>
          <w:sz w:val="24"/>
          <w:szCs w:val="24"/>
        </w:rPr>
        <w:t>fire</w:t>
      </w:r>
      <w:r w:rsidR="00214971" w:rsidRPr="00191ACB">
        <w:rPr>
          <w:rFonts w:ascii="Times New Roman" w:hAnsi="Times New Roman" w:cs="Times New Roman"/>
          <w:color w:val="000000" w:themeColor="text1"/>
          <w:sz w:val="24"/>
          <w:szCs w:val="24"/>
        </w:rPr>
        <w:t xml:space="preserve"> season (April to July) </w:t>
      </w:r>
      <w:r w:rsidR="009F2A6C" w:rsidRPr="00191ACB">
        <w:rPr>
          <w:rFonts w:ascii="Times New Roman" w:hAnsi="Times New Roman" w:cs="Times New Roman"/>
          <w:color w:val="000000" w:themeColor="text1"/>
          <w:sz w:val="24"/>
          <w:szCs w:val="24"/>
        </w:rPr>
        <w:t>i</w:t>
      </w:r>
      <w:r w:rsidR="00214971" w:rsidRPr="00191ACB">
        <w:rPr>
          <w:rFonts w:ascii="Times New Roman" w:hAnsi="Times New Roman" w:cs="Times New Roman"/>
          <w:color w:val="000000" w:themeColor="text1"/>
          <w:sz w:val="24"/>
          <w:szCs w:val="24"/>
        </w:rPr>
        <w:t xml:space="preserve">s classified as management practice, while late burning (August to November) </w:t>
      </w:r>
      <w:r w:rsidR="009F2A6C" w:rsidRPr="00191ACB">
        <w:rPr>
          <w:rFonts w:ascii="Times New Roman" w:hAnsi="Times New Roman" w:cs="Times New Roman"/>
          <w:color w:val="000000" w:themeColor="text1"/>
          <w:sz w:val="24"/>
          <w:szCs w:val="24"/>
        </w:rPr>
        <w:t>i</w:t>
      </w:r>
      <w:r w:rsidR="00214971" w:rsidRPr="00191ACB">
        <w:rPr>
          <w:rFonts w:ascii="Times New Roman" w:hAnsi="Times New Roman" w:cs="Times New Roman"/>
          <w:color w:val="000000" w:themeColor="text1"/>
          <w:sz w:val="24"/>
          <w:szCs w:val="24"/>
        </w:rPr>
        <w:t>s classified as forest disturbance due to the damage caused on the plant stocks as a result of the dry fuel loads. The uncontrolled (wildfires) and managed (prescribed) fires contribute to greenhouse gas emissions to the atmosphere. The non-CO</w:t>
      </w:r>
      <w:r w:rsidR="00214971" w:rsidRPr="00191ACB">
        <w:rPr>
          <w:rFonts w:ascii="Times New Roman" w:hAnsi="Times New Roman" w:cs="Times New Roman"/>
          <w:color w:val="000000" w:themeColor="text1"/>
          <w:sz w:val="24"/>
          <w:szCs w:val="24"/>
          <w:vertAlign w:val="subscript"/>
        </w:rPr>
        <w:t>2</w:t>
      </w:r>
      <w:r w:rsidR="00214971" w:rsidRPr="00191ACB">
        <w:rPr>
          <w:rFonts w:ascii="Times New Roman" w:hAnsi="Times New Roman" w:cs="Times New Roman"/>
          <w:color w:val="000000" w:themeColor="text1"/>
          <w:sz w:val="24"/>
          <w:szCs w:val="24"/>
        </w:rPr>
        <w:t xml:space="preserve"> gases that are emitted are Methane (CH</w:t>
      </w:r>
      <w:r w:rsidR="00214971" w:rsidRPr="00191ACB">
        <w:rPr>
          <w:rFonts w:ascii="Times New Roman" w:hAnsi="Times New Roman" w:cs="Times New Roman"/>
          <w:color w:val="000000" w:themeColor="text1"/>
          <w:sz w:val="24"/>
          <w:szCs w:val="24"/>
          <w:vertAlign w:val="subscript"/>
        </w:rPr>
        <w:t>4</w:t>
      </w:r>
      <w:r w:rsidR="00214971" w:rsidRPr="00191ACB">
        <w:rPr>
          <w:rFonts w:ascii="Times New Roman" w:hAnsi="Times New Roman" w:cs="Times New Roman"/>
          <w:color w:val="000000" w:themeColor="text1"/>
          <w:sz w:val="24"/>
          <w:szCs w:val="24"/>
        </w:rPr>
        <w:t>), Nitrous Oxide (N</w:t>
      </w:r>
      <w:r w:rsidR="00214971" w:rsidRPr="00191ACB">
        <w:rPr>
          <w:rFonts w:ascii="Times New Roman" w:hAnsi="Times New Roman" w:cs="Times New Roman"/>
          <w:color w:val="000000" w:themeColor="text1"/>
          <w:sz w:val="24"/>
          <w:szCs w:val="24"/>
          <w:vertAlign w:val="subscript"/>
        </w:rPr>
        <w:t>2</w:t>
      </w:r>
      <w:r w:rsidR="00214971" w:rsidRPr="00191ACB">
        <w:rPr>
          <w:rFonts w:ascii="Times New Roman" w:hAnsi="Times New Roman" w:cs="Times New Roman"/>
          <w:color w:val="000000" w:themeColor="text1"/>
          <w:sz w:val="24"/>
          <w:szCs w:val="24"/>
        </w:rPr>
        <w:t xml:space="preserve">O), </w:t>
      </w:r>
      <w:r w:rsidR="00BD590D" w:rsidRPr="00191ACB">
        <w:rPr>
          <w:rFonts w:ascii="Times New Roman" w:hAnsi="Times New Roman" w:cs="Times New Roman"/>
          <w:color w:val="000000" w:themeColor="text1"/>
          <w:sz w:val="24"/>
          <w:szCs w:val="24"/>
        </w:rPr>
        <w:t>Oxides of nitrogen</w:t>
      </w:r>
      <w:r w:rsidR="00214971" w:rsidRPr="00191ACB">
        <w:rPr>
          <w:rFonts w:ascii="Times New Roman" w:hAnsi="Times New Roman" w:cs="Times New Roman"/>
          <w:color w:val="000000" w:themeColor="text1"/>
          <w:sz w:val="24"/>
          <w:szCs w:val="24"/>
        </w:rPr>
        <w:t xml:space="preserve"> (NOx) and Carbon monoxide (CO).</w:t>
      </w:r>
    </w:p>
    <w:p w14:paraId="7188BD91" w14:textId="0C5333DB" w:rsidR="00214971" w:rsidRPr="00191ACB" w:rsidRDefault="009F2A6C" w:rsidP="005E626A">
      <w:pPr>
        <w:spacing w:before="100" w:after="120" w:line="240"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lastRenderedPageBreak/>
        <w:t>F</w:t>
      </w:r>
      <w:r w:rsidR="00214971" w:rsidRPr="00191ACB">
        <w:rPr>
          <w:rFonts w:ascii="Times New Roman" w:hAnsi="Times New Roman" w:cs="Times New Roman"/>
          <w:color w:val="000000" w:themeColor="text1"/>
          <w:sz w:val="24"/>
          <w:szCs w:val="24"/>
        </w:rPr>
        <w:t xml:space="preserve">ires on croplands </w:t>
      </w:r>
      <w:r w:rsidRPr="00191ACB">
        <w:rPr>
          <w:rFonts w:ascii="Times New Roman" w:hAnsi="Times New Roman" w:cs="Times New Roman"/>
          <w:color w:val="000000" w:themeColor="text1"/>
          <w:sz w:val="24"/>
          <w:szCs w:val="24"/>
        </w:rPr>
        <w:t xml:space="preserve">usually occur </w:t>
      </w:r>
      <w:r w:rsidR="00214971" w:rsidRPr="00191ACB">
        <w:rPr>
          <w:rFonts w:ascii="Times New Roman" w:hAnsi="Times New Roman" w:cs="Times New Roman"/>
          <w:color w:val="000000" w:themeColor="text1"/>
          <w:sz w:val="24"/>
          <w:szCs w:val="24"/>
        </w:rPr>
        <w:t>after harvest particularly on fields of small</w:t>
      </w:r>
      <w:r w:rsidR="000600D5"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scale</w:t>
      </w:r>
      <w:r w:rsidR="00214971" w:rsidRPr="00191ACB">
        <w:rPr>
          <w:rFonts w:ascii="Times New Roman" w:hAnsi="Times New Roman" w:cs="Times New Roman"/>
          <w:color w:val="000000" w:themeColor="text1"/>
          <w:sz w:val="24"/>
          <w:szCs w:val="24"/>
        </w:rPr>
        <w:t xml:space="preserve"> farmers. The burning of residual crop material releases CH</w:t>
      </w:r>
      <w:r w:rsidR="00214971" w:rsidRPr="00191ACB">
        <w:rPr>
          <w:rFonts w:ascii="Times New Roman" w:hAnsi="Times New Roman" w:cs="Times New Roman"/>
          <w:color w:val="000000" w:themeColor="text1"/>
          <w:sz w:val="24"/>
          <w:szCs w:val="24"/>
          <w:vertAlign w:val="subscript"/>
        </w:rPr>
        <w:t>4</w:t>
      </w:r>
      <w:r w:rsidR="00214971" w:rsidRPr="00191ACB">
        <w:rPr>
          <w:rFonts w:ascii="Times New Roman" w:hAnsi="Times New Roman" w:cs="Times New Roman"/>
          <w:color w:val="000000" w:themeColor="text1"/>
          <w:sz w:val="24"/>
          <w:szCs w:val="24"/>
        </w:rPr>
        <w:t>, N</w:t>
      </w:r>
      <w:r w:rsidR="00214971" w:rsidRPr="00191ACB">
        <w:rPr>
          <w:rFonts w:ascii="Times New Roman" w:hAnsi="Times New Roman" w:cs="Times New Roman"/>
          <w:color w:val="000000" w:themeColor="text1"/>
          <w:sz w:val="24"/>
          <w:szCs w:val="24"/>
          <w:vertAlign w:val="subscript"/>
        </w:rPr>
        <w:t>2</w:t>
      </w:r>
      <w:r w:rsidR="00214971" w:rsidRPr="00191ACB">
        <w:rPr>
          <w:rFonts w:ascii="Times New Roman" w:hAnsi="Times New Roman" w:cs="Times New Roman"/>
          <w:color w:val="000000" w:themeColor="text1"/>
          <w:sz w:val="24"/>
          <w:szCs w:val="24"/>
        </w:rPr>
        <w:t>O, CO and NOx into the atmosphere. The emissions from biomass burning increased from 7187.1 Gg CO</w:t>
      </w:r>
      <w:r w:rsidR="00214971" w:rsidRPr="00191ACB">
        <w:rPr>
          <w:rFonts w:ascii="Times New Roman" w:hAnsi="Times New Roman" w:cs="Times New Roman"/>
          <w:color w:val="000000" w:themeColor="text1"/>
          <w:sz w:val="24"/>
          <w:szCs w:val="24"/>
          <w:vertAlign w:val="subscript"/>
        </w:rPr>
        <w:t xml:space="preserve">2 eq. </w:t>
      </w:r>
      <w:r w:rsidR="00214971" w:rsidRPr="00191ACB">
        <w:rPr>
          <w:rFonts w:ascii="Times New Roman" w:hAnsi="Times New Roman" w:cs="Times New Roman"/>
          <w:color w:val="000000" w:themeColor="text1"/>
          <w:sz w:val="24"/>
          <w:szCs w:val="24"/>
        </w:rPr>
        <w:t>in 1994 base year to 11,079.6 Gg CO</w:t>
      </w:r>
      <w:r w:rsidR="00214971" w:rsidRPr="00191ACB">
        <w:rPr>
          <w:rFonts w:ascii="Times New Roman" w:hAnsi="Times New Roman" w:cs="Times New Roman"/>
          <w:color w:val="000000" w:themeColor="text1"/>
          <w:sz w:val="24"/>
          <w:szCs w:val="24"/>
          <w:vertAlign w:val="subscript"/>
        </w:rPr>
        <w:t>2eq</w:t>
      </w:r>
      <w:r w:rsidR="00214971" w:rsidRPr="00191ACB">
        <w:rPr>
          <w:rFonts w:ascii="Times New Roman" w:hAnsi="Times New Roman" w:cs="Times New Roman"/>
          <w:color w:val="000000" w:themeColor="text1"/>
          <w:sz w:val="24"/>
          <w:szCs w:val="24"/>
        </w:rPr>
        <w:t>. in 2016</w:t>
      </w:r>
      <w:r w:rsidR="00B90A10" w:rsidRPr="00191ACB">
        <w:rPr>
          <w:rFonts w:ascii="Times New Roman" w:hAnsi="Times New Roman" w:cs="Times New Roman"/>
          <w:color w:val="000000" w:themeColor="text1"/>
          <w:sz w:val="24"/>
          <w:szCs w:val="24"/>
        </w:rPr>
        <w:t xml:space="preserve"> </w:t>
      </w:r>
      <w:r w:rsidR="000600D5" w:rsidRPr="00191ACB">
        <w:rPr>
          <w:rFonts w:ascii="Times New Roman" w:hAnsi="Times New Roman" w:cs="Times New Roman"/>
          <w:color w:val="000000" w:themeColor="text1"/>
          <w:sz w:val="24"/>
          <w:szCs w:val="24"/>
        </w:rPr>
        <w:t xml:space="preserve">with some fluctuations between 2000 and 2015 </w:t>
      </w:r>
      <w:r w:rsidR="00214971" w:rsidRPr="00191ACB">
        <w:rPr>
          <w:rFonts w:ascii="Times New Roman" w:hAnsi="Times New Roman" w:cs="Times New Roman"/>
          <w:color w:val="000000" w:themeColor="text1"/>
          <w:sz w:val="24"/>
          <w:szCs w:val="24"/>
        </w:rPr>
        <w:t>(Figure</w:t>
      </w:r>
      <w:r w:rsidR="00ED7ECC" w:rsidRPr="00191ACB">
        <w:rPr>
          <w:rFonts w:ascii="Times New Roman" w:hAnsi="Times New Roman" w:cs="Times New Roman"/>
          <w:color w:val="000000" w:themeColor="text1"/>
          <w:sz w:val="24"/>
          <w:szCs w:val="24"/>
        </w:rPr>
        <w:t xml:space="preserve"> </w:t>
      </w:r>
      <w:r w:rsidR="001512D9" w:rsidRPr="00191ACB">
        <w:rPr>
          <w:rFonts w:ascii="Times New Roman" w:hAnsi="Times New Roman" w:cs="Times New Roman"/>
          <w:color w:val="000000" w:themeColor="text1"/>
          <w:sz w:val="24"/>
          <w:szCs w:val="24"/>
        </w:rPr>
        <w:t>3.33)</w:t>
      </w:r>
      <w:r w:rsidR="00214971" w:rsidRPr="00191ACB">
        <w:rPr>
          <w:rFonts w:ascii="Times New Roman" w:hAnsi="Times New Roman" w:cs="Times New Roman"/>
          <w:color w:val="000000" w:themeColor="text1"/>
          <w:sz w:val="24"/>
          <w:szCs w:val="24"/>
        </w:rPr>
        <w:t xml:space="preserve">. </w:t>
      </w:r>
    </w:p>
    <w:p w14:paraId="25DD5784" w14:textId="77777777" w:rsidR="00214971" w:rsidRPr="00191ACB" w:rsidRDefault="00214971" w:rsidP="00214971">
      <w:pPr>
        <w:rPr>
          <w:rFonts w:ascii="Times New Roman" w:hAnsi="Times New Roman" w:cs="Times New Roman"/>
          <w:color w:val="000000" w:themeColor="text1"/>
          <w:sz w:val="24"/>
          <w:szCs w:val="24"/>
        </w:rPr>
      </w:pPr>
    </w:p>
    <w:p w14:paraId="377335E6" w14:textId="77777777" w:rsidR="00214971" w:rsidRPr="00191ACB" w:rsidRDefault="00214971" w:rsidP="00214971">
      <w:pPr>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28D7EEBB" wp14:editId="7EEE5612">
            <wp:extent cx="5935980" cy="1988820"/>
            <wp:effectExtent l="0" t="0" r="7620" b="1143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9E79551" w14:textId="6AB376CF" w:rsidR="00214971" w:rsidRPr="00191ACB" w:rsidRDefault="000E11A3" w:rsidP="000E11A3">
      <w:pPr>
        <w:pStyle w:val="Caption"/>
        <w:rPr>
          <w:i w:val="0"/>
          <w:color w:val="000000" w:themeColor="text1"/>
          <w:sz w:val="24"/>
          <w:szCs w:val="24"/>
        </w:rPr>
      </w:pPr>
      <w:bookmarkStart w:id="227" w:name="_Toc56583878"/>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33</w:t>
      </w:r>
      <w:r w:rsidR="009D481C">
        <w:rPr>
          <w:sz w:val="24"/>
          <w:szCs w:val="24"/>
        </w:rPr>
        <w:fldChar w:fldCharType="end"/>
      </w:r>
      <w:r w:rsidRPr="00191ACB">
        <w:rPr>
          <w:sz w:val="24"/>
          <w:szCs w:val="24"/>
        </w:rPr>
        <w:t>:Emissions from biomass burning</w:t>
      </w:r>
      <w:bookmarkEnd w:id="227"/>
    </w:p>
    <w:p w14:paraId="24581952" w14:textId="2D816093" w:rsidR="00214971" w:rsidRPr="00191ACB" w:rsidRDefault="00214971" w:rsidP="00F04D87">
      <w:pPr>
        <w:spacing w:after="120" w:line="276" w:lineRule="auto"/>
        <w:jc w:val="both"/>
        <w:rPr>
          <w:rFonts w:ascii="Times New Roman" w:hAnsi="Times New Roman" w:cs="Times New Roman"/>
          <w:i/>
          <w:color w:val="000000" w:themeColor="text1"/>
          <w:sz w:val="24"/>
          <w:szCs w:val="24"/>
        </w:rPr>
      </w:pPr>
      <w:r w:rsidRPr="00191ACB">
        <w:rPr>
          <w:rFonts w:ascii="Times New Roman" w:hAnsi="Times New Roman" w:cs="Times New Roman"/>
          <w:color w:val="000000" w:themeColor="text1"/>
          <w:sz w:val="24"/>
          <w:szCs w:val="24"/>
        </w:rPr>
        <w:t>For the period under review, the trends in the biomass burning in forest land generally depict</w:t>
      </w:r>
      <w:r w:rsidR="00F305D5" w:rsidRPr="00191ACB">
        <w:rPr>
          <w:rFonts w:ascii="Times New Roman" w:hAnsi="Times New Roman" w:cs="Times New Roman"/>
          <w:color w:val="000000" w:themeColor="text1"/>
          <w:sz w:val="24"/>
          <w:szCs w:val="24"/>
        </w:rPr>
        <w:t>ed</w:t>
      </w:r>
      <w:r w:rsidRPr="00191ACB">
        <w:rPr>
          <w:rFonts w:ascii="Times New Roman" w:hAnsi="Times New Roman" w:cs="Times New Roman"/>
          <w:color w:val="000000" w:themeColor="text1"/>
          <w:sz w:val="24"/>
          <w:szCs w:val="24"/>
        </w:rPr>
        <w:t xml:space="preserve"> a downward trend from 2011 to 2014 and a rise from 2015 and 2016. The general downward trend from 2011 to 2014 </w:t>
      </w:r>
      <w:r w:rsidR="00F305D5" w:rsidRPr="00191ACB">
        <w:rPr>
          <w:rFonts w:ascii="Times New Roman" w:hAnsi="Times New Roman" w:cs="Times New Roman"/>
          <w:color w:val="000000" w:themeColor="text1"/>
          <w:sz w:val="24"/>
          <w:szCs w:val="24"/>
        </w:rPr>
        <w:t>was</w:t>
      </w:r>
      <w:r w:rsidRPr="00191ACB">
        <w:rPr>
          <w:rFonts w:ascii="Times New Roman" w:hAnsi="Times New Roman" w:cs="Times New Roman"/>
          <w:color w:val="000000" w:themeColor="text1"/>
          <w:sz w:val="24"/>
          <w:szCs w:val="24"/>
        </w:rPr>
        <w:t xml:space="preserve"> attributed to the fire management through early burning and to some extent grazing activities leading to a reduction in fuel. </w:t>
      </w:r>
    </w:p>
    <w:p w14:paraId="62D030E9" w14:textId="1CE28BF7" w:rsidR="00214971" w:rsidRPr="00191ACB" w:rsidRDefault="00214971"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trend in biomass burning in grassland indicate</w:t>
      </w:r>
      <w:r w:rsidR="00F305D5" w:rsidRPr="00191ACB">
        <w:rPr>
          <w:rFonts w:ascii="Times New Roman" w:hAnsi="Times New Roman" w:cs="Times New Roman"/>
          <w:color w:val="000000" w:themeColor="text1"/>
          <w:sz w:val="24"/>
          <w:szCs w:val="24"/>
        </w:rPr>
        <w:t>d</w:t>
      </w:r>
      <w:r w:rsidRPr="00191ACB">
        <w:rPr>
          <w:rFonts w:ascii="Times New Roman" w:hAnsi="Times New Roman" w:cs="Times New Roman"/>
          <w:color w:val="000000" w:themeColor="text1"/>
          <w:sz w:val="24"/>
          <w:szCs w:val="24"/>
        </w:rPr>
        <w:t xml:space="preserve"> a stable increase from 2011 to 2014 with a sudden rise in 2015 and 2016 as shown in Figure </w:t>
      </w:r>
      <w:r w:rsidR="001512D9" w:rsidRPr="00191ACB">
        <w:rPr>
          <w:rFonts w:ascii="Times New Roman" w:hAnsi="Times New Roman" w:cs="Times New Roman"/>
          <w:color w:val="000000" w:themeColor="text1"/>
          <w:sz w:val="24"/>
          <w:szCs w:val="24"/>
        </w:rPr>
        <w:t>3.33</w:t>
      </w:r>
      <w:r w:rsidRPr="00191ACB">
        <w:rPr>
          <w:rFonts w:ascii="Times New Roman" w:hAnsi="Times New Roman" w:cs="Times New Roman"/>
          <w:color w:val="000000" w:themeColor="text1"/>
          <w:sz w:val="24"/>
          <w:szCs w:val="24"/>
        </w:rPr>
        <w:t xml:space="preserve">. It </w:t>
      </w:r>
      <w:r w:rsidR="00F305D5" w:rsidRPr="00191ACB">
        <w:rPr>
          <w:rFonts w:ascii="Times New Roman" w:hAnsi="Times New Roman" w:cs="Times New Roman"/>
          <w:color w:val="000000" w:themeColor="text1"/>
          <w:sz w:val="24"/>
          <w:szCs w:val="24"/>
        </w:rPr>
        <w:t>was</w:t>
      </w:r>
      <w:r w:rsidRPr="00191ACB">
        <w:rPr>
          <w:rFonts w:ascii="Times New Roman" w:hAnsi="Times New Roman" w:cs="Times New Roman"/>
          <w:color w:val="000000" w:themeColor="text1"/>
          <w:sz w:val="24"/>
          <w:szCs w:val="24"/>
        </w:rPr>
        <w:t xml:space="preserve"> noted that the highest increase in biomass burnt was recorded in the period between 2014 and 2015 with the overall increase of 2,47,047 </w:t>
      </w:r>
      <w:r w:rsidR="009462B1">
        <w:rPr>
          <w:rFonts w:ascii="Times New Roman" w:hAnsi="Times New Roman" w:cs="Times New Roman"/>
          <w:color w:val="000000" w:themeColor="text1"/>
          <w:sz w:val="24"/>
          <w:szCs w:val="24"/>
        </w:rPr>
        <w:t>t</w:t>
      </w:r>
      <w:r w:rsidRPr="00191ACB">
        <w:rPr>
          <w:rFonts w:ascii="Times New Roman" w:hAnsi="Times New Roman" w:cs="Times New Roman"/>
          <w:color w:val="000000" w:themeColor="text1"/>
          <w:sz w:val="24"/>
          <w:szCs w:val="24"/>
        </w:rPr>
        <w:t xml:space="preserve">onnes of biomass burnt as compared to the other years under the reporting period. This increase can be attributed to the late burning schedules for agricultural land preparation, traditional practices and increased fuel due to droughts that were experienced in the 2014/2015 season. Some of the most affected areas were in Eastern and Southern Provinces. </w:t>
      </w:r>
    </w:p>
    <w:p w14:paraId="67F1377B" w14:textId="776E60EA" w:rsidR="00214971" w:rsidRPr="00191ACB" w:rsidRDefault="00214971"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For the biomass burning in settlements, the trend show</w:t>
      </w:r>
      <w:r w:rsidR="00F305D5" w:rsidRPr="00191ACB">
        <w:rPr>
          <w:rFonts w:ascii="Times New Roman" w:hAnsi="Times New Roman" w:cs="Times New Roman"/>
          <w:color w:val="000000" w:themeColor="text1"/>
          <w:sz w:val="24"/>
          <w:szCs w:val="24"/>
        </w:rPr>
        <w:t>ed</w:t>
      </w:r>
      <w:r w:rsidRPr="00191ACB">
        <w:rPr>
          <w:rFonts w:ascii="Times New Roman" w:hAnsi="Times New Roman" w:cs="Times New Roman"/>
          <w:color w:val="000000" w:themeColor="text1"/>
          <w:sz w:val="24"/>
          <w:szCs w:val="24"/>
        </w:rPr>
        <w:t xml:space="preserve"> a continuous stable upward rise from 2011 to 2014 with a sudden increase in 2015 and 2016. It was noted that the highest increase in the biomass burning was recorded between 2014 and 2015 with the overall increment of 213.72 tonnes of biomass burnt as compared to the years under the reporting period. This sudden increase can be attributed to the El Nino induced droughts that occured in the 2014/2015 season that caused an increase in the fuel for combustion and other anthropogenic activities such as clearing land for </w:t>
      </w:r>
      <w:r w:rsidR="001512D9" w:rsidRPr="00191ACB">
        <w:rPr>
          <w:rFonts w:ascii="Times New Roman" w:hAnsi="Times New Roman" w:cs="Times New Roman"/>
          <w:color w:val="000000" w:themeColor="text1"/>
          <w:sz w:val="24"/>
          <w:szCs w:val="24"/>
        </w:rPr>
        <w:t>both agriculture</w:t>
      </w:r>
      <w:r w:rsidRPr="00191ACB">
        <w:rPr>
          <w:rFonts w:ascii="Times New Roman" w:hAnsi="Times New Roman" w:cs="Times New Roman"/>
          <w:color w:val="000000" w:themeColor="text1"/>
          <w:sz w:val="24"/>
          <w:szCs w:val="24"/>
        </w:rPr>
        <w:t xml:space="preserve"> and settlement expansion. </w:t>
      </w:r>
    </w:p>
    <w:p w14:paraId="2BEA458C" w14:textId="6F79BFF6" w:rsidR="00214971" w:rsidRPr="00191ACB" w:rsidRDefault="00214971"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Biomass burning in cropland is particularly prevalent among small-scale and medium - scale farmers who constitute the majority of farmers in Zambia. Large scale farmers on the other hand generally have good fire management practices. The burning of crop residues occurs mostly as a result of wild bush fires beginning from May (for early burning) and in August - September for late burning. Farmers burn their crop residues for various reasons including control of crop pests which can affect their new crops and clearing the fields in readiness f</w:t>
      </w:r>
      <w:r w:rsidR="00127595" w:rsidRPr="00191ACB">
        <w:rPr>
          <w:rFonts w:ascii="Times New Roman" w:hAnsi="Times New Roman" w:cs="Times New Roman"/>
          <w:color w:val="000000" w:themeColor="text1"/>
          <w:sz w:val="24"/>
          <w:szCs w:val="24"/>
        </w:rPr>
        <w:t>or</w:t>
      </w:r>
      <w:r w:rsidRPr="00191ACB">
        <w:rPr>
          <w:rFonts w:ascii="Times New Roman" w:hAnsi="Times New Roman" w:cs="Times New Roman"/>
          <w:color w:val="000000" w:themeColor="text1"/>
          <w:sz w:val="24"/>
          <w:szCs w:val="24"/>
        </w:rPr>
        <w:t xml:space="preserve"> the following rainy season.</w:t>
      </w:r>
    </w:p>
    <w:p w14:paraId="557AD9DC" w14:textId="7D618D00" w:rsidR="00214971" w:rsidRPr="00191ACB" w:rsidRDefault="00214971"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In provinces like Southern and Eastern, where the majority of farming households are engaged in livestock rearing (i.e. cattle and goats), burning of crop residue is less practiced as the stover is used to </w:t>
      </w:r>
      <w:r w:rsidR="00127595" w:rsidRPr="00191ACB">
        <w:rPr>
          <w:rFonts w:ascii="Times New Roman" w:hAnsi="Times New Roman" w:cs="Times New Roman"/>
          <w:color w:val="000000" w:themeColor="text1"/>
          <w:sz w:val="24"/>
          <w:szCs w:val="24"/>
        </w:rPr>
        <w:t xml:space="preserve">feed </w:t>
      </w:r>
      <w:r w:rsidRPr="00191ACB">
        <w:rPr>
          <w:rFonts w:ascii="Times New Roman" w:hAnsi="Times New Roman" w:cs="Times New Roman"/>
          <w:color w:val="000000" w:themeColor="text1"/>
          <w:sz w:val="24"/>
          <w:szCs w:val="24"/>
        </w:rPr>
        <w:t xml:space="preserve">the animals. Data on burnt cropland areas, according to crops, was not available for the period </w:t>
      </w:r>
      <w:r w:rsidRPr="00191ACB">
        <w:rPr>
          <w:rFonts w:ascii="Times New Roman" w:hAnsi="Times New Roman" w:cs="Times New Roman"/>
          <w:color w:val="000000" w:themeColor="text1"/>
          <w:sz w:val="24"/>
          <w:szCs w:val="24"/>
        </w:rPr>
        <w:lastRenderedPageBreak/>
        <w:t>under review.  The burnt areas were therefore analysed based on the default area extent given by FAO (2014a). FAO explains that where country data is lacking on burnt crop residues, the default value of 10% of the production area can be used to estimate the amount of crop residue burnt. This is with the exception of commercial sugarcane where there is prescribed burning to make the harvesting process easier and require less manual labor. The trend shows that a larger cropland area was burnt in 2011(194299.4ha) compared to 2012(182772ha). The drop in 2012 denotes a reduction in cropland area which can be attributed to poor rainfall distribution. The 2013 and 2014 show an increase in areas of cropland burnt. However, in 2015 (172502 ha) there is a marked decrease (11.6%) in total area of biomass burning on cropland compared to 2014 (195173 ha). This decrease can be attributed to a reduction in cultivation and disturbance on cropland from floods and poor rainfall that was experienced in 2015 in some parts of the country.</w:t>
      </w:r>
    </w:p>
    <w:p w14:paraId="43597992" w14:textId="77777777" w:rsidR="00FC4FC5" w:rsidRPr="00191ACB" w:rsidRDefault="00FC4FC5" w:rsidP="005E626A">
      <w:pPr>
        <w:spacing w:before="240" w:after="120" w:line="240" w:lineRule="auto"/>
        <w:jc w:val="both"/>
        <w:rPr>
          <w:rFonts w:ascii="Times New Roman" w:hAnsi="Times New Roman" w:cs="Times New Roman"/>
          <w:color w:val="000000" w:themeColor="text1"/>
          <w:sz w:val="24"/>
          <w:szCs w:val="24"/>
        </w:rPr>
      </w:pPr>
    </w:p>
    <w:p w14:paraId="6504AA21" w14:textId="6C485D3C" w:rsidR="00214971" w:rsidRPr="009462B1" w:rsidRDefault="00214971" w:rsidP="009462B1">
      <w:pPr>
        <w:pStyle w:val="Heading4"/>
        <w:numPr>
          <w:ilvl w:val="3"/>
          <w:numId w:val="36"/>
        </w:numPr>
        <w:ind w:left="851" w:hanging="851"/>
      </w:pPr>
      <w:bookmarkStart w:id="228" w:name="_Toc48427330"/>
      <w:r w:rsidRPr="009462B1">
        <w:t>Liming</w:t>
      </w:r>
      <w:bookmarkEnd w:id="228"/>
    </w:p>
    <w:p w14:paraId="7EFFB2B0" w14:textId="2F4DEE66" w:rsidR="00214971" w:rsidRPr="00191ACB" w:rsidRDefault="00214971"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Liming is used to reduce soil acidity and improve plant growth in managed systems, particularly agricultural lands and forests. Lime consumption in Zambia for agriculture purposes is mostly by large -scale farmers. Large scale farmers, particularly in high rainfall areas of the country, where crop commercial farming is concentrated, use dolomitic or calcitic lime to increase the pH of acidic soils. Dolomitic and calcitic lime are both available on the Zambian market. However,</w:t>
      </w:r>
      <w:r w:rsidR="00C52B51" w:rsidRPr="00191ACB">
        <w:rPr>
          <w:rFonts w:ascii="Times New Roman" w:hAnsi="Times New Roman" w:cs="Times New Roman"/>
          <w:color w:val="000000" w:themeColor="text1"/>
          <w:sz w:val="24"/>
          <w:szCs w:val="24"/>
        </w:rPr>
        <w:t xml:space="preserve"> available</w:t>
      </w:r>
      <w:r w:rsidRPr="00191ACB">
        <w:rPr>
          <w:rFonts w:ascii="Times New Roman" w:hAnsi="Times New Roman" w:cs="Times New Roman"/>
          <w:color w:val="000000" w:themeColor="text1"/>
          <w:sz w:val="24"/>
          <w:szCs w:val="24"/>
        </w:rPr>
        <w:t xml:space="preserve"> data </w:t>
      </w:r>
      <w:r w:rsidR="00C52B51" w:rsidRPr="00191ACB">
        <w:rPr>
          <w:rFonts w:ascii="Times New Roman" w:hAnsi="Times New Roman" w:cs="Times New Roman"/>
          <w:color w:val="000000" w:themeColor="text1"/>
          <w:sz w:val="24"/>
          <w:szCs w:val="24"/>
        </w:rPr>
        <w:t xml:space="preserve">during the reporting period </w:t>
      </w:r>
      <w:r w:rsidRPr="00191ACB">
        <w:rPr>
          <w:rFonts w:ascii="Times New Roman" w:hAnsi="Times New Roman" w:cs="Times New Roman"/>
          <w:color w:val="000000" w:themeColor="text1"/>
          <w:sz w:val="24"/>
          <w:szCs w:val="24"/>
        </w:rPr>
        <w:t>d</w:t>
      </w:r>
      <w:r w:rsidR="00C52B51" w:rsidRPr="00191ACB">
        <w:rPr>
          <w:rFonts w:ascii="Times New Roman" w:hAnsi="Times New Roman" w:cs="Times New Roman"/>
          <w:color w:val="000000" w:themeColor="text1"/>
          <w:sz w:val="24"/>
          <w:szCs w:val="24"/>
        </w:rPr>
        <w:t xml:space="preserve">id </w:t>
      </w:r>
      <w:r w:rsidRPr="00191ACB">
        <w:rPr>
          <w:rFonts w:ascii="Times New Roman" w:hAnsi="Times New Roman" w:cs="Times New Roman"/>
          <w:color w:val="000000" w:themeColor="text1"/>
          <w:sz w:val="24"/>
          <w:szCs w:val="24"/>
        </w:rPr>
        <w:t xml:space="preserve">not </w:t>
      </w:r>
      <w:r w:rsidR="00C52B51" w:rsidRPr="00191ACB">
        <w:rPr>
          <w:rFonts w:ascii="Times New Roman" w:hAnsi="Times New Roman" w:cs="Times New Roman"/>
          <w:color w:val="000000" w:themeColor="text1"/>
          <w:sz w:val="24"/>
          <w:szCs w:val="24"/>
        </w:rPr>
        <w:t>disaggregate the</w:t>
      </w:r>
      <w:r w:rsidRPr="00191ACB">
        <w:rPr>
          <w:rFonts w:ascii="Times New Roman" w:hAnsi="Times New Roman" w:cs="Times New Roman"/>
          <w:color w:val="000000" w:themeColor="text1"/>
          <w:sz w:val="24"/>
          <w:szCs w:val="24"/>
        </w:rPr>
        <w:t xml:space="preserve"> type of lime</w:t>
      </w:r>
      <w:r w:rsidR="00C52B51" w:rsidRPr="00191ACB">
        <w:rPr>
          <w:rFonts w:ascii="Times New Roman" w:hAnsi="Times New Roman" w:cs="Times New Roman"/>
          <w:color w:val="000000" w:themeColor="text1"/>
          <w:sz w:val="24"/>
          <w:szCs w:val="24"/>
        </w:rPr>
        <w:t>. It was therefore assumed that the type of lime applied on agricultural land was dolomitic</w:t>
      </w:r>
      <w:r w:rsidRPr="00191ACB">
        <w:rPr>
          <w:rFonts w:ascii="Times New Roman" w:hAnsi="Times New Roman" w:cs="Times New Roman"/>
          <w:color w:val="000000" w:themeColor="text1"/>
          <w:sz w:val="24"/>
          <w:szCs w:val="24"/>
        </w:rPr>
        <w:t xml:space="preserve"> be</w:t>
      </w:r>
      <w:r w:rsidR="00C52B51" w:rsidRPr="00191ACB">
        <w:rPr>
          <w:rFonts w:ascii="Times New Roman" w:hAnsi="Times New Roman" w:cs="Times New Roman"/>
          <w:color w:val="000000" w:themeColor="text1"/>
          <w:sz w:val="24"/>
          <w:szCs w:val="24"/>
        </w:rPr>
        <w:t xml:space="preserve">cause </w:t>
      </w:r>
      <w:r w:rsidRPr="00191ACB">
        <w:rPr>
          <w:rFonts w:ascii="Times New Roman" w:hAnsi="Times New Roman" w:cs="Times New Roman"/>
          <w:color w:val="000000" w:themeColor="text1"/>
          <w:sz w:val="24"/>
          <w:szCs w:val="24"/>
        </w:rPr>
        <w:t>it contains large amounts of magnesium which are an important mineral for plant health.</w:t>
      </w:r>
    </w:p>
    <w:p w14:paraId="5BBF8D5A" w14:textId="77777777" w:rsidR="00C52B51" w:rsidRPr="00191ACB" w:rsidRDefault="00C52B51" w:rsidP="005E626A">
      <w:pPr>
        <w:spacing w:before="100" w:after="120" w:line="240" w:lineRule="auto"/>
        <w:jc w:val="both"/>
        <w:rPr>
          <w:rFonts w:ascii="Times New Roman" w:hAnsi="Times New Roman" w:cs="Times New Roman"/>
          <w:color w:val="000000" w:themeColor="text1"/>
          <w:sz w:val="24"/>
          <w:szCs w:val="24"/>
        </w:rPr>
      </w:pPr>
    </w:p>
    <w:p w14:paraId="1CAFEEB0" w14:textId="4EAE951B" w:rsidR="00214971" w:rsidRPr="00191ACB" w:rsidRDefault="00F37BDA"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w:t>
      </w:r>
      <w:r w:rsidR="00214971" w:rsidRPr="00191ACB">
        <w:rPr>
          <w:rFonts w:ascii="Times New Roman" w:hAnsi="Times New Roman" w:cs="Times New Roman"/>
          <w:color w:val="000000" w:themeColor="text1"/>
          <w:sz w:val="24"/>
          <w:szCs w:val="24"/>
        </w:rPr>
        <w:t xml:space="preserve">missions from </w:t>
      </w:r>
      <w:r w:rsidR="00C52B51" w:rsidRPr="00191ACB">
        <w:rPr>
          <w:rFonts w:ascii="Times New Roman" w:hAnsi="Times New Roman" w:cs="Times New Roman"/>
          <w:color w:val="000000" w:themeColor="text1"/>
          <w:sz w:val="24"/>
          <w:szCs w:val="24"/>
        </w:rPr>
        <w:t>l</w:t>
      </w:r>
      <w:r w:rsidR="00214971" w:rsidRPr="00191ACB">
        <w:rPr>
          <w:rFonts w:ascii="Times New Roman" w:hAnsi="Times New Roman" w:cs="Times New Roman"/>
          <w:color w:val="000000" w:themeColor="text1"/>
          <w:sz w:val="24"/>
          <w:szCs w:val="24"/>
        </w:rPr>
        <w:t xml:space="preserve">iming </w:t>
      </w:r>
      <w:r w:rsidR="00C52B51" w:rsidRPr="00191ACB">
        <w:rPr>
          <w:rFonts w:ascii="Times New Roman" w:hAnsi="Times New Roman" w:cs="Times New Roman"/>
          <w:color w:val="000000" w:themeColor="text1"/>
          <w:sz w:val="24"/>
          <w:szCs w:val="24"/>
        </w:rPr>
        <w:t xml:space="preserve">revealed a </w:t>
      </w:r>
      <w:r w:rsidR="00214971" w:rsidRPr="00191ACB">
        <w:rPr>
          <w:rFonts w:ascii="Times New Roman" w:hAnsi="Times New Roman" w:cs="Times New Roman"/>
          <w:color w:val="000000" w:themeColor="text1"/>
          <w:sz w:val="24"/>
          <w:szCs w:val="24"/>
        </w:rPr>
        <w:t xml:space="preserve">varying </w:t>
      </w:r>
      <w:r w:rsidR="00C52B51" w:rsidRPr="00191ACB">
        <w:rPr>
          <w:rFonts w:ascii="Times New Roman" w:hAnsi="Times New Roman" w:cs="Times New Roman"/>
          <w:color w:val="000000" w:themeColor="text1"/>
          <w:sz w:val="24"/>
          <w:szCs w:val="24"/>
        </w:rPr>
        <w:t xml:space="preserve">trend </w:t>
      </w:r>
      <w:r w:rsidRPr="00191ACB">
        <w:rPr>
          <w:rFonts w:ascii="Times New Roman" w:hAnsi="Times New Roman" w:cs="Times New Roman"/>
          <w:color w:val="000000" w:themeColor="text1"/>
          <w:sz w:val="24"/>
          <w:szCs w:val="24"/>
        </w:rPr>
        <w:t>between</w:t>
      </w:r>
      <w:r w:rsidR="00214971" w:rsidRPr="00191ACB">
        <w:rPr>
          <w:rFonts w:ascii="Times New Roman" w:hAnsi="Times New Roman" w:cs="Times New Roman"/>
          <w:color w:val="000000" w:themeColor="text1"/>
          <w:sz w:val="24"/>
          <w:szCs w:val="24"/>
        </w:rPr>
        <w:t xml:space="preserve"> 2011 </w:t>
      </w:r>
      <w:r w:rsidRPr="00191ACB">
        <w:rPr>
          <w:rFonts w:ascii="Times New Roman" w:hAnsi="Times New Roman" w:cs="Times New Roman"/>
          <w:color w:val="000000" w:themeColor="text1"/>
          <w:sz w:val="24"/>
          <w:szCs w:val="24"/>
        </w:rPr>
        <w:t>and</w:t>
      </w:r>
      <w:r w:rsidR="00214971" w:rsidRPr="00191ACB">
        <w:rPr>
          <w:rFonts w:ascii="Times New Roman" w:hAnsi="Times New Roman" w:cs="Times New Roman"/>
          <w:color w:val="000000" w:themeColor="text1"/>
          <w:sz w:val="24"/>
          <w:szCs w:val="24"/>
        </w:rPr>
        <w:t xml:space="preserve"> 2016. The emissions in 2011 </w:t>
      </w:r>
      <w:r w:rsidR="00C52B51" w:rsidRPr="00191ACB">
        <w:rPr>
          <w:rFonts w:ascii="Times New Roman" w:hAnsi="Times New Roman" w:cs="Times New Roman"/>
          <w:color w:val="000000" w:themeColor="text1"/>
          <w:sz w:val="24"/>
          <w:szCs w:val="24"/>
        </w:rPr>
        <w:t xml:space="preserve">were </w:t>
      </w:r>
      <w:r w:rsidR="00214971" w:rsidRPr="00191ACB">
        <w:rPr>
          <w:rFonts w:ascii="Times New Roman" w:hAnsi="Times New Roman" w:cs="Times New Roman"/>
          <w:color w:val="000000" w:themeColor="text1"/>
          <w:sz w:val="24"/>
          <w:szCs w:val="24"/>
        </w:rPr>
        <w:t>0.4 Gg CO</w:t>
      </w:r>
      <w:r w:rsidR="00214971" w:rsidRPr="00191ACB">
        <w:rPr>
          <w:rFonts w:ascii="Times New Roman" w:hAnsi="Times New Roman" w:cs="Times New Roman"/>
          <w:color w:val="000000" w:themeColor="text1"/>
          <w:sz w:val="24"/>
          <w:szCs w:val="24"/>
          <w:vertAlign w:val="subscript"/>
        </w:rPr>
        <w:t xml:space="preserve">2 eq. </w:t>
      </w:r>
      <w:r w:rsidR="00214971" w:rsidRPr="00191ACB">
        <w:rPr>
          <w:rFonts w:ascii="Times New Roman" w:hAnsi="Times New Roman" w:cs="Times New Roman"/>
          <w:color w:val="000000" w:themeColor="text1"/>
          <w:sz w:val="24"/>
          <w:szCs w:val="24"/>
        </w:rPr>
        <w:t xml:space="preserve"> and increased sharply in 2012 to 2.4Gg CO</w:t>
      </w:r>
      <w:r w:rsidR="00214971" w:rsidRPr="00191ACB">
        <w:rPr>
          <w:rFonts w:ascii="Times New Roman" w:hAnsi="Times New Roman" w:cs="Times New Roman"/>
          <w:color w:val="000000" w:themeColor="text1"/>
          <w:sz w:val="24"/>
          <w:szCs w:val="24"/>
          <w:vertAlign w:val="subscript"/>
        </w:rPr>
        <w:t>2eq</w:t>
      </w:r>
      <w:r w:rsidR="00214971" w:rsidRPr="00191ACB">
        <w:rPr>
          <w:rFonts w:ascii="Times New Roman" w:hAnsi="Times New Roman" w:cs="Times New Roman"/>
          <w:color w:val="000000" w:themeColor="text1"/>
          <w:sz w:val="24"/>
          <w:szCs w:val="24"/>
        </w:rPr>
        <w:t>. followed by a sharp decline in 2013</w:t>
      </w:r>
      <w:r w:rsidRPr="00191ACB">
        <w:rPr>
          <w:rFonts w:ascii="Times New Roman" w:hAnsi="Times New Roman" w:cs="Times New Roman"/>
          <w:color w:val="000000" w:themeColor="text1"/>
          <w:sz w:val="24"/>
          <w:szCs w:val="24"/>
        </w:rPr>
        <w:t xml:space="preserve"> at 0.6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This was followed by a </w:t>
      </w:r>
      <w:r w:rsidR="00214971" w:rsidRPr="00191ACB">
        <w:rPr>
          <w:rFonts w:ascii="Times New Roman" w:hAnsi="Times New Roman" w:cs="Times New Roman"/>
          <w:color w:val="000000" w:themeColor="text1"/>
          <w:sz w:val="24"/>
          <w:szCs w:val="24"/>
        </w:rPr>
        <w:t xml:space="preserve">steady </w:t>
      </w:r>
      <w:r w:rsidRPr="00191ACB">
        <w:rPr>
          <w:rFonts w:ascii="Times New Roman" w:hAnsi="Times New Roman" w:cs="Times New Roman"/>
          <w:color w:val="000000" w:themeColor="text1"/>
          <w:sz w:val="24"/>
          <w:szCs w:val="24"/>
        </w:rPr>
        <w:t>increase of</w:t>
      </w:r>
      <w:r w:rsidR="00214971" w:rsidRPr="00191ACB">
        <w:rPr>
          <w:rFonts w:ascii="Times New Roman" w:hAnsi="Times New Roman" w:cs="Times New Roman"/>
          <w:color w:val="000000" w:themeColor="text1"/>
          <w:sz w:val="24"/>
          <w:szCs w:val="24"/>
        </w:rPr>
        <w:t xml:space="preserve"> 1.7 Gg CO</w:t>
      </w:r>
      <w:r w:rsidR="00214971" w:rsidRPr="00191ACB">
        <w:rPr>
          <w:rFonts w:ascii="Times New Roman" w:hAnsi="Times New Roman" w:cs="Times New Roman"/>
          <w:color w:val="000000" w:themeColor="text1"/>
          <w:sz w:val="24"/>
          <w:szCs w:val="24"/>
          <w:vertAlign w:val="subscript"/>
        </w:rPr>
        <w:t>2eq</w:t>
      </w:r>
      <w:r w:rsidR="00214971" w:rsidRPr="00191ACB">
        <w:rPr>
          <w:rFonts w:ascii="Times New Roman" w:hAnsi="Times New Roman" w:cs="Times New Roman"/>
          <w:color w:val="000000" w:themeColor="text1"/>
          <w:sz w:val="24"/>
          <w:szCs w:val="24"/>
        </w:rPr>
        <w:t xml:space="preserve">. in 2016. </w:t>
      </w:r>
    </w:p>
    <w:p w14:paraId="3746259F" w14:textId="77777777" w:rsidR="000C47EC" w:rsidRPr="00191ACB" w:rsidRDefault="000C47EC" w:rsidP="005E626A">
      <w:pPr>
        <w:spacing w:before="100" w:after="120" w:line="240" w:lineRule="auto"/>
        <w:jc w:val="both"/>
        <w:rPr>
          <w:rFonts w:ascii="Times New Roman" w:hAnsi="Times New Roman" w:cs="Times New Roman"/>
          <w:color w:val="000000" w:themeColor="text1"/>
          <w:sz w:val="24"/>
          <w:szCs w:val="24"/>
        </w:rPr>
      </w:pPr>
    </w:p>
    <w:p w14:paraId="2464843F" w14:textId="1C15C6AF" w:rsidR="00214971" w:rsidRPr="009462B1" w:rsidRDefault="00214971" w:rsidP="009462B1">
      <w:pPr>
        <w:pStyle w:val="Heading4"/>
        <w:numPr>
          <w:ilvl w:val="3"/>
          <w:numId w:val="36"/>
        </w:numPr>
        <w:ind w:left="851" w:hanging="851"/>
      </w:pPr>
      <w:bookmarkStart w:id="229" w:name="_Toc48427331"/>
      <w:r w:rsidRPr="009462B1">
        <w:t>Urea application</w:t>
      </w:r>
      <w:bookmarkEnd w:id="229"/>
    </w:p>
    <w:p w14:paraId="3F32221A" w14:textId="7F3DB99E" w:rsidR="00214971" w:rsidRPr="00191ACB" w:rsidRDefault="00214971" w:rsidP="00F04D87">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A</w:t>
      </w:r>
      <w:r w:rsidR="008C7B71" w:rsidRPr="00191ACB">
        <w:rPr>
          <w:rFonts w:ascii="Times New Roman" w:hAnsi="Times New Roman" w:cs="Times New Roman"/>
          <w:color w:val="000000" w:themeColor="text1"/>
          <w:sz w:val="24"/>
          <w:szCs w:val="24"/>
        </w:rPr>
        <w:t>pplication of</w:t>
      </w:r>
      <w:r w:rsidRPr="00191ACB">
        <w:rPr>
          <w:rFonts w:ascii="Times New Roman" w:hAnsi="Times New Roman" w:cs="Times New Roman"/>
          <w:color w:val="000000" w:themeColor="text1"/>
          <w:sz w:val="24"/>
          <w:szCs w:val="24"/>
        </w:rPr>
        <w:t xml:space="preserve"> urea to soils release</w:t>
      </w:r>
      <w:r w:rsidR="00F37BDA" w:rsidRPr="00191ACB">
        <w:rPr>
          <w:rFonts w:ascii="Times New Roman" w:hAnsi="Times New Roman" w:cs="Times New Roman"/>
          <w:color w:val="000000" w:themeColor="text1"/>
          <w:sz w:val="24"/>
          <w:szCs w:val="24"/>
        </w:rPr>
        <w:t>s</w:t>
      </w:r>
      <w:r w:rsidRPr="00191ACB">
        <w:rPr>
          <w:rFonts w:ascii="Times New Roman" w:hAnsi="Times New Roman" w:cs="Times New Roman"/>
          <w:color w:val="000000" w:themeColor="text1"/>
          <w:sz w:val="24"/>
          <w:szCs w:val="24"/>
        </w:rPr>
        <w:t xml:space="preserve">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008C7B71" w:rsidRPr="00191ACB">
        <w:rPr>
          <w:rFonts w:ascii="Times New Roman" w:hAnsi="Times New Roman" w:cs="Times New Roman"/>
          <w:color w:val="000000" w:themeColor="text1"/>
          <w:sz w:val="24"/>
          <w:szCs w:val="24"/>
        </w:rPr>
        <w:t>E</w:t>
      </w:r>
      <w:r w:rsidRPr="00191ACB">
        <w:rPr>
          <w:rFonts w:ascii="Times New Roman" w:hAnsi="Times New Roman" w:cs="Times New Roman"/>
          <w:color w:val="000000" w:themeColor="text1"/>
          <w:sz w:val="24"/>
          <w:szCs w:val="24"/>
        </w:rPr>
        <w:t xml:space="preserve">missions from Urea application </w:t>
      </w:r>
      <w:r w:rsidR="008C7B71" w:rsidRPr="00191ACB">
        <w:rPr>
          <w:rFonts w:ascii="Times New Roman" w:hAnsi="Times New Roman" w:cs="Times New Roman"/>
          <w:color w:val="000000" w:themeColor="text1"/>
          <w:sz w:val="24"/>
          <w:szCs w:val="24"/>
        </w:rPr>
        <w:t>showed a</w:t>
      </w:r>
      <w:r w:rsidRPr="00191ACB">
        <w:rPr>
          <w:rFonts w:ascii="Times New Roman" w:hAnsi="Times New Roman" w:cs="Times New Roman"/>
          <w:color w:val="000000" w:themeColor="text1"/>
          <w:sz w:val="24"/>
          <w:szCs w:val="24"/>
        </w:rPr>
        <w:t xml:space="preserve"> varying</w:t>
      </w:r>
      <w:r w:rsidR="008C7B71" w:rsidRPr="00191ACB">
        <w:rPr>
          <w:rFonts w:ascii="Times New Roman" w:hAnsi="Times New Roman" w:cs="Times New Roman"/>
          <w:color w:val="000000" w:themeColor="text1"/>
          <w:sz w:val="24"/>
          <w:szCs w:val="24"/>
        </w:rPr>
        <w:t xml:space="preserve"> trend</w:t>
      </w:r>
      <w:r w:rsidRPr="00191ACB">
        <w:rPr>
          <w:rFonts w:ascii="Times New Roman" w:hAnsi="Times New Roman" w:cs="Times New Roman"/>
          <w:color w:val="000000" w:themeColor="text1"/>
          <w:sz w:val="24"/>
          <w:szCs w:val="24"/>
        </w:rPr>
        <w:t xml:space="preserve"> from 2000 to </w:t>
      </w:r>
      <w:r w:rsidR="001512D9" w:rsidRPr="00191ACB">
        <w:rPr>
          <w:rFonts w:ascii="Times New Roman" w:hAnsi="Times New Roman" w:cs="Times New Roman"/>
          <w:color w:val="000000" w:themeColor="text1"/>
          <w:sz w:val="24"/>
          <w:szCs w:val="24"/>
        </w:rPr>
        <w:t>2016.</w:t>
      </w:r>
      <w:r w:rsidRPr="00191ACB">
        <w:rPr>
          <w:rFonts w:ascii="Times New Roman" w:hAnsi="Times New Roman" w:cs="Times New Roman"/>
          <w:color w:val="000000" w:themeColor="text1"/>
          <w:sz w:val="24"/>
          <w:szCs w:val="24"/>
        </w:rPr>
        <w:t xml:space="preserve"> (Figure</w:t>
      </w:r>
      <w:r w:rsidR="001512D9" w:rsidRPr="00191ACB">
        <w:rPr>
          <w:rFonts w:ascii="Times New Roman" w:hAnsi="Times New Roman" w:cs="Times New Roman"/>
          <w:color w:val="000000" w:themeColor="text1"/>
          <w:sz w:val="24"/>
          <w:szCs w:val="24"/>
        </w:rPr>
        <w:t xml:space="preserve"> 3.34</w:t>
      </w:r>
      <w:r w:rsidRPr="00191ACB">
        <w:rPr>
          <w:rFonts w:ascii="Times New Roman" w:hAnsi="Times New Roman" w:cs="Times New Roman"/>
          <w:color w:val="000000" w:themeColor="text1"/>
          <w:sz w:val="24"/>
          <w:szCs w:val="24"/>
        </w:rPr>
        <w:t xml:space="preserve">). </w:t>
      </w:r>
    </w:p>
    <w:p w14:paraId="6E4B1CAD" w14:textId="77777777" w:rsidR="00214971" w:rsidRPr="00191ACB" w:rsidRDefault="00214971" w:rsidP="00214971">
      <w:pPr>
        <w:jc w:val="both"/>
        <w:rPr>
          <w:rFonts w:ascii="Times New Roman" w:hAnsi="Times New Roman" w:cs="Times New Roman"/>
          <w:b/>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1868DE16" wp14:editId="0A1CBB0D">
            <wp:extent cx="5046306" cy="2188028"/>
            <wp:effectExtent l="0" t="0" r="2540" b="317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29817C7" w14:textId="71406FA4" w:rsidR="00214971" w:rsidRPr="00191ACB" w:rsidRDefault="000E11A3" w:rsidP="000E11A3">
      <w:pPr>
        <w:pStyle w:val="Caption"/>
        <w:rPr>
          <w:color w:val="000000" w:themeColor="text1"/>
          <w:sz w:val="24"/>
          <w:szCs w:val="24"/>
        </w:rPr>
      </w:pPr>
      <w:bookmarkStart w:id="230" w:name="_Toc56583879"/>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34</w:t>
      </w:r>
      <w:r w:rsidR="009D481C">
        <w:rPr>
          <w:sz w:val="24"/>
          <w:szCs w:val="24"/>
        </w:rPr>
        <w:fldChar w:fldCharType="end"/>
      </w:r>
      <w:r w:rsidRPr="00191ACB">
        <w:rPr>
          <w:sz w:val="24"/>
          <w:szCs w:val="24"/>
        </w:rPr>
        <w:t>:Trends of Urea consumption</w:t>
      </w:r>
      <w:bookmarkEnd w:id="230"/>
    </w:p>
    <w:p w14:paraId="2FD50722" w14:textId="0A4B8BF4" w:rsidR="00214971" w:rsidRPr="00191ACB" w:rsidRDefault="000E064F" w:rsidP="00F57665">
      <w:pPr>
        <w:spacing w:after="120" w:line="276" w:lineRule="auto"/>
        <w:jc w:val="both"/>
        <w:rPr>
          <w:rFonts w:ascii="Times New Roman" w:hAnsi="Times New Roman" w:cs="Times New Roman"/>
          <w:color w:val="000000" w:themeColor="text1"/>
          <w:sz w:val="24"/>
          <w:szCs w:val="24"/>
          <w:vertAlign w:val="subscript"/>
        </w:rPr>
      </w:pPr>
      <w:r w:rsidRPr="00191ACB">
        <w:rPr>
          <w:rFonts w:ascii="Times New Roman" w:hAnsi="Times New Roman" w:cs="Times New Roman"/>
          <w:color w:val="000000" w:themeColor="text1"/>
          <w:sz w:val="24"/>
          <w:szCs w:val="24"/>
        </w:rPr>
        <w:lastRenderedPageBreak/>
        <w:t>The lowest emissions were estimated in 2005 at 18.4 Gg CO</w:t>
      </w:r>
      <w:r w:rsidRPr="00191ACB">
        <w:rPr>
          <w:rFonts w:ascii="Times New Roman" w:hAnsi="Times New Roman" w:cs="Times New Roman"/>
          <w:color w:val="000000" w:themeColor="text1"/>
          <w:sz w:val="24"/>
          <w:szCs w:val="24"/>
          <w:vertAlign w:val="subscript"/>
        </w:rPr>
        <w:t xml:space="preserve">2 eq. </w:t>
      </w:r>
      <w:r w:rsidRPr="00191ACB">
        <w:rPr>
          <w:rFonts w:ascii="Times New Roman" w:hAnsi="Times New Roman" w:cs="Times New Roman"/>
          <w:color w:val="000000" w:themeColor="text1"/>
          <w:sz w:val="24"/>
          <w:szCs w:val="24"/>
        </w:rPr>
        <w:t xml:space="preserve"> while the highest were in 2015 at 132.5 Gg CO</w:t>
      </w:r>
      <w:r w:rsidRPr="00191ACB">
        <w:rPr>
          <w:rFonts w:ascii="Times New Roman" w:hAnsi="Times New Roman" w:cs="Times New Roman"/>
          <w:color w:val="000000" w:themeColor="text1"/>
          <w:sz w:val="24"/>
          <w:szCs w:val="24"/>
          <w:vertAlign w:val="subscript"/>
        </w:rPr>
        <w:t>2 eq.</w:t>
      </w:r>
    </w:p>
    <w:p w14:paraId="0F44C106" w14:textId="77777777" w:rsidR="000E064F" w:rsidRPr="00191ACB" w:rsidRDefault="000E064F" w:rsidP="005E626A">
      <w:pPr>
        <w:spacing w:after="120" w:line="240" w:lineRule="auto"/>
        <w:rPr>
          <w:rFonts w:ascii="Times New Roman" w:hAnsi="Times New Roman" w:cs="Times New Roman"/>
          <w:b/>
          <w:color w:val="000000" w:themeColor="text1"/>
          <w:sz w:val="24"/>
          <w:szCs w:val="24"/>
        </w:rPr>
      </w:pPr>
    </w:p>
    <w:p w14:paraId="1A7F7507" w14:textId="31808E3B" w:rsidR="00214971" w:rsidRPr="009462B1" w:rsidRDefault="00214971" w:rsidP="009462B1">
      <w:pPr>
        <w:pStyle w:val="Heading4"/>
        <w:numPr>
          <w:ilvl w:val="3"/>
          <w:numId w:val="36"/>
        </w:numPr>
        <w:ind w:left="851" w:hanging="851"/>
      </w:pPr>
      <w:bookmarkStart w:id="231" w:name="_Toc48427332"/>
      <w:r w:rsidRPr="009462B1">
        <w:t>Direct N2O emissions from managed soils</w:t>
      </w:r>
      <w:bookmarkEnd w:id="231"/>
    </w:p>
    <w:p w14:paraId="085DCF76" w14:textId="6683F4E3"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most soils, an increase in available Nitrogen (N) enhances nitrification and denitrification rates which then increase the production of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O. </w:t>
      </w:r>
      <w:r w:rsidR="000E064F" w:rsidRPr="00191ACB">
        <w:rPr>
          <w:rFonts w:ascii="Times New Roman" w:hAnsi="Times New Roman" w:cs="Times New Roman"/>
          <w:color w:val="000000" w:themeColor="text1"/>
          <w:sz w:val="24"/>
          <w:szCs w:val="24"/>
        </w:rPr>
        <w:t>Direct N2O e</w:t>
      </w:r>
      <w:r w:rsidRPr="00191ACB">
        <w:rPr>
          <w:rFonts w:ascii="Times New Roman" w:hAnsi="Times New Roman" w:cs="Times New Roman"/>
          <w:color w:val="000000" w:themeColor="text1"/>
          <w:sz w:val="24"/>
          <w:szCs w:val="24"/>
        </w:rPr>
        <w:t xml:space="preserve">missions from Urea application </w:t>
      </w:r>
      <w:r w:rsidR="000E064F" w:rsidRPr="00191ACB">
        <w:rPr>
          <w:rFonts w:ascii="Times New Roman" w:hAnsi="Times New Roman" w:cs="Times New Roman"/>
          <w:color w:val="000000" w:themeColor="text1"/>
          <w:sz w:val="24"/>
          <w:szCs w:val="24"/>
        </w:rPr>
        <w:t xml:space="preserve">in managed soils </w:t>
      </w:r>
      <w:r w:rsidRPr="00191ACB">
        <w:rPr>
          <w:rFonts w:ascii="Times New Roman" w:hAnsi="Times New Roman" w:cs="Times New Roman"/>
          <w:color w:val="000000" w:themeColor="text1"/>
          <w:sz w:val="24"/>
          <w:szCs w:val="24"/>
        </w:rPr>
        <w:t>var</w:t>
      </w:r>
      <w:r w:rsidR="000E064F" w:rsidRPr="00191ACB">
        <w:rPr>
          <w:rFonts w:ascii="Times New Roman" w:hAnsi="Times New Roman" w:cs="Times New Roman"/>
          <w:color w:val="000000" w:themeColor="text1"/>
          <w:sz w:val="24"/>
          <w:szCs w:val="24"/>
        </w:rPr>
        <w:t>ied</w:t>
      </w:r>
      <w:r w:rsidRPr="00191ACB">
        <w:rPr>
          <w:rFonts w:ascii="Times New Roman" w:hAnsi="Times New Roman" w:cs="Times New Roman"/>
          <w:color w:val="000000" w:themeColor="text1"/>
          <w:sz w:val="24"/>
          <w:szCs w:val="24"/>
        </w:rPr>
        <w:t xml:space="preserve"> </w:t>
      </w:r>
      <w:r w:rsidR="000D227D" w:rsidRPr="00191ACB">
        <w:rPr>
          <w:rFonts w:ascii="Times New Roman" w:hAnsi="Times New Roman" w:cs="Times New Roman"/>
          <w:color w:val="000000" w:themeColor="text1"/>
          <w:sz w:val="24"/>
          <w:szCs w:val="24"/>
        </w:rPr>
        <w:t>between</w:t>
      </w:r>
      <w:r w:rsidRPr="00191ACB">
        <w:rPr>
          <w:rFonts w:ascii="Times New Roman" w:hAnsi="Times New Roman" w:cs="Times New Roman"/>
          <w:color w:val="000000" w:themeColor="text1"/>
          <w:sz w:val="24"/>
          <w:szCs w:val="24"/>
        </w:rPr>
        <w:t xml:space="preserve"> 1994 </w:t>
      </w:r>
      <w:r w:rsidR="000D227D" w:rsidRPr="00191ACB">
        <w:rPr>
          <w:rFonts w:ascii="Times New Roman" w:hAnsi="Times New Roman" w:cs="Times New Roman"/>
          <w:color w:val="000000" w:themeColor="text1"/>
          <w:sz w:val="24"/>
          <w:szCs w:val="24"/>
        </w:rPr>
        <w:t>and</w:t>
      </w:r>
      <w:r w:rsidRPr="00191ACB">
        <w:rPr>
          <w:rFonts w:ascii="Times New Roman" w:hAnsi="Times New Roman" w:cs="Times New Roman"/>
          <w:color w:val="000000" w:themeColor="text1"/>
          <w:sz w:val="24"/>
          <w:szCs w:val="24"/>
        </w:rPr>
        <w:t xml:space="preserve"> 2016</w:t>
      </w:r>
      <w:r w:rsidR="000D227D" w:rsidRPr="00191ACB">
        <w:rPr>
          <w:rFonts w:ascii="Times New Roman" w:hAnsi="Times New Roman" w:cs="Times New Roman"/>
          <w:color w:val="000000" w:themeColor="text1"/>
          <w:sz w:val="24"/>
          <w:szCs w:val="24"/>
        </w:rPr>
        <w:t xml:space="preserve"> (</w:t>
      </w:r>
      <w:r w:rsidR="001512D9" w:rsidRPr="00191ACB">
        <w:rPr>
          <w:rFonts w:ascii="Times New Roman" w:hAnsi="Times New Roman" w:cs="Times New Roman"/>
          <w:color w:val="000000" w:themeColor="text1"/>
          <w:sz w:val="24"/>
          <w:szCs w:val="24"/>
        </w:rPr>
        <w:t>F</w:t>
      </w:r>
      <w:r w:rsidR="000D227D" w:rsidRPr="00191ACB">
        <w:rPr>
          <w:rFonts w:ascii="Times New Roman" w:hAnsi="Times New Roman" w:cs="Times New Roman"/>
          <w:color w:val="000000" w:themeColor="text1"/>
          <w:sz w:val="24"/>
          <w:szCs w:val="24"/>
        </w:rPr>
        <w:t>igure</w:t>
      </w:r>
      <w:r w:rsidR="001512D9" w:rsidRPr="00191ACB">
        <w:rPr>
          <w:rFonts w:ascii="Times New Roman" w:hAnsi="Times New Roman" w:cs="Times New Roman"/>
          <w:color w:val="000000" w:themeColor="text1"/>
          <w:sz w:val="24"/>
          <w:szCs w:val="24"/>
        </w:rPr>
        <w:t xml:space="preserve"> 3.35</w:t>
      </w:r>
      <w:r w:rsidR="000D227D"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w:t>
      </w:r>
    </w:p>
    <w:p w14:paraId="3A165A91" w14:textId="77777777" w:rsidR="00214971" w:rsidRPr="00191ACB" w:rsidRDefault="00214971" w:rsidP="00214971">
      <w:pPr>
        <w:jc w:val="both"/>
        <w:rPr>
          <w:rFonts w:ascii="Times New Roman" w:hAnsi="Times New Roman" w:cs="Times New Roman"/>
          <w:b/>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0B409906" wp14:editId="483B309A">
            <wp:extent cx="5783580" cy="2240280"/>
            <wp:effectExtent l="0" t="0" r="7620" b="762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69D4133" w14:textId="6620E440" w:rsidR="00214971" w:rsidRPr="00191ACB" w:rsidRDefault="000E11A3" w:rsidP="000E11A3">
      <w:pPr>
        <w:pStyle w:val="Caption"/>
        <w:rPr>
          <w:color w:val="000000" w:themeColor="text1"/>
          <w:sz w:val="24"/>
          <w:szCs w:val="24"/>
        </w:rPr>
      </w:pPr>
      <w:bookmarkStart w:id="232" w:name="_Toc56583880"/>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35</w:t>
      </w:r>
      <w:r w:rsidR="009D481C">
        <w:rPr>
          <w:sz w:val="24"/>
          <w:szCs w:val="24"/>
        </w:rPr>
        <w:fldChar w:fldCharType="end"/>
      </w:r>
      <w:r w:rsidRPr="00191ACB">
        <w:rPr>
          <w:sz w:val="24"/>
          <w:szCs w:val="24"/>
        </w:rPr>
        <w:t>:Trend of emissions for Direct N2O emissions from managed soils</w:t>
      </w:r>
      <w:bookmarkEnd w:id="232"/>
    </w:p>
    <w:p w14:paraId="5958007D" w14:textId="790FDC5A" w:rsidR="000D227D" w:rsidRPr="00191ACB" w:rsidRDefault="000D227D"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lowest emissions were estimated in 1994 at 16.0 Gg CO</w:t>
      </w:r>
      <w:r w:rsidRPr="00F57665">
        <w:rPr>
          <w:rFonts w:ascii="Times New Roman" w:hAnsi="Times New Roman" w:cs="Times New Roman"/>
          <w:color w:val="000000" w:themeColor="text1"/>
          <w:sz w:val="24"/>
          <w:szCs w:val="24"/>
        </w:rPr>
        <w:t xml:space="preserve">2 eq. </w:t>
      </w:r>
      <w:r w:rsidRPr="00191ACB">
        <w:rPr>
          <w:rFonts w:ascii="Times New Roman" w:hAnsi="Times New Roman" w:cs="Times New Roman"/>
          <w:color w:val="000000" w:themeColor="text1"/>
          <w:sz w:val="24"/>
          <w:szCs w:val="24"/>
        </w:rPr>
        <w:t xml:space="preserve"> while the highest were in 2014 at 753.3 Gg CO</w:t>
      </w:r>
      <w:r w:rsidRPr="00F57665">
        <w:rPr>
          <w:rFonts w:ascii="Times New Roman" w:hAnsi="Times New Roman" w:cs="Times New Roman"/>
          <w:color w:val="000000" w:themeColor="text1"/>
          <w:sz w:val="24"/>
          <w:szCs w:val="24"/>
        </w:rPr>
        <w:t>2 eq.</w:t>
      </w:r>
    </w:p>
    <w:p w14:paraId="59DAF0CE" w14:textId="1D51DC02"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Total consumption</w:t>
      </w:r>
      <w:r w:rsidR="000D227D" w:rsidRPr="00191ACB">
        <w:rPr>
          <w:rFonts w:ascii="Times New Roman" w:hAnsi="Times New Roman" w:cs="Times New Roman"/>
          <w:color w:val="000000" w:themeColor="text1"/>
          <w:sz w:val="24"/>
          <w:szCs w:val="24"/>
        </w:rPr>
        <w:t xml:space="preserve"> of basal fertiliser</w:t>
      </w:r>
      <w:r w:rsidRPr="00191ACB">
        <w:rPr>
          <w:rFonts w:ascii="Times New Roman" w:hAnsi="Times New Roman" w:cs="Times New Roman"/>
          <w:color w:val="000000" w:themeColor="text1"/>
          <w:sz w:val="24"/>
          <w:szCs w:val="24"/>
        </w:rPr>
        <w:t xml:space="preserve"> increased from about 150,000 tonnes </w:t>
      </w:r>
      <w:r w:rsidR="000D227D" w:rsidRPr="00191ACB">
        <w:rPr>
          <w:rFonts w:ascii="Times New Roman" w:hAnsi="Times New Roman" w:cs="Times New Roman"/>
          <w:color w:val="000000" w:themeColor="text1"/>
          <w:sz w:val="24"/>
          <w:szCs w:val="24"/>
        </w:rPr>
        <w:t xml:space="preserve">in </w:t>
      </w:r>
      <w:r w:rsidRPr="00191ACB">
        <w:rPr>
          <w:rFonts w:ascii="Times New Roman" w:hAnsi="Times New Roman" w:cs="Times New Roman"/>
          <w:color w:val="000000" w:themeColor="text1"/>
          <w:sz w:val="24"/>
          <w:szCs w:val="24"/>
        </w:rPr>
        <w:t>2011 to 200,000 tonnes in 2015</w:t>
      </w:r>
      <w:r w:rsidR="000D227D"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The consumption trend reflects an increase in the case of basal while urea show</w:t>
      </w:r>
      <w:r w:rsidR="000D227D" w:rsidRPr="00191ACB">
        <w:rPr>
          <w:rFonts w:ascii="Times New Roman" w:hAnsi="Times New Roman" w:cs="Times New Roman"/>
          <w:color w:val="000000" w:themeColor="text1"/>
          <w:sz w:val="24"/>
          <w:szCs w:val="24"/>
        </w:rPr>
        <w:t>ed</w:t>
      </w:r>
      <w:r w:rsidRPr="00191ACB">
        <w:rPr>
          <w:rFonts w:ascii="Times New Roman" w:hAnsi="Times New Roman" w:cs="Times New Roman"/>
          <w:color w:val="000000" w:themeColor="text1"/>
          <w:sz w:val="24"/>
          <w:szCs w:val="24"/>
        </w:rPr>
        <w:t xml:space="preserve"> a slight decline from the year 2011 to 2013 before rising again in the succeeding years of 2014 and 2015. This can be attributed to the increased number of beneficiaries under the Farmer Input Support Programme</w:t>
      </w:r>
      <w:r w:rsidR="000D227D" w:rsidRPr="00191ACB">
        <w:rPr>
          <w:rFonts w:ascii="Times New Roman" w:hAnsi="Times New Roman" w:cs="Times New Roman"/>
          <w:color w:val="000000" w:themeColor="text1"/>
          <w:sz w:val="24"/>
          <w:szCs w:val="24"/>
        </w:rPr>
        <w:t xml:space="preserve"> (GRZ, 2015).</w:t>
      </w:r>
    </w:p>
    <w:p w14:paraId="5A999C19" w14:textId="77777777" w:rsidR="00FC4FC5" w:rsidRPr="00191ACB" w:rsidRDefault="00FC4FC5" w:rsidP="005E626A">
      <w:pPr>
        <w:spacing w:before="240" w:after="120" w:line="240" w:lineRule="auto"/>
        <w:jc w:val="both"/>
        <w:rPr>
          <w:rFonts w:ascii="Times New Roman" w:hAnsi="Times New Roman" w:cs="Times New Roman"/>
          <w:color w:val="000000" w:themeColor="text1"/>
          <w:sz w:val="24"/>
          <w:szCs w:val="24"/>
        </w:rPr>
      </w:pPr>
    </w:p>
    <w:p w14:paraId="3F550047" w14:textId="2206AD93" w:rsidR="00214971" w:rsidRPr="009462B1" w:rsidRDefault="00214971" w:rsidP="009462B1">
      <w:pPr>
        <w:pStyle w:val="Heading4"/>
        <w:numPr>
          <w:ilvl w:val="3"/>
          <w:numId w:val="36"/>
        </w:numPr>
        <w:ind w:left="851" w:hanging="851"/>
      </w:pPr>
      <w:bookmarkStart w:id="233" w:name="_Toc48427333"/>
      <w:r w:rsidRPr="009462B1">
        <w:t>Indirect N2O emissions from managed soils</w:t>
      </w:r>
      <w:bookmarkEnd w:id="233"/>
    </w:p>
    <w:p w14:paraId="3AF87DC8" w14:textId="56A386E4" w:rsidR="00214971" w:rsidRPr="00191ACB" w:rsidRDefault="00D043DA"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Indirect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e</w:t>
      </w:r>
      <w:r w:rsidR="00214971" w:rsidRPr="00191ACB">
        <w:rPr>
          <w:rFonts w:ascii="Times New Roman" w:hAnsi="Times New Roman" w:cs="Times New Roman"/>
          <w:color w:val="000000" w:themeColor="text1"/>
          <w:sz w:val="24"/>
          <w:szCs w:val="24"/>
        </w:rPr>
        <w:t xml:space="preserve">missions from </w:t>
      </w:r>
      <w:r w:rsidRPr="00191ACB">
        <w:rPr>
          <w:rFonts w:ascii="Times New Roman" w:hAnsi="Times New Roman" w:cs="Times New Roman"/>
          <w:color w:val="000000" w:themeColor="text1"/>
          <w:sz w:val="24"/>
          <w:szCs w:val="24"/>
        </w:rPr>
        <w:t>u</w:t>
      </w:r>
      <w:r w:rsidR="00214971" w:rsidRPr="00191ACB">
        <w:rPr>
          <w:rFonts w:ascii="Times New Roman" w:hAnsi="Times New Roman" w:cs="Times New Roman"/>
          <w:color w:val="000000" w:themeColor="text1"/>
          <w:sz w:val="24"/>
          <w:szCs w:val="24"/>
        </w:rPr>
        <w:t>rea application</w:t>
      </w:r>
      <w:r w:rsidRPr="00191ACB">
        <w:rPr>
          <w:rFonts w:ascii="Times New Roman" w:hAnsi="Times New Roman" w:cs="Times New Roman"/>
          <w:color w:val="000000" w:themeColor="text1"/>
          <w:sz w:val="24"/>
          <w:szCs w:val="24"/>
        </w:rPr>
        <w:t xml:space="preserve"> in managed fluctuated</w:t>
      </w:r>
      <w:r w:rsidR="00214971"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between</w:t>
      </w:r>
      <w:r w:rsidR="00214971" w:rsidRPr="00191ACB">
        <w:rPr>
          <w:rFonts w:ascii="Times New Roman" w:hAnsi="Times New Roman" w:cs="Times New Roman"/>
          <w:color w:val="000000" w:themeColor="text1"/>
          <w:sz w:val="24"/>
          <w:szCs w:val="24"/>
        </w:rPr>
        <w:t xml:space="preserve"> 1994 </w:t>
      </w:r>
      <w:r w:rsidRPr="00191ACB">
        <w:rPr>
          <w:rFonts w:ascii="Times New Roman" w:hAnsi="Times New Roman" w:cs="Times New Roman"/>
          <w:color w:val="000000" w:themeColor="text1"/>
          <w:sz w:val="24"/>
          <w:szCs w:val="24"/>
        </w:rPr>
        <w:t>and</w:t>
      </w:r>
      <w:r w:rsidR="00214971" w:rsidRPr="00191ACB">
        <w:rPr>
          <w:rFonts w:ascii="Times New Roman" w:hAnsi="Times New Roman" w:cs="Times New Roman"/>
          <w:color w:val="000000" w:themeColor="text1"/>
          <w:sz w:val="24"/>
          <w:szCs w:val="24"/>
        </w:rPr>
        <w:t xml:space="preserve"> 2016. (Figure </w:t>
      </w:r>
      <w:r w:rsidR="001512D9" w:rsidRPr="00191ACB">
        <w:rPr>
          <w:rFonts w:ascii="Times New Roman" w:hAnsi="Times New Roman" w:cs="Times New Roman"/>
          <w:color w:val="000000" w:themeColor="text1"/>
          <w:sz w:val="24"/>
          <w:szCs w:val="24"/>
        </w:rPr>
        <w:t>3.36</w:t>
      </w:r>
      <w:r w:rsidR="00214971" w:rsidRPr="00191ACB">
        <w:rPr>
          <w:rFonts w:ascii="Times New Roman" w:hAnsi="Times New Roman" w:cs="Times New Roman"/>
          <w:color w:val="000000" w:themeColor="text1"/>
          <w:sz w:val="24"/>
          <w:szCs w:val="24"/>
        </w:rPr>
        <w:t>.</w:t>
      </w:r>
      <w:r w:rsidR="001512D9" w:rsidRPr="00191ACB">
        <w:rPr>
          <w:rFonts w:ascii="Times New Roman" w:hAnsi="Times New Roman" w:cs="Times New Roman"/>
          <w:color w:val="000000" w:themeColor="text1"/>
          <w:sz w:val="24"/>
          <w:szCs w:val="24"/>
        </w:rPr>
        <w:t>)</w:t>
      </w:r>
      <w:r w:rsidR="00214971" w:rsidRPr="00191ACB">
        <w:rPr>
          <w:rFonts w:ascii="Times New Roman" w:hAnsi="Times New Roman" w:cs="Times New Roman"/>
          <w:color w:val="000000" w:themeColor="text1"/>
          <w:sz w:val="24"/>
          <w:szCs w:val="24"/>
        </w:rPr>
        <w:t xml:space="preserve"> </w:t>
      </w:r>
    </w:p>
    <w:p w14:paraId="5A7AC386" w14:textId="77777777" w:rsidR="001512D9" w:rsidRPr="00191ACB" w:rsidRDefault="001512D9" w:rsidP="005E626A">
      <w:pPr>
        <w:spacing w:before="100" w:after="120" w:line="240" w:lineRule="auto"/>
        <w:jc w:val="both"/>
        <w:rPr>
          <w:rFonts w:ascii="Times New Roman" w:hAnsi="Times New Roman" w:cs="Times New Roman"/>
          <w:color w:val="000000" w:themeColor="text1"/>
          <w:sz w:val="24"/>
          <w:szCs w:val="24"/>
        </w:rPr>
      </w:pPr>
    </w:p>
    <w:p w14:paraId="69FE4143" w14:textId="77777777" w:rsidR="00214971" w:rsidRPr="00191ACB" w:rsidRDefault="00214971" w:rsidP="00214971">
      <w:pPr>
        <w:jc w:val="both"/>
        <w:rPr>
          <w:rFonts w:ascii="Times New Roman" w:hAnsi="Times New Roman" w:cs="Times New Roman"/>
          <w:b/>
          <w:color w:val="000000" w:themeColor="text1"/>
          <w:sz w:val="24"/>
          <w:szCs w:val="24"/>
        </w:rPr>
      </w:pPr>
      <w:r w:rsidRPr="00191ACB">
        <w:rPr>
          <w:rFonts w:ascii="Times New Roman" w:hAnsi="Times New Roman" w:cs="Times New Roman"/>
          <w:noProof/>
          <w:color w:val="000000" w:themeColor="text1"/>
          <w:sz w:val="24"/>
          <w:szCs w:val="24"/>
          <w:lang w:val="en-GB" w:eastAsia="en-GB"/>
        </w:rPr>
        <w:lastRenderedPageBreak/>
        <w:drawing>
          <wp:inline distT="0" distB="0" distL="0" distR="0" wp14:anchorId="21C47158" wp14:editId="083CF7F1">
            <wp:extent cx="5928360" cy="1958340"/>
            <wp:effectExtent l="0" t="0" r="15240" b="381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5A1A9ED9" w14:textId="4DDED9C5" w:rsidR="00214971" w:rsidRPr="00191ACB" w:rsidRDefault="000E11A3" w:rsidP="000E11A3">
      <w:pPr>
        <w:pStyle w:val="Caption"/>
        <w:rPr>
          <w:b/>
          <w:color w:val="000000" w:themeColor="text1"/>
          <w:sz w:val="24"/>
          <w:szCs w:val="24"/>
        </w:rPr>
      </w:pPr>
      <w:bookmarkStart w:id="234" w:name="_Toc56583881"/>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36</w:t>
      </w:r>
      <w:r w:rsidR="009D481C">
        <w:rPr>
          <w:sz w:val="24"/>
          <w:szCs w:val="24"/>
        </w:rPr>
        <w:fldChar w:fldCharType="end"/>
      </w:r>
      <w:r w:rsidRPr="00191ACB">
        <w:rPr>
          <w:sz w:val="24"/>
          <w:szCs w:val="24"/>
        </w:rPr>
        <w:t>: Indirect N2O emissions from managed soils</w:t>
      </w:r>
      <w:bookmarkEnd w:id="234"/>
    </w:p>
    <w:p w14:paraId="28923F44" w14:textId="59E3E1D5" w:rsidR="000C47EC" w:rsidRPr="00040765" w:rsidRDefault="00D043DA" w:rsidP="00F57665">
      <w:pPr>
        <w:spacing w:after="120" w:line="276" w:lineRule="auto"/>
        <w:jc w:val="both"/>
        <w:rPr>
          <w:rFonts w:ascii="Times New Roman" w:hAnsi="Times New Roman" w:cs="Times New Roman"/>
          <w:vertAlign w:val="subscript"/>
        </w:rPr>
      </w:pPr>
      <w:bookmarkStart w:id="235" w:name="_Toc48427334"/>
      <w:r w:rsidRPr="00040765">
        <w:rPr>
          <w:rFonts w:ascii="Times New Roman" w:hAnsi="Times New Roman" w:cs="Times New Roman"/>
        </w:rPr>
        <w:t>The lowest emissions were estimated in 1994 at 3.6 Gg CO</w:t>
      </w:r>
      <w:r w:rsidRPr="00040765">
        <w:rPr>
          <w:rFonts w:ascii="Times New Roman" w:hAnsi="Times New Roman" w:cs="Times New Roman"/>
          <w:vertAlign w:val="subscript"/>
        </w:rPr>
        <w:t xml:space="preserve">2 eq. </w:t>
      </w:r>
      <w:r w:rsidRPr="00040765">
        <w:rPr>
          <w:rFonts w:ascii="Times New Roman" w:hAnsi="Times New Roman" w:cs="Times New Roman"/>
        </w:rPr>
        <w:t xml:space="preserve"> while the highest were in 2011 at 254.1 Gg CO</w:t>
      </w:r>
      <w:r w:rsidRPr="00040765">
        <w:rPr>
          <w:rFonts w:ascii="Times New Roman" w:hAnsi="Times New Roman" w:cs="Times New Roman"/>
          <w:vertAlign w:val="subscript"/>
        </w:rPr>
        <w:t>2 eq</w:t>
      </w:r>
      <w:r w:rsidRPr="00040765">
        <w:rPr>
          <w:rFonts w:ascii="Times New Roman" w:hAnsi="Times New Roman" w:cs="Times New Roman"/>
        </w:rPr>
        <w:t>. In 2016 the emission from 41.1 Gg CO</w:t>
      </w:r>
      <w:r w:rsidRPr="00040765">
        <w:rPr>
          <w:rFonts w:ascii="Times New Roman" w:hAnsi="Times New Roman" w:cs="Times New Roman"/>
          <w:vertAlign w:val="subscript"/>
        </w:rPr>
        <w:t>2 eq</w:t>
      </w:r>
    </w:p>
    <w:p w14:paraId="165B9B9F" w14:textId="7EE8A3A0" w:rsidR="00D043DA" w:rsidRPr="00040765" w:rsidRDefault="00D043DA" w:rsidP="00040765">
      <w:pPr>
        <w:rPr>
          <w:rFonts w:ascii="Times New Roman" w:hAnsi="Times New Roman" w:cs="Times New Roman"/>
        </w:rPr>
      </w:pPr>
    </w:p>
    <w:p w14:paraId="4A4CE02B" w14:textId="19307506" w:rsidR="00214971" w:rsidRPr="009462B1" w:rsidRDefault="00214971" w:rsidP="009462B1">
      <w:pPr>
        <w:pStyle w:val="Heading4"/>
        <w:numPr>
          <w:ilvl w:val="3"/>
          <w:numId w:val="36"/>
        </w:numPr>
        <w:ind w:left="851" w:hanging="851"/>
      </w:pPr>
      <w:r w:rsidRPr="009462B1">
        <w:t>Indirect N2O emissions from manure management</w:t>
      </w:r>
      <w:bookmarkEnd w:id="235"/>
    </w:p>
    <w:p w14:paraId="32624472" w14:textId="77777777" w:rsidR="008973DF" w:rsidRPr="00191ACB" w:rsidRDefault="008973DF" w:rsidP="00214971">
      <w:pPr>
        <w:jc w:val="both"/>
        <w:rPr>
          <w:rFonts w:ascii="Times New Roman" w:hAnsi="Times New Roman" w:cs="Times New Roman"/>
          <w:color w:val="000000" w:themeColor="text1"/>
          <w:sz w:val="24"/>
          <w:szCs w:val="24"/>
        </w:rPr>
      </w:pPr>
    </w:p>
    <w:p w14:paraId="0240BCB3" w14:textId="2DAF1FC3" w:rsidR="00214971" w:rsidRPr="00191ACB" w:rsidRDefault="00D043DA"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L</w:t>
      </w:r>
      <w:r w:rsidR="00214971" w:rsidRPr="00191ACB">
        <w:rPr>
          <w:rFonts w:ascii="Times New Roman" w:hAnsi="Times New Roman" w:cs="Times New Roman"/>
          <w:color w:val="000000" w:themeColor="text1"/>
          <w:sz w:val="24"/>
          <w:szCs w:val="24"/>
        </w:rPr>
        <w:t xml:space="preserve">eaching and runoff </w:t>
      </w:r>
      <w:r w:rsidRPr="00191ACB">
        <w:rPr>
          <w:rFonts w:ascii="Times New Roman" w:hAnsi="Times New Roman" w:cs="Times New Roman"/>
          <w:color w:val="000000" w:themeColor="text1"/>
          <w:sz w:val="24"/>
          <w:szCs w:val="24"/>
        </w:rPr>
        <w:t>of nitrogen</w:t>
      </w:r>
      <w:r w:rsidR="00214971" w:rsidRPr="00191ACB">
        <w:rPr>
          <w:rFonts w:ascii="Times New Roman" w:hAnsi="Times New Roman" w:cs="Times New Roman"/>
          <w:color w:val="000000" w:themeColor="text1"/>
          <w:sz w:val="24"/>
          <w:szCs w:val="24"/>
        </w:rPr>
        <w:t xml:space="preserve"> from urine and dung deposition from grazing animals</w:t>
      </w:r>
      <w:r w:rsidRPr="00191ACB">
        <w:rPr>
          <w:rFonts w:ascii="Times New Roman" w:hAnsi="Times New Roman" w:cs="Times New Roman"/>
          <w:color w:val="000000" w:themeColor="text1"/>
          <w:sz w:val="24"/>
          <w:szCs w:val="24"/>
        </w:rPr>
        <w:t xml:space="preserve"> leads to the indirect release of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emissions</w:t>
      </w:r>
      <w:r w:rsidR="00214971" w:rsidRPr="00191ACB">
        <w:rPr>
          <w:rFonts w:ascii="Times New Roman" w:hAnsi="Times New Roman" w:cs="Times New Roman"/>
          <w:color w:val="000000" w:themeColor="text1"/>
          <w:sz w:val="24"/>
          <w:szCs w:val="24"/>
        </w:rPr>
        <w:t>. Emissions from this sub category were not estimated due to lack of activity data.</w:t>
      </w:r>
    </w:p>
    <w:p w14:paraId="52DCBF77" w14:textId="77777777" w:rsidR="000C47EC" w:rsidRPr="00191ACB" w:rsidRDefault="000C47EC" w:rsidP="00214971">
      <w:pPr>
        <w:pStyle w:val="Heading2"/>
        <w:rPr>
          <w:rFonts w:ascii="Times New Roman" w:hAnsi="Times New Roman" w:cs="Times New Roman"/>
          <w:b/>
          <w:color w:val="000000" w:themeColor="text1"/>
          <w:sz w:val="24"/>
          <w:szCs w:val="24"/>
        </w:rPr>
      </w:pPr>
      <w:bookmarkStart w:id="236" w:name="_Toc48427335"/>
    </w:p>
    <w:p w14:paraId="0893C1CC" w14:textId="00DE13A4" w:rsidR="00214971" w:rsidRPr="009462B1" w:rsidRDefault="00214971" w:rsidP="009462B1">
      <w:pPr>
        <w:pStyle w:val="Heading4"/>
        <w:numPr>
          <w:ilvl w:val="3"/>
          <w:numId w:val="36"/>
        </w:numPr>
        <w:ind w:left="851" w:hanging="851"/>
      </w:pPr>
      <w:r w:rsidRPr="009462B1">
        <w:t>Rice cultivation</w:t>
      </w:r>
      <w:bookmarkEnd w:id="236"/>
      <w:r w:rsidRPr="009462B1">
        <w:t xml:space="preserve"> </w:t>
      </w:r>
    </w:p>
    <w:p w14:paraId="21BB7021" w14:textId="77777777" w:rsidR="00040765" w:rsidRDefault="00040765" w:rsidP="005E626A">
      <w:pPr>
        <w:spacing w:after="120" w:line="240" w:lineRule="auto"/>
        <w:jc w:val="both"/>
        <w:rPr>
          <w:rFonts w:ascii="Times New Roman" w:hAnsi="Times New Roman" w:cs="Times New Roman"/>
          <w:color w:val="000000" w:themeColor="text1"/>
          <w:sz w:val="24"/>
          <w:szCs w:val="24"/>
        </w:rPr>
      </w:pPr>
    </w:p>
    <w:p w14:paraId="277E6D61" w14:textId="67BEE747"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Methane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xml:space="preserve">) is generated during wetland rice growing from the decomposition of plant residues and other organic carbon material in the soil. This generation occurs through microbial action under anaerobic environments following flooding of the rice crop. </w:t>
      </w:r>
      <w:r w:rsidR="00B26142" w:rsidRPr="00191ACB">
        <w:rPr>
          <w:rFonts w:ascii="Times New Roman" w:hAnsi="Times New Roman" w:cs="Times New Roman"/>
          <w:color w:val="000000" w:themeColor="text1"/>
          <w:sz w:val="24"/>
          <w:szCs w:val="24"/>
        </w:rPr>
        <w:t>E</w:t>
      </w:r>
      <w:r w:rsidRPr="00191ACB">
        <w:rPr>
          <w:rFonts w:ascii="Times New Roman" w:hAnsi="Times New Roman" w:cs="Times New Roman"/>
          <w:color w:val="000000" w:themeColor="text1"/>
          <w:sz w:val="24"/>
          <w:szCs w:val="24"/>
        </w:rPr>
        <w:t xml:space="preserve">missions from Rice cultivation </w:t>
      </w:r>
      <w:r w:rsidR="00B26142" w:rsidRPr="00191ACB">
        <w:rPr>
          <w:rFonts w:ascii="Times New Roman" w:hAnsi="Times New Roman" w:cs="Times New Roman"/>
          <w:color w:val="000000" w:themeColor="text1"/>
          <w:sz w:val="24"/>
          <w:szCs w:val="24"/>
        </w:rPr>
        <w:t>rang</w:t>
      </w:r>
      <w:r w:rsidRPr="00191ACB">
        <w:rPr>
          <w:rFonts w:ascii="Times New Roman" w:hAnsi="Times New Roman" w:cs="Times New Roman"/>
          <w:color w:val="000000" w:themeColor="text1"/>
          <w:sz w:val="24"/>
          <w:szCs w:val="24"/>
        </w:rPr>
        <w:t>ed from 4.5 Gg CO</w:t>
      </w:r>
      <w:r w:rsidRPr="00191ACB">
        <w:rPr>
          <w:rFonts w:ascii="Times New Roman" w:hAnsi="Times New Roman" w:cs="Times New Roman"/>
          <w:color w:val="000000" w:themeColor="text1"/>
          <w:sz w:val="24"/>
          <w:szCs w:val="24"/>
          <w:vertAlign w:val="subscript"/>
        </w:rPr>
        <w:t xml:space="preserve">2 eq. </w:t>
      </w:r>
      <w:r w:rsidRPr="00191ACB">
        <w:rPr>
          <w:rFonts w:ascii="Times New Roman" w:hAnsi="Times New Roman" w:cs="Times New Roman"/>
          <w:color w:val="000000" w:themeColor="text1"/>
          <w:sz w:val="24"/>
          <w:szCs w:val="24"/>
        </w:rPr>
        <w:t>to 31.1 Gg CO</w:t>
      </w:r>
      <w:r w:rsidRPr="00191ACB">
        <w:rPr>
          <w:rFonts w:ascii="Times New Roman" w:hAnsi="Times New Roman" w:cs="Times New Roman"/>
          <w:color w:val="000000" w:themeColor="text1"/>
          <w:sz w:val="24"/>
          <w:szCs w:val="24"/>
          <w:vertAlign w:val="subscript"/>
        </w:rPr>
        <w:t>2eq</w:t>
      </w:r>
      <w:r w:rsidRPr="00191ACB">
        <w:rPr>
          <w:rFonts w:ascii="Times New Roman" w:hAnsi="Times New Roman" w:cs="Times New Roman"/>
          <w:color w:val="000000" w:themeColor="text1"/>
          <w:sz w:val="24"/>
          <w:szCs w:val="24"/>
        </w:rPr>
        <w:t xml:space="preserve">. </w:t>
      </w:r>
      <w:r w:rsidR="00B26142" w:rsidRPr="00191ACB">
        <w:rPr>
          <w:rFonts w:ascii="Times New Roman" w:hAnsi="Times New Roman" w:cs="Times New Roman"/>
          <w:color w:val="000000" w:themeColor="text1"/>
          <w:sz w:val="24"/>
          <w:szCs w:val="24"/>
        </w:rPr>
        <w:t xml:space="preserve">as shown in </w:t>
      </w:r>
      <w:r w:rsidR="001512D9" w:rsidRPr="00191ACB">
        <w:rPr>
          <w:rFonts w:ascii="Times New Roman" w:hAnsi="Times New Roman" w:cs="Times New Roman"/>
          <w:color w:val="000000" w:themeColor="text1"/>
          <w:sz w:val="24"/>
          <w:szCs w:val="24"/>
        </w:rPr>
        <w:t>Fi</w:t>
      </w:r>
      <w:r w:rsidRPr="00191ACB">
        <w:rPr>
          <w:rFonts w:ascii="Times New Roman" w:hAnsi="Times New Roman" w:cs="Times New Roman"/>
          <w:color w:val="000000" w:themeColor="text1"/>
          <w:sz w:val="24"/>
          <w:szCs w:val="24"/>
        </w:rPr>
        <w:t>gure</w:t>
      </w:r>
      <w:r w:rsidR="001512D9" w:rsidRPr="00191ACB">
        <w:rPr>
          <w:rFonts w:ascii="Times New Roman" w:hAnsi="Times New Roman" w:cs="Times New Roman"/>
          <w:color w:val="000000" w:themeColor="text1"/>
          <w:sz w:val="24"/>
          <w:szCs w:val="24"/>
        </w:rPr>
        <w:t xml:space="preserve"> 3.37</w:t>
      </w:r>
      <w:r w:rsidR="00FC4FC5" w:rsidRPr="00191ACB">
        <w:rPr>
          <w:rFonts w:ascii="Times New Roman" w:hAnsi="Times New Roman" w:cs="Times New Roman"/>
          <w:color w:val="000000" w:themeColor="text1"/>
          <w:sz w:val="24"/>
          <w:szCs w:val="24"/>
        </w:rPr>
        <w:t>.</w:t>
      </w:r>
    </w:p>
    <w:p w14:paraId="2DD05F3A" w14:textId="77777777" w:rsidR="00214971" w:rsidRPr="00191ACB" w:rsidRDefault="00214971" w:rsidP="00214971">
      <w:pPr>
        <w:jc w:val="both"/>
        <w:rPr>
          <w:rFonts w:ascii="Times New Roman" w:hAnsi="Times New Roman" w:cs="Times New Roman"/>
          <w:b/>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26008A28" wp14:editId="7DC0DD72">
            <wp:extent cx="5821680" cy="2446020"/>
            <wp:effectExtent l="0" t="0" r="7620" b="1143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DE200F3" w14:textId="2DAC5285" w:rsidR="00214971" w:rsidRPr="00191ACB" w:rsidRDefault="000E11A3" w:rsidP="000E11A3">
      <w:pPr>
        <w:pStyle w:val="Caption"/>
        <w:rPr>
          <w:color w:val="000000" w:themeColor="text1"/>
          <w:sz w:val="24"/>
          <w:szCs w:val="24"/>
        </w:rPr>
      </w:pPr>
      <w:bookmarkStart w:id="237" w:name="_Toc56583882"/>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37</w:t>
      </w:r>
      <w:r w:rsidR="009D481C">
        <w:rPr>
          <w:sz w:val="24"/>
          <w:szCs w:val="24"/>
        </w:rPr>
        <w:fldChar w:fldCharType="end"/>
      </w:r>
      <w:r w:rsidRPr="00191ACB">
        <w:rPr>
          <w:sz w:val="24"/>
          <w:szCs w:val="24"/>
        </w:rPr>
        <w:t>:Emissions from Rice cultivation</w:t>
      </w:r>
      <w:bookmarkEnd w:id="237"/>
    </w:p>
    <w:p w14:paraId="524B2BB0" w14:textId="4542C5E8"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lastRenderedPageBreak/>
        <w:t xml:space="preserve">The area under rice production increased steadily from about 33,000 ha in 2011 to 43,000 ha </w:t>
      </w:r>
      <w:r w:rsidR="00B26142" w:rsidRPr="00191ACB">
        <w:rPr>
          <w:rFonts w:ascii="Times New Roman" w:hAnsi="Times New Roman" w:cs="Times New Roman"/>
          <w:color w:val="000000" w:themeColor="text1"/>
          <w:sz w:val="24"/>
          <w:szCs w:val="24"/>
        </w:rPr>
        <w:t xml:space="preserve">in </w:t>
      </w:r>
      <w:r w:rsidRPr="00191ACB">
        <w:rPr>
          <w:rFonts w:ascii="Times New Roman" w:hAnsi="Times New Roman" w:cs="Times New Roman"/>
          <w:color w:val="000000" w:themeColor="text1"/>
          <w:sz w:val="24"/>
          <w:szCs w:val="24"/>
        </w:rPr>
        <w:t>2015</w:t>
      </w:r>
      <w:r w:rsidR="00B26142" w:rsidRPr="00191ACB">
        <w:rPr>
          <w:rFonts w:ascii="Times New Roman" w:hAnsi="Times New Roman" w:cs="Times New Roman"/>
          <w:color w:val="000000" w:themeColor="text1"/>
          <w:sz w:val="24"/>
          <w:szCs w:val="24"/>
        </w:rPr>
        <w:t xml:space="preserve"> and it was attributed </w:t>
      </w:r>
      <w:r w:rsidRPr="00191ACB">
        <w:rPr>
          <w:rFonts w:ascii="Times New Roman" w:hAnsi="Times New Roman" w:cs="Times New Roman"/>
          <w:color w:val="000000" w:themeColor="text1"/>
          <w:sz w:val="24"/>
          <w:szCs w:val="24"/>
        </w:rPr>
        <w:t>to Crop Diversification Programme (</w:t>
      </w:r>
      <w:r w:rsidR="000F44A6" w:rsidRPr="00191ACB">
        <w:rPr>
          <w:rFonts w:ascii="Times New Roman" w:hAnsi="Times New Roman" w:cs="Times New Roman"/>
          <w:color w:val="000000" w:themeColor="text1"/>
          <w:sz w:val="24"/>
          <w:szCs w:val="24"/>
        </w:rPr>
        <w:t>ZAMSTATS</w:t>
      </w:r>
      <w:r w:rsidRPr="00191ACB">
        <w:rPr>
          <w:rFonts w:ascii="Times New Roman" w:hAnsi="Times New Roman" w:cs="Times New Roman"/>
          <w:color w:val="000000" w:themeColor="text1"/>
          <w:sz w:val="24"/>
          <w:szCs w:val="24"/>
        </w:rPr>
        <w:t xml:space="preserve"> data 2011 - 2014). </w:t>
      </w:r>
      <w:r w:rsidR="00B26142" w:rsidRPr="00191ACB">
        <w:rPr>
          <w:rFonts w:ascii="Times New Roman" w:hAnsi="Times New Roman" w:cs="Times New Roman"/>
          <w:color w:val="000000" w:themeColor="text1"/>
          <w:sz w:val="24"/>
          <w:szCs w:val="24"/>
        </w:rPr>
        <w:t>However, in 2016 the area under cultivation reduced to 25,500 ha and</w:t>
      </w:r>
      <w:r w:rsidRPr="00191ACB">
        <w:rPr>
          <w:rFonts w:ascii="Times New Roman" w:hAnsi="Times New Roman" w:cs="Times New Roman"/>
          <w:color w:val="000000" w:themeColor="text1"/>
          <w:sz w:val="24"/>
          <w:szCs w:val="24"/>
        </w:rPr>
        <w:t xml:space="preserve"> the decline </w:t>
      </w:r>
      <w:r w:rsidR="00B26142" w:rsidRPr="00191ACB">
        <w:rPr>
          <w:rFonts w:ascii="Times New Roman" w:hAnsi="Times New Roman" w:cs="Times New Roman"/>
          <w:color w:val="000000" w:themeColor="text1"/>
          <w:sz w:val="24"/>
          <w:szCs w:val="24"/>
        </w:rPr>
        <w:t>was</w:t>
      </w:r>
      <w:r w:rsidRPr="00191ACB">
        <w:rPr>
          <w:rFonts w:ascii="Times New Roman" w:hAnsi="Times New Roman" w:cs="Times New Roman"/>
          <w:color w:val="000000" w:themeColor="text1"/>
          <w:sz w:val="24"/>
          <w:szCs w:val="24"/>
        </w:rPr>
        <w:t xml:space="preserve"> attributed</w:t>
      </w:r>
      <w:r w:rsidR="00B26142" w:rsidRPr="00191ACB">
        <w:rPr>
          <w:rFonts w:ascii="Times New Roman" w:hAnsi="Times New Roman" w:cs="Times New Roman"/>
          <w:color w:val="000000" w:themeColor="text1"/>
          <w:sz w:val="24"/>
          <w:szCs w:val="24"/>
        </w:rPr>
        <w:t xml:space="preserve"> to</w:t>
      </w:r>
      <w:r w:rsidRPr="00191ACB">
        <w:rPr>
          <w:rFonts w:ascii="Times New Roman" w:hAnsi="Times New Roman" w:cs="Times New Roman"/>
          <w:color w:val="000000" w:themeColor="text1"/>
          <w:sz w:val="24"/>
          <w:szCs w:val="24"/>
        </w:rPr>
        <w:t xml:space="preserve"> drought that occurred during the</w:t>
      </w:r>
      <w:r w:rsidR="00B26142" w:rsidRPr="00191ACB">
        <w:rPr>
          <w:rFonts w:ascii="Times New Roman" w:hAnsi="Times New Roman" w:cs="Times New Roman"/>
          <w:color w:val="000000" w:themeColor="text1"/>
          <w:sz w:val="24"/>
          <w:szCs w:val="24"/>
        </w:rPr>
        <w:t xml:space="preserve"> 2015/16 </w:t>
      </w:r>
      <w:r w:rsidRPr="00191ACB">
        <w:rPr>
          <w:rFonts w:ascii="Times New Roman" w:hAnsi="Times New Roman" w:cs="Times New Roman"/>
          <w:color w:val="000000" w:themeColor="text1"/>
          <w:sz w:val="24"/>
          <w:szCs w:val="24"/>
        </w:rPr>
        <w:t>season (Figure</w:t>
      </w:r>
      <w:r w:rsidR="008973DF" w:rsidRPr="00191ACB">
        <w:rPr>
          <w:rFonts w:ascii="Times New Roman" w:hAnsi="Times New Roman" w:cs="Times New Roman"/>
          <w:color w:val="000000" w:themeColor="text1"/>
          <w:sz w:val="24"/>
          <w:szCs w:val="24"/>
        </w:rPr>
        <w:t>3.38</w:t>
      </w:r>
      <w:r w:rsidRPr="00191ACB">
        <w:rPr>
          <w:rFonts w:ascii="Times New Roman" w:hAnsi="Times New Roman" w:cs="Times New Roman"/>
          <w:color w:val="000000" w:themeColor="text1"/>
          <w:sz w:val="24"/>
          <w:szCs w:val="24"/>
        </w:rPr>
        <w:t xml:space="preserve">). </w:t>
      </w:r>
    </w:p>
    <w:p w14:paraId="43E3DB51" w14:textId="77777777" w:rsidR="00214971" w:rsidRPr="00191ACB" w:rsidRDefault="00214971" w:rsidP="00214971">
      <w:pPr>
        <w:pStyle w:val="NoSpacing"/>
        <w:rPr>
          <w:rFonts w:ascii="Times New Roman" w:hAnsi="Times New Roman" w:cs="Times New Roman"/>
          <w:color w:val="000000" w:themeColor="text1"/>
          <w:sz w:val="24"/>
          <w:szCs w:val="24"/>
          <w:highlight w:val="yellow"/>
        </w:rPr>
      </w:pPr>
      <w:r w:rsidRPr="00191ACB">
        <w:rPr>
          <w:rFonts w:ascii="Times New Roman" w:hAnsi="Times New Roman" w:cs="Times New Roman"/>
          <w:noProof/>
          <w:color w:val="000000" w:themeColor="text1"/>
          <w:sz w:val="24"/>
          <w:szCs w:val="24"/>
          <w:highlight w:val="yellow"/>
          <w:lang w:val="en-GB" w:eastAsia="en-GB"/>
        </w:rPr>
        <w:drawing>
          <wp:inline distT="114300" distB="114300" distL="114300" distR="114300" wp14:anchorId="34B662F9" wp14:editId="53FFB5E9">
            <wp:extent cx="4581525" cy="2324100"/>
            <wp:effectExtent l="0" t="0" r="9525" b="0"/>
            <wp:docPr id="9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71"/>
                    <a:srcRect/>
                    <a:stretch>
                      <a:fillRect/>
                    </a:stretch>
                  </pic:blipFill>
                  <pic:spPr>
                    <a:xfrm>
                      <a:off x="0" y="0"/>
                      <a:ext cx="4581525" cy="2324100"/>
                    </a:xfrm>
                    <a:prstGeom prst="rect">
                      <a:avLst/>
                    </a:prstGeom>
                    <a:ln/>
                  </pic:spPr>
                </pic:pic>
              </a:graphicData>
            </a:graphic>
          </wp:inline>
        </w:drawing>
      </w:r>
    </w:p>
    <w:p w14:paraId="17618A8B" w14:textId="0A1B544E" w:rsidR="00214971" w:rsidRPr="00191ACB" w:rsidRDefault="00214971" w:rsidP="000E11A3">
      <w:pPr>
        <w:pStyle w:val="Caption"/>
        <w:rPr>
          <w:color w:val="000000" w:themeColor="text1"/>
          <w:sz w:val="24"/>
          <w:szCs w:val="24"/>
        </w:rPr>
      </w:pPr>
      <w:r w:rsidRPr="00191ACB">
        <w:rPr>
          <w:color w:val="000000" w:themeColor="text1"/>
          <w:sz w:val="24"/>
          <w:szCs w:val="24"/>
        </w:rPr>
        <w:t xml:space="preserve"> </w:t>
      </w:r>
      <w:bookmarkStart w:id="238" w:name="_Toc56583883"/>
      <w:r w:rsidR="000E11A3"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38</w:t>
      </w:r>
      <w:r w:rsidR="009D481C">
        <w:rPr>
          <w:sz w:val="24"/>
          <w:szCs w:val="24"/>
        </w:rPr>
        <w:fldChar w:fldCharType="end"/>
      </w:r>
      <w:r w:rsidR="000E11A3" w:rsidRPr="00191ACB">
        <w:rPr>
          <w:sz w:val="24"/>
          <w:szCs w:val="24"/>
        </w:rPr>
        <w:t>:Rice cultivation trend according to area 2011 - 2016</w:t>
      </w:r>
      <w:bookmarkEnd w:id="238"/>
    </w:p>
    <w:p w14:paraId="140CC15A" w14:textId="0BCF44F7"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Production areas of rice are largely concentrated in Northern, Muchinga, Western, Eastern and Luapula Provinces. This is in view of the abundance of water which creates favourable conditions for rice cultivation especially in the dambos and wetlands. The promotion of rice growing in upland areas has been emphasized in recent years due to the introduction of up-land rice varieties.</w:t>
      </w:r>
    </w:p>
    <w:p w14:paraId="48625EC7" w14:textId="1EDC6226" w:rsidR="00214971" w:rsidRDefault="00214971" w:rsidP="009462B1">
      <w:pPr>
        <w:pStyle w:val="Heading3"/>
        <w:numPr>
          <w:ilvl w:val="2"/>
          <w:numId w:val="36"/>
        </w:numPr>
        <w:ind w:left="851" w:hanging="851"/>
      </w:pPr>
      <w:bookmarkStart w:id="239" w:name="_Toc57902847"/>
      <w:r w:rsidRPr="00191ACB">
        <w:t>Methodological issues</w:t>
      </w:r>
      <w:bookmarkEnd w:id="239"/>
      <w:r w:rsidRPr="00191ACB">
        <w:t xml:space="preserve">  </w:t>
      </w:r>
    </w:p>
    <w:p w14:paraId="7C98AB22" w14:textId="77777777" w:rsidR="00040765" w:rsidRPr="00191ACB" w:rsidRDefault="00040765" w:rsidP="003C6D42">
      <w:pPr>
        <w:pStyle w:val="NoSpacing"/>
        <w:rPr>
          <w:rFonts w:ascii="Times New Roman" w:hAnsi="Times New Roman" w:cs="Times New Roman"/>
          <w:b/>
          <w:sz w:val="24"/>
          <w:szCs w:val="24"/>
        </w:rPr>
      </w:pPr>
    </w:p>
    <w:p w14:paraId="17E8A3C1" w14:textId="769705A3" w:rsidR="009D3651" w:rsidRPr="00191ACB" w:rsidRDefault="009D365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For Livestock</w:t>
      </w:r>
      <w:r w:rsidR="00E93816"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Tier 1-A simplified method</w:t>
      </w:r>
      <w:r w:rsidR="00E93816" w:rsidRPr="00191ACB">
        <w:rPr>
          <w:rFonts w:ascii="Times New Roman" w:hAnsi="Times New Roman" w:cs="Times New Roman"/>
          <w:color w:val="000000" w:themeColor="text1"/>
          <w:sz w:val="24"/>
          <w:szCs w:val="24"/>
        </w:rPr>
        <w:t xml:space="preserve"> was used</w:t>
      </w:r>
      <w:r w:rsidRPr="00191ACB">
        <w:rPr>
          <w:rFonts w:ascii="Times New Roman" w:hAnsi="Times New Roman" w:cs="Times New Roman"/>
          <w:color w:val="000000" w:themeColor="text1"/>
          <w:sz w:val="24"/>
          <w:szCs w:val="24"/>
        </w:rPr>
        <w:t xml:space="preserve"> to estimate emissions. Basic characterisation for Tier 1 was used involving use of animal population and default emission factors. </w:t>
      </w:r>
      <w:r w:rsidR="00E93816" w:rsidRPr="00191ACB">
        <w:rPr>
          <w:rFonts w:ascii="Times New Roman" w:hAnsi="Times New Roman" w:cs="Times New Roman"/>
          <w:color w:val="000000" w:themeColor="text1"/>
          <w:sz w:val="24"/>
          <w:szCs w:val="24"/>
        </w:rPr>
        <w:t xml:space="preserve">Default emission factor values for all livestock categories </w:t>
      </w:r>
      <w:r w:rsidRPr="00191ACB">
        <w:rPr>
          <w:rFonts w:ascii="Times New Roman" w:hAnsi="Times New Roman" w:cs="Times New Roman"/>
          <w:color w:val="000000" w:themeColor="text1"/>
          <w:sz w:val="24"/>
          <w:szCs w:val="24"/>
        </w:rPr>
        <w:t>(i.e., dairy cows, other cattle, buffalo, sheep, goats, rabbits, and asses, swine, and poultry)</w:t>
      </w:r>
      <w:r w:rsidR="00E93816" w:rsidRPr="00191ACB">
        <w:rPr>
          <w:rFonts w:ascii="Times New Roman" w:hAnsi="Times New Roman" w:cs="Times New Roman"/>
          <w:color w:val="000000" w:themeColor="text1"/>
          <w:sz w:val="24"/>
          <w:szCs w:val="24"/>
        </w:rPr>
        <w:t xml:space="preserve"> were used to estimate emissions</w:t>
      </w:r>
      <w:r w:rsidRPr="00191ACB">
        <w:rPr>
          <w:rFonts w:ascii="Times New Roman" w:hAnsi="Times New Roman" w:cs="Times New Roman"/>
          <w:color w:val="000000" w:themeColor="text1"/>
          <w:sz w:val="24"/>
          <w:szCs w:val="24"/>
        </w:rPr>
        <w:t xml:space="preserve">. </w:t>
      </w:r>
    </w:p>
    <w:p w14:paraId="00DAE445" w14:textId="0A6D93C7" w:rsidR="00214971" w:rsidRPr="00F57665"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Tier 2 </w:t>
      </w:r>
      <w:r w:rsidR="00E30550" w:rsidRPr="00191ACB">
        <w:rPr>
          <w:rFonts w:ascii="Times New Roman" w:hAnsi="Times New Roman" w:cs="Times New Roman"/>
          <w:color w:val="000000" w:themeColor="text1"/>
          <w:sz w:val="24"/>
          <w:szCs w:val="24"/>
        </w:rPr>
        <w:t xml:space="preserve">method </w:t>
      </w:r>
      <w:r w:rsidRPr="00191ACB">
        <w:rPr>
          <w:rFonts w:ascii="Times New Roman" w:hAnsi="Times New Roman" w:cs="Times New Roman"/>
          <w:color w:val="000000" w:themeColor="text1"/>
          <w:sz w:val="24"/>
          <w:szCs w:val="24"/>
        </w:rPr>
        <w:t>was used for activity data estimates and emission/removal</w:t>
      </w:r>
      <w:r w:rsidR="00E30550" w:rsidRPr="00191ACB">
        <w:rPr>
          <w:rFonts w:ascii="Times New Roman" w:hAnsi="Times New Roman" w:cs="Times New Roman"/>
          <w:color w:val="000000" w:themeColor="text1"/>
          <w:sz w:val="24"/>
          <w:szCs w:val="24"/>
        </w:rPr>
        <w:t xml:space="preserve"> under the land use sub category</w:t>
      </w:r>
      <w:r w:rsidRPr="00191ACB">
        <w:rPr>
          <w:rFonts w:ascii="Times New Roman" w:hAnsi="Times New Roman" w:cs="Times New Roman"/>
          <w:color w:val="000000" w:themeColor="text1"/>
          <w:sz w:val="24"/>
          <w:szCs w:val="24"/>
        </w:rPr>
        <w:t xml:space="preserve"> </w:t>
      </w:r>
      <w:r w:rsidR="00E30550" w:rsidRPr="00191ACB">
        <w:rPr>
          <w:rFonts w:ascii="Times New Roman" w:hAnsi="Times New Roman" w:cs="Times New Roman"/>
          <w:color w:val="000000" w:themeColor="text1"/>
          <w:sz w:val="24"/>
          <w:szCs w:val="24"/>
        </w:rPr>
        <w:t>for AFOLU.</w:t>
      </w:r>
      <w:r w:rsidRPr="00191ACB">
        <w:rPr>
          <w:rFonts w:ascii="Times New Roman" w:hAnsi="Times New Roman" w:cs="Times New Roman"/>
          <w:color w:val="000000" w:themeColor="text1"/>
          <w:sz w:val="24"/>
          <w:szCs w:val="24"/>
        </w:rPr>
        <w:t xml:space="preserve"> The emissions</w:t>
      </w:r>
      <w:r w:rsidR="00E30550" w:rsidRPr="00191ACB">
        <w:rPr>
          <w:rFonts w:ascii="Times New Roman" w:hAnsi="Times New Roman" w:cs="Times New Roman"/>
          <w:color w:val="000000" w:themeColor="text1"/>
          <w:sz w:val="24"/>
          <w:szCs w:val="24"/>
        </w:rPr>
        <w:t xml:space="preserve"> estimates under this sub category were</w:t>
      </w:r>
      <w:r w:rsidRPr="00191ACB">
        <w:rPr>
          <w:rFonts w:ascii="Times New Roman" w:hAnsi="Times New Roman" w:cs="Times New Roman"/>
          <w:color w:val="000000" w:themeColor="text1"/>
          <w:sz w:val="24"/>
          <w:szCs w:val="24"/>
        </w:rPr>
        <w:t xml:space="preserve"> based on changes in ecosystem C</w:t>
      </w:r>
      <w:r w:rsidR="00E30550" w:rsidRPr="00191ACB">
        <w:rPr>
          <w:rFonts w:ascii="Times New Roman" w:hAnsi="Times New Roman" w:cs="Times New Roman"/>
          <w:color w:val="000000" w:themeColor="text1"/>
          <w:sz w:val="24"/>
          <w:szCs w:val="24"/>
        </w:rPr>
        <w:t>arbon</w:t>
      </w:r>
      <w:r w:rsidRPr="00191ACB">
        <w:rPr>
          <w:rFonts w:ascii="Times New Roman" w:hAnsi="Times New Roman" w:cs="Times New Roman"/>
          <w:color w:val="000000" w:themeColor="text1"/>
          <w:sz w:val="24"/>
          <w:szCs w:val="24"/>
        </w:rPr>
        <w:t xml:space="preserve"> stocks</w:t>
      </w:r>
      <w:r w:rsidR="00E30550" w:rsidRPr="00191ACB">
        <w:rPr>
          <w:rFonts w:ascii="Times New Roman" w:hAnsi="Times New Roman" w:cs="Times New Roman"/>
          <w:color w:val="000000" w:themeColor="text1"/>
          <w:sz w:val="24"/>
          <w:szCs w:val="24"/>
        </w:rPr>
        <w:t xml:space="preserve"> and used</w:t>
      </w:r>
      <w:r w:rsidRPr="00191ACB">
        <w:rPr>
          <w:rFonts w:ascii="Times New Roman" w:hAnsi="Times New Roman" w:cs="Times New Roman"/>
          <w:color w:val="000000" w:themeColor="text1"/>
          <w:sz w:val="24"/>
          <w:szCs w:val="24"/>
        </w:rPr>
        <w:t xml:space="preserve"> equations 5.3-5.9</w:t>
      </w:r>
      <w:r w:rsidR="00E30550" w:rsidRPr="00191ACB">
        <w:rPr>
          <w:rFonts w:ascii="Times New Roman" w:hAnsi="Times New Roman" w:cs="Times New Roman"/>
          <w:color w:val="000000" w:themeColor="text1"/>
          <w:sz w:val="24"/>
          <w:szCs w:val="24"/>
        </w:rPr>
        <w:t xml:space="preserve"> of the 2006 IPCC Guidelines</w:t>
      </w:r>
      <w:r w:rsidRPr="00191ACB">
        <w:rPr>
          <w:rFonts w:ascii="Times New Roman" w:hAnsi="Times New Roman" w:cs="Times New Roman"/>
          <w:color w:val="000000" w:themeColor="text1"/>
          <w:sz w:val="24"/>
          <w:szCs w:val="24"/>
        </w:rPr>
        <w:t>, for each land-use category (including both land remaining in a land-use category as well as land converted to another land use).</w:t>
      </w:r>
      <w:r w:rsidRPr="00F57665">
        <w:rPr>
          <w:rFonts w:ascii="Times New Roman" w:hAnsi="Times New Roman" w:cs="Times New Roman"/>
          <w:color w:val="000000" w:themeColor="text1"/>
          <w:sz w:val="24"/>
          <w:szCs w:val="24"/>
        </w:rPr>
        <w:t xml:space="preserve"> </w:t>
      </w:r>
    </w:p>
    <w:p w14:paraId="6873D4B9" w14:textId="45F8EE26"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Tier 1 method was used in estimating</w:t>
      </w:r>
      <w:r w:rsidR="00632DDF"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(i) direct N</w:t>
      </w:r>
      <w:r w:rsidRPr="00F57665">
        <w:rPr>
          <w:rFonts w:ascii="Times New Roman" w:hAnsi="Times New Roman" w:cs="Times New Roman"/>
          <w:color w:val="000000" w:themeColor="text1"/>
          <w:sz w:val="24"/>
          <w:szCs w:val="24"/>
        </w:rPr>
        <w:t>2</w:t>
      </w:r>
      <w:r w:rsidRPr="00191ACB">
        <w:rPr>
          <w:rFonts w:ascii="Times New Roman" w:hAnsi="Times New Roman" w:cs="Times New Roman"/>
          <w:color w:val="000000" w:themeColor="text1"/>
          <w:sz w:val="24"/>
          <w:szCs w:val="24"/>
        </w:rPr>
        <w:t>O emissions from managed soils (ii) N</w:t>
      </w:r>
      <w:r w:rsidRPr="00F57665">
        <w:rPr>
          <w:rFonts w:ascii="Times New Roman" w:hAnsi="Times New Roman" w:cs="Times New Roman"/>
          <w:color w:val="000000" w:themeColor="text1"/>
          <w:sz w:val="24"/>
          <w:szCs w:val="24"/>
        </w:rPr>
        <w:t>2</w:t>
      </w:r>
      <w:r w:rsidRPr="00191ACB">
        <w:rPr>
          <w:rFonts w:ascii="Times New Roman" w:hAnsi="Times New Roman" w:cs="Times New Roman"/>
          <w:color w:val="000000" w:themeColor="text1"/>
          <w:sz w:val="24"/>
          <w:szCs w:val="24"/>
        </w:rPr>
        <w:t>O emissions from atmospheric deposition of N volatilised from managed soil and (iii) CO</w:t>
      </w:r>
      <w:r w:rsidRPr="00F57665">
        <w:rPr>
          <w:rFonts w:ascii="Times New Roman" w:hAnsi="Times New Roman" w:cs="Times New Roman"/>
          <w:color w:val="000000" w:themeColor="text1"/>
          <w:sz w:val="24"/>
          <w:szCs w:val="24"/>
        </w:rPr>
        <w:t>2</w:t>
      </w:r>
      <w:r w:rsidRPr="00191ACB">
        <w:rPr>
          <w:rFonts w:ascii="Times New Roman" w:hAnsi="Times New Roman" w:cs="Times New Roman"/>
          <w:color w:val="000000" w:themeColor="text1"/>
          <w:sz w:val="24"/>
          <w:szCs w:val="24"/>
        </w:rPr>
        <w:t xml:space="preserve"> Emissions from additions of carbonate limes to soils.</w:t>
      </w:r>
    </w:p>
    <w:p w14:paraId="7AF10336" w14:textId="77777777" w:rsidR="004678D3" w:rsidRPr="00191ACB" w:rsidRDefault="004678D3" w:rsidP="00214971">
      <w:pPr>
        <w:jc w:val="both"/>
        <w:rPr>
          <w:rFonts w:ascii="Times New Roman" w:hAnsi="Times New Roman" w:cs="Times New Roman"/>
          <w:color w:val="000000" w:themeColor="text1"/>
          <w:sz w:val="24"/>
          <w:szCs w:val="24"/>
        </w:rPr>
      </w:pPr>
    </w:p>
    <w:p w14:paraId="5409368E" w14:textId="30E3886C" w:rsidR="000F075B" w:rsidRPr="009462B1" w:rsidRDefault="000F075B" w:rsidP="009462B1">
      <w:pPr>
        <w:pStyle w:val="Heading3"/>
        <w:numPr>
          <w:ilvl w:val="2"/>
          <w:numId w:val="36"/>
        </w:numPr>
        <w:ind w:left="851" w:hanging="851"/>
      </w:pPr>
      <w:bookmarkStart w:id="240" w:name="_Toc57902848"/>
      <w:r w:rsidRPr="009462B1">
        <w:t>Activity Data</w:t>
      </w:r>
      <w:bookmarkEnd w:id="240"/>
    </w:p>
    <w:p w14:paraId="72E9DAC0" w14:textId="747B9424" w:rsidR="009D3651" w:rsidRPr="00191ACB" w:rsidRDefault="009D365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activity data used to calculate the emissions from the livestock sector was collected f</w:t>
      </w:r>
      <w:r w:rsidR="0090114A" w:rsidRPr="00191ACB">
        <w:rPr>
          <w:rFonts w:ascii="Times New Roman" w:hAnsi="Times New Roman" w:cs="Times New Roman"/>
          <w:color w:val="000000" w:themeColor="text1"/>
          <w:sz w:val="24"/>
          <w:szCs w:val="24"/>
        </w:rPr>
        <w:t>rom</w:t>
      </w:r>
      <w:r w:rsidRPr="00191ACB">
        <w:rPr>
          <w:rFonts w:ascii="Times New Roman" w:hAnsi="Times New Roman" w:cs="Times New Roman"/>
          <w:color w:val="000000" w:themeColor="text1"/>
          <w:sz w:val="24"/>
          <w:szCs w:val="24"/>
        </w:rPr>
        <w:t xml:space="preserve"> </w:t>
      </w:r>
      <w:r w:rsidR="000F44A6" w:rsidRPr="00191ACB">
        <w:rPr>
          <w:rFonts w:ascii="Times New Roman" w:hAnsi="Times New Roman" w:cs="Times New Roman"/>
          <w:color w:val="000000" w:themeColor="text1"/>
          <w:sz w:val="24"/>
          <w:szCs w:val="24"/>
        </w:rPr>
        <w:t>ZAMSTATS</w:t>
      </w:r>
      <w:r w:rsidRPr="00191ACB">
        <w:rPr>
          <w:rFonts w:ascii="Times New Roman" w:hAnsi="Times New Roman" w:cs="Times New Roman"/>
          <w:color w:val="000000" w:themeColor="text1"/>
          <w:sz w:val="24"/>
          <w:szCs w:val="24"/>
        </w:rPr>
        <w:t xml:space="preserve">, ZRA </w:t>
      </w:r>
      <w:r w:rsidR="0090114A" w:rsidRPr="00191ACB">
        <w:rPr>
          <w:rFonts w:ascii="Times New Roman" w:hAnsi="Times New Roman" w:cs="Times New Roman"/>
          <w:color w:val="000000" w:themeColor="text1"/>
          <w:sz w:val="24"/>
          <w:szCs w:val="24"/>
        </w:rPr>
        <w:t xml:space="preserve">and </w:t>
      </w:r>
      <w:r w:rsidRPr="00191ACB">
        <w:rPr>
          <w:rFonts w:ascii="Times New Roman" w:hAnsi="Times New Roman" w:cs="Times New Roman"/>
          <w:color w:val="000000" w:themeColor="text1"/>
          <w:sz w:val="24"/>
          <w:szCs w:val="24"/>
        </w:rPr>
        <w:t xml:space="preserve">Ministry of </w:t>
      </w:r>
      <w:r w:rsidR="0090114A" w:rsidRPr="00191ACB">
        <w:rPr>
          <w:rFonts w:ascii="Times New Roman" w:hAnsi="Times New Roman" w:cs="Times New Roman"/>
          <w:color w:val="000000" w:themeColor="text1"/>
          <w:sz w:val="24"/>
          <w:szCs w:val="24"/>
        </w:rPr>
        <w:t xml:space="preserve">Fisheries and </w:t>
      </w:r>
      <w:r w:rsidRPr="00191ACB">
        <w:rPr>
          <w:rFonts w:ascii="Times New Roman" w:hAnsi="Times New Roman" w:cs="Times New Roman"/>
          <w:color w:val="000000" w:themeColor="text1"/>
          <w:sz w:val="24"/>
          <w:szCs w:val="24"/>
        </w:rPr>
        <w:t>Livestock</w:t>
      </w:r>
      <w:r w:rsidR="0090114A"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Activity data used in estimating GHG emissions from the AFOLU was obtained from Forest Department (ILUA II data set),</w:t>
      </w:r>
      <w:r w:rsidR="0090232B" w:rsidRPr="00191ACB">
        <w:rPr>
          <w:rFonts w:ascii="Times New Roman" w:hAnsi="Times New Roman" w:cs="Times New Roman"/>
          <w:color w:val="000000" w:themeColor="text1"/>
          <w:sz w:val="24"/>
          <w:szCs w:val="24"/>
        </w:rPr>
        <w:t xml:space="preserve"> Ministry of Agriculture,</w:t>
      </w:r>
      <w:r w:rsidRPr="00191ACB">
        <w:rPr>
          <w:rFonts w:ascii="Times New Roman" w:hAnsi="Times New Roman" w:cs="Times New Roman"/>
          <w:color w:val="000000" w:themeColor="text1"/>
          <w:sz w:val="24"/>
          <w:szCs w:val="24"/>
        </w:rPr>
        <w:t xml:space="preserve"> </w:t>
      </w:r>
      <w:r w:rsidR="000F44A6" w:rsidRPr="00191ACB">
        <w:rPr>
          <w:rFonts w:ascii="Times New Roman" w:hAnsi="Times New Roman" w:cs="Times New Roman"/>
          <w:color w:val="000000" w:themeColor="text1"/>
          <w:sz w:val="24"/>
          <w:szCs w:val="24"/>
        </w:rPr>
        <w:t>ZAMSTATS</w:t>
      </w:r>
      <w:r w:rsidR="0090114A" w:rsidRPr="00191ACB">
        <w:rPr>
          <w:rFonts w:ascii="Times New Roman" w:hAnsi="Times New Roman" w:cs="Times New Roman"/>
          <w:color w:val="000000" w:themeColor="text1"/>
          <w:sz w:val="24"/>
          <w:szCs w:val="24"/>
        </w:rPr>
        <w:t xml:space="preserve"> and</w:t>
      </w:r>
      <w:r w:rsidRPr="00191ACB">
        <w:rPr>
          <w:rFonts w:ascii="Times New Roman" w:hAnsi="Times New Roman" w:cs="Times New Roman"/>
          <w:color w:val="000000" w:themeColor="text1"/>
          <w:sz w:val="24"/>
          <w:szCs w:val="24"/>
        </w:rPr>
        <w:t xml:space="preserve"> ZRA. </w:t>
      </w:r>
    </w:p>
    <w:p w14:paraId="0C503CC2" w14:textId="77777777" w:rsidR="009D3651" w:rsidRPr="00191ACB" w:rsidRDefault="009D3651" w:rsidP="009D3651">
      <w:pPr>
        <w:pStyle w:val="NoSpacing"/>
        <w:jc w:val="both"/>
        <w:rPr>
          <w:rFonts w:ascii="Times New Roman" w:hAnsi="Times New Roman" w:cs="Times New Roman"/>
          <w:color w:val="000000" w:themeColor="text1"/>
          <w:sz w:val="24"/>
          <w:szCs w:val="24"/>
        </w:rPr>
      </w:pPr>
    </w:p>
    <w:p w14:paraId="36C7C2CC" w14:textId="38834F44" w:rsidR="00214971" w:rsidRPr="009462B1" w:rsidRDefault="00214971" w:rsidP="009462B1">
      <w:pPr>
        <w:pStyle w:val="Heading3"/>
        <w:numPr>
          <w:ilvl w:val="2"/>
          <w:numId w:val="36"/>
        </w:numPr>
        <w:ind w:left="851" w:hanging="851"/>
      </w:pPr>
      <w:bookmarkStart w:id="241" w:name="_Toc15311512"/>
      <w:bookmarkStart w:id="242" w:name="_Toc48427339"/>
      <w:bookmarkStart w:id="243" w:name="_Toc57902849"/>
      <w:r w:rsidRPr="009462B1">
        <w:lastRenderedPageBreak/>
        <w:t>Uncertainties</w:t>
      </w:r>
      <w:bookmarkEnd w:id="241"/>
      <w:bookmarkEnd w:id="242"/>
      <w:bookmarkEnd w:id="243"/>
      <w:r w:rsidRPr="009462B1">
        <w:t xml:space="preserve"> </w:t>
      </w:r>
    </w:p>
    <w:p w14:paraId="06C164EC" w14:textId="3BBDD6BE" w:rsidR="003C6D42" w:rsidRPr="00191ACB" w:rsidRDefault="00385B20"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w:t>
      </w:r>
      <w:r w:rsidR="00214971" w:rsidRPr="00191ACB">
        <w:rPr>
          <w:rFonts w:ascii="Times New Roman" w:hAnsi="Times New Roman" w:cs="Times New Roman"/>
          <w:color w:val="000000" w:themeColor="text1"/>
          <w:sz w:val="24"/>
          <w:szCs w:val="24"/>
        </w:rPr>
        <w:t xml:space="preserve">he Uncertainty Analysis for AFOLU sector was estimated using approach 1 and computed using the </w:t>
      </w:r>
      <w:r w:rsidRPr="00191ACB">
        <w:rPr>
          <w:rFonts w:ascii="Times New Roman" w:hAnsi="Times New Roman" w:cs="Times New Roman"/>
          <w:color w:val="000000" w:themeColor="text1"/>
          <w:sz w:val="24"/>
          <w:szCs w:val="24"/>
        </w:rPr>
        <w:t xml:space="preserve">2006 </w:t>
      </w:r>
      <w:r w:rsidR="00214971" w:rsidRPr="00191ACB">
        <w:rPr>
          <w:rFonts w:ascii="Times New Roman" w:hAnsi="Times New Roman" w:cs="Times New Roman"/>
          <w:color w:val="000000" w:themeColor="text1"/>
          <w:sz w:val="24"/>
          <w:szCs w:val="24"/>
        </w:rPr>
        <w:t>IPCC software. Data for estimating emissions in the Land category was obtained from the ILUA</w:t>
      </w:r>
      <w:r w:rsidR="009D3651" w:rsidRPr="00191ACB">
        <w:rPr>
          <w:rFonts w:ascii="Times New Roman" w:hAnsi="Times New Roman" w:cs="Times New Roman"/>
          <w:color w:val="000000" w:themeColor="text1"/>
          <w:sz w:val="24"/>
          <w:szCs w:val="24"/>
        </w:rPr>
        <w:t xml:space="preserve"> II</w:t>
      </w:r>
      <w:r w:rsidR="00214971" w:rsidRPr="00191ACB">
        <w:rPr>
          <w:rFonts w:ascii="Times New Roman" w:hAnsi="Times New Roman" w:cs="Times New Roman"/>
          <w:color w:val="000000" w:themeColor="text1"/>
          <w:sz w:val="24"/>
          <w:szCs w:val="24"/>
        </w:rPr>
        <w:t xml:space="preserve"> data with uncertainty of ±5%. All the population data for Diary, other cattle, Buffalo, Sheep, Goat, Swine and poultry were sourced from </w:t>
      </w:r>
      <w:r w:rsidR="000F44A6" w:rsidRPr="00191ACB">
        <w:rPr>
          <w:rFonts w:ascii="Times New Roman" w:hAnsi="Times New Roman" w:cs="Times New Roman"/>
          <w:color w:val="000000" w:themeColor="text1"/>
          <w:sz w:val="24"/>
          <w:szCs w:val="24"/>
        </w:rPr>
        <w:t>ZAMSTATS</w:t>
      </w:r>
      <w:r w:rsidR="00214971" w:rsidRPr="00191ACB">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w:t>
      </w:r>
      <w:r w:rsidR="00214971" w:rsidRPr="00191ACB">
        <w:rPr>
          <w:rFonts w:ascii="Times New Roman" w:hAnsi="Times New Roman" w:cs="Times New Roman"/>
          <w:color w:val="000000" w:themeColor="text1"/>
          <w:sz w:val="24"/>
          <w:szCs w:val="24"/>
        </w:rPr>
        <w:t>The data was collected u</w:t>
      </w:r>
      <w:r w:rsidRPr="00191ACB">
        <w:rPr>
          <w:rFonts w:ascii="Times New Roman" w:hAnsi="Times New Roman" w:cs="Times New Roman"/>
          <w:color w:val="000000" w:themeColor="text1"/>
          <w:sz w:val="24"/>
          <w:szCs w:val="24"/>
        </w:rPr>
        <w:t>s</w:t>
      </w:r>
      <w:r w:rsidR="00214971" w:rsidRPr="00191ACB">
        <w:rPr>
          <w:rFonts w:ascii="Times New Roman" w:hAnsi="Times New Roman" w:cs="Times New Roman"/>
          <w:color w:val="000000" w:themeColor="text1"/>
          <w:sz w:val="24"/>
          <w:szCs w:val="24"/>
        </w:rPr>
        <w:t>ing the crop forecast surveys which are conducted annually</w:t>
      </w:r>
      <w:r w:rsidRPr="00191ACB">
        <w:rPr>
          <w:rFonts w:ascii="Times New Roman" w:hAnsi="Times New Roman" w:cs="Times New Roman"/>
          <w:color w:val="000000" w:themeColor="text1"/>
          <w:sz w:val="24"/>
          <w:szCs w:val="24"/>
        </w:rPr>
        <w:t xml:space="preserve"> with </w:t>
      </w:r>
      <w:r w:rsidR="00214971" w:rsidRPr="00191ACB">
        <w:rPr>
          <w:rFonts w:ascii="Times New Roman" w:hAnsi="Times New Roman" w:cs="Times New Roman"/>
          <w:color w:val="000000" w:themeColor="text1"/>
          <w:sz w:val="24"/>
          <w:szCs w:val="24"/>
        </w:rPr>
        <w:t xml:space="preserve">an accuracy of 70% (±30%). The uncertainties for emission factors </w:t>
      </w:r>
      <w:r w:rsidRPr="00191ACB">
        <w:rPr>
          <w:rFonts w:ascii="Times New Roman" w:hAnsi="Times New Roman" w:cs="Times New Roman"/>
          <w:color w:val="000000" w:themeColor="text1"/>
          <w:sz w:val="24"/>
          <w:szCs w:val="24"/>
        </w:rPr>
        <w:t xml:space="preserve">were defaults </w:t>
      </w:r>
      <w:r w:rsidR="00C623F9" w:rsidRPr="00191ACB">
        <w:rPr>
          <w:rFonts w:ascii="Times New Roman" w:hAnsi="Times New Roman" w:cs="Times New Roman"/>
          <w:color w:val="000000" w:themeColor="text1"/>
          <w:sz w:val="24"/>
          <w:szCs w:val="24"/>
        </w:rPr>
        <w:t>at</w:t>
      </w:r>
      <w:r w:rsidR="00214971" w:rsidRPr="00191ACB">
        <w:rPr>
          <w:rFonts w:ascii="Times New Roman" w:hAnsi="Times New Roman" w:cs="Times New Roman"/>
          <w:color w:val="000000" w:themeColor="text1"/>
          <w:sz w:val="24"/>
          <w:szCs w:val="24"/>
        </w:rPr>
        <w:t xml:space="preserve"> ±40% based on </w:t>
      </w:r>
      <w:r w:rsidR="00C623F9" w:rsidRPr="00191ACB">
        <w:rPr>
          <w:rFonts w:ascii="Times New Roman" w:hAnsi="Times New Roman" w:cs="Times New Roman"/>
          <w:color w:val="000000" w:themeColor="text1"/>
          <w:sz w:val="24"/>
          <w:szCs w:val="24"/>
        </w:rPr>
        <w:t>tier 1 method</w:t>
      </w:r>
      <w:r w:rsidR="00214971" w:rsidRPr="00191ACB">
        <w:rPr>
          <w:rFonts w:ascii="Times New Roman" w:hAnsi="Times New Roman" w:cs="Times New Roman"/>
          <w:color w:val="000000" w:themeColor="text1"/>
          <w:sz w:val="24"/>
          <w:szCs w:val="24"/>
        </w:rPr>
        <w:t>. There are no Emission factors for Zambia hence the ±40% uncertainty.</w:t>
      </w:r>
    </w:p>
    <w:p w14:paraId="21D0C1F8" w14:textId="44496164" w:rsidR="00214971" w:rsidRPr="00191ACB" w:rsidRDefault="00214971" w:rsidP="00214971">
      <w:pPr>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 </w:t>
      </w:r>
    </w:p>
    <w:p w14:paraId="60AE170A" w14:textId="592CF29D" w:rsidR="00214971" w:rsidRPr="009462B1" w:rsidRDefault="00214971" w:rsidP="009462B1">
      <w:pPr>
        <w:pStyle w:val="Heading3"/>
        <w:numPr>
          <w:ilvl w:val="2"/>
          <w:numId w:val="36"/>
        </w:numPr>
        <w:ind w:left="851" w:hanging="851"/>
      </w:pPr>
      <w:bookmarkStart w:id="244" w:name="_Toc15311513"/>
      <w:bookmarkStart w:id="245" w:name="_Toc48427340"/>
      <w:bookmarkStart w:id="246" w:name="_Toc57902850"/>
      <w:r w:rsidRPr="009462B1">
        <w:t xml:space="preserve">QA/QC and </w:t>
      </w:r>
      <w:r w:rsidR="00702B6E" w:rsidRPr="009462B1">
        <w:t>Verification</w:t>
      </w:r>
      <w:bookmarkEnd w:id="244"/>
      <w:bookmarkEnd w:id="245"/>
      <w:bookmarkEnd w:id="246"/>
      <w:r w:rsidRPr="009462B1">
        <w:t xml:space="preserve"> </w:t>
      </w:r>
    </w:p>
    <w:p w14:paraId="57E278D8" w14:textId="77777777" w:rsidR="00702B6E" w:rsidRPr="00191ACB" w:rsidRDefault="00702B6E" w:rsidP="00702B6E">
      <w:pPr>
        <w:pStyle w:val="ListParagraph"/>
        <w:ind w:left="2160"/>
      </w:pPr>
    </w:p>
    <w:p w14:paraId="11B6D392" w14:textId="6CEF411D" w:rsidR="00214971" w:rsidRPr="00191ACB" w:rsidRDefault="0090232B"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D</w:t>
      </w:r>
      <w:r w:rsidR="00214971" w:rsidRPr="00191ACB">
        <w:rPr>
          <w:rFonts w:ascii="Times New Roman" w:hAnsi="Times New Roman" w:cs="Times New Roman"/>
          <w:color w:val="000000" w:themeColor="text1"/>
          <w:sz w:val="24"/>
          <w:szCs w:val="24"/>
        </w:rPr>
        <w:t xml:space="preserve">ata </w:t>
      </w:r>
      <w:r w:rsidRPr="00191ACB">
        <w:rPr>
          <w:rFonts w:ascii="Times New Roman" w:hAnsi="Times New Roman" w:cs="Times New Roman"/>
          <w:color w:val="000000" w:themeColor="text1"/>
          <w:sz w:val="24"/>
          <w:szCs w:val="24"/>
        </w:rPr>
        <w:t xml:space="preserve">collected </w:t>
      </w:r>
      <w:r w:rsidR="00214971" w:rsidRPr="00191ACB">
        <w:rPr>
          <w:rFonts w:ascii="Times New Roman" w:hAnsi="Times New Roman" w:cs="Times New Roman"/>
          <w:color w:val="000000" w:themeColor="text1"/>
          <w:sz w:val="24"/>
          <w:szCs w:val="24"/>
        </w:rPr>
        <w:t xml:space="preserve">from various sources </w:t>
      </w:r>
      <w:r w:rsidRPr="00191ACB">
        <w:rPr>
          <w:rFonts w:ascii="Times New Roman" w:hAnsi="Times New Roman" w:cs="Times New Roman"/>
          <w:color w:val="000000" w:themeColor="text1"/>
          <w:sz w:val="24"/>
          <w:szCs w:val="24"/>
        </w:rPr>
        <w:t>was compared and</w:t>
      </w:r>
      <w:r w:rsidR="00214971" w:rsidRPr="00191ACB">
        <w:rPr>
          <w:rFonts w:ascii="Times New Roman" w:hAnsi="Times New Roman" w:cs="Times New Roman"/>
          <w:color w:val="000000" w:themeColor="text1"/>
          <w:sz w:val="24"/>
          <w:szCs w:val="24"/>
        </w:rPr>
        <w:t xml:space="preserve"> compile</w:t>
      </w:r>
      <w:r w:rsidRPr="00191ACB">
        <w:rPr>
          <w:rFonts w:ascii="Times New Roman" w:hAnsi="Times New Roman" w:cs="Times New Roman"/>
          <w:color w:val="000000" w:themeColor="text1"/>
          <w:sz w:val="24"/>
          <w:szCs w:val="24"/>
        </w:rPr>
        <w:t>d</w:t>
      </w:r>
      <w:r w:rsidR="00214971" w:rsidRPr="00191ACB">
        <w:rPr>
          <w:rFonts w:ascii="Times New Roman" w:hAnsi="Times New Roman" w:cs="Times New Roman"/>
          <w:color w:val="000000" w:themeColor="text1"/>
          <w:sz w:val="24"/>
          <w:szCs w:val="24"/>
        </w:rPr>
        <w:t xml:space="preserve"> for use in emission estimat</w:t>
      </w:r>
      <w:r w:rsidRPr="00191ACB">
        <w:rPr>
          <w:rFonts w:ascii="Times New Roman" w:hAnsi="Times New Roman" w:cs="Times New Roman"/>
          <w:color w:val="000000" w:themeColor="text1"/>
          <w:sz w:val="24"/>
          <w:szCs w:val="24"/>
        </w:rPr>
        <w:t>ion</w:t>
      </w:r>
      <w:r w:rsidR="00214971"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Data was</w:t>
      </w:r>
      <w:r w:rsidR="00214971" w:rsidRPr="00191ACB">
        <w:rPr>
          <w:rFonts w:ascii="Times New Roman" w:hAnsi="Times New Roman" w:cs="Times New Roman"/>
          <w:color w:val="000000" w:themeColor="text1"/>
          <w:sz w:val="24"/>
          <w:szCs w:val="24"/>
        </w:rPr>
        <w:t xml:space="preserve"> verif</w:t>
      </w:r>
      <w:r w:rsidRPr="00191ACB">
        <w:rPr>
          <w:rFonts w:ascii="Times New Roman" w:hAnsi="Times New Roman" w:cs="Times New Roman"/>
          <w:color w:val="000000" w:themeColor="text1"/>
          <w:sz w:val="24"/>
          <w:szCs w:val="24"/>
        </w:rPr>
        <w:t>ied</w:t>
      </w:r>
      <w:r w:rsidR="00214971"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for</w:t>
      </w:r>
      <w:r w:rsidR="00CA1F36" w:rsidRPr="00191ACB">
        <w:rPr>
          <w:rFonts w:ascii="Times New Roman" w:hAnsi="Times New Roman" w:cs="Times New Roman"/>
          <w:color w:val="000000" w:themeColor="text1"/>
          <w:sz w:val="24"/>
          <w:szCs w:val="24"/>
        </w:rPr>
        <w:t xml:space="preserve"> QA/QC</w:t>
      </w:r>
      <w:r w:rsidRPr="00191ACB">
        <w:rPr>
          <w:rFonts w:ascii="Times New Roman" w:hAnsi="Times New Roman" w:cs="Times New Roman"/>
          <w:color w:val="000000" w:themeColor="text1"/>
          <w:sz w:val="24"/>
          <w:szCs w:val="24"/>
        </w:rPr>
        <w:t>.</w:t>
      </w:r>
    </w:p>
    <w:p w14:paraId="2681191E" w14:textId="77777777" w:rsidR="004678D3" w:rsidRPr="00191ACB" w:rsidRDefault="004678D3" w:rsidP="00A55453">
      <w:pPr>
        <w:jc w:val="both"/>
        <w:rPr>
          <w:rFonts w:ascii="Times New Roman" w:hAnsi="Times New Roman" w:cs="Times New Roman"/>
          <w:color w:val="000000" w:themeColor="text1"/>
          <w:sz w:val="24"/>
          <w:szCs w:val="24"/>
        </w:rPr>
      </w:pPr>
    </w:p>
    <w:p w14:paraId="2DDF41F6" w14:textId="4263E92A" w:rsidR="00214971" w:rsidRPr="009462B1" w:rsidRDefault="00214971" w:rsidP="009462B1">
      <w:pPr>
        <w:pStyle w:val="Heading3"/>
        <w:numPr>
          <w:ilvl w:val="2"/>
          <w:numId w:val="36"/>
        </w:numPr>
        <w:ind w:left="851" w:hanging="851"/>
      </w:pPr>
      <w:bookmarkStart w:id="247" w:name="_Toc15311514"/>
      <w:bookmarkStart w:id="248" w:name="_Toc48427341"/>
      <w:bookmarkStart w:id="249" w:name="_Toc57902851"/>
      <w:r w:rsidRPr="009462B1">
        <w:t>Recalculations</w:t>
      </w:r>
      <w:bookmarkEnd w:id="247"/>
      <w:bookmarkEnd w:id="248"/>
      <w:bookmarkEnd w:id="249"/>
      <w:r w:rsidRPr="009462B1">
        <w:t xml:space="preserve"> </w:t>
      </w:r>
    </w:p>
    <w:p w14:paraId="68F23D80" w14:textId="7F774B0B"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There were no recalculations undertaken for the AFOLU sector</w:t>
      </w:r>
      <w:r w:rsidR="00F8299A" w:rsidRPr="00191ACB">
        <w:rPr>
          <w:rFonts w:ascii="Times New Roman" w:hAnsi="Times New Roman" w:cs="Times New Roman"/>
          <w:color w:val="000000" w:themeColor="text1"/>
          <w:sz w:val="24"/>
          <w:szCs w:val="24"/>
        </w:rPr>
        <w:t xml:space="preserve"> because the methodology used in the TNC was not changed in the BUR.</w:t>
      </w:r>
    </w:p>
    <w:p w14:paraId="1E86E952" w14:textId="38B1C03D" w:rsidR="006803D5" w:rsidRPr="00191ACB" w:rsidRDefault="006803D5" w:rsidP="00214971">
      <w:pPr>
        <w:jc w:val="both"/>
        <w:rPr>
          <w:rFonts w:ascii="Times New Roman" w:hAnsi="Times New Roman" w:cs="Times New Roman"/>
          <w:color w:val="000000" w:themeColor="text1"/>
          <w:sz w:val="24"/>
          <w:szCs w:val="24"/>
        </w:rPr>
      </w:pPr>
    </w:p>
    <w:p w14:paraId="1628A8A6" w14:textId="77777777" w:rsidR="006803D5" w:rsidRPr="00191ACB" w:rsidRDefault="006803D5" w:rsidP="00214971">
      <w:pPr>
        <w:jc w:val="both"/>
        <w:rPr>
          <w:rFonts w:ascii="Times New Roman" w:hAnsi="Times New Roman" w:cs="Times New Roman"/>
          <w:color w:val="000000" w:themeColor="text1"/>
          <w:sz w:val="24"/>
          <w:szCs w:val="24"/>
        </w:rPr>
      </w:pPr>
    </w:p>
    <w:p w14:paraId="302E4E1D" w14:textId="0773A7D1" w:rsidR="00214971" w:rsidRPr="009462B1" w:rsidRDefault="00214971" w:rsidP="009462B1">
      <w:pPr>
        <w:pStyle w:val="Heading3"/>
        <w:numPr>
          <w:ilvl w:val="2"/>
          <w:numId w:val="36"/>
        </w:numPr>
        <w:ind w:left="851" w:hanging="851"/>
      </w:pPr>
      <w:bookmarkStart w:id="250" w:name="_Toc15311516"/>
      <w:bookmarkStart w:id="251" w:name="_Toc48427342"/>
      <w:bookmarkStart w:id="252" w:name="_Toc57902852"/>
      <w:r w:rsidRPr="009462B1">
        <w:t>Planned improvements</w:t>
      </w:r>
      <w:bookmarkEnd w:id="250"/>
      <w:bookmarkEnd w:id="251"/>
      <w:bookmarkEnd w:id="252"/>
      <w:r w:rsidRPr="009462B1">
        <w:t xml:space="preserve"> </w:t>
      </w:r>
    </w:p>
    <w:p w14:paraId="7AF9A888" w14:textId="77777777" w:rsidR="006803D5" w:rsidRPr="00191ACB" w:rsidRDefault="006803D5" w:rsidP="006803D5">
      <w:pPr>
        <w:rPr>
          <w:rFonts w:ascii="Times New Roman" w:hAnsi="Times New Roman" w:cs="Times New Roman"/>
          <w:sz w:val="24"/>
          <w:szCs w:val="24"/>
        </w:rPr>
      </w:pPr>
    </w:p>
    <w:p w14:paraId="7B77769D" w14:textId="77777777" w:rsidR="00214971" w:rsidRPr="00191ACB" w:rsidRDefault="00214971" w:rsidP="00214971">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Gaps on activity data and emission factor are elaborated as follows:</w:t>
      </w:r>
    </w:p>
    <w:p w14:paraId="310E5B33" w14:textId="77777777" w:rsidR="00214971" w:rsidRPr="00191ACB" w:rsidRDefault="00214971" w:rsidP="00214971">
      <w:pPr>
        <w:spacing w:before="240" w:after="240"/>
        <w:ind w:left="360" w:hanging="360"/>
        <w:jc w:val="both"/>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a) Data Gaps</w:t>
      </w:r>
    </w:p>
    <w:p w14:paraId="0ECD783D" w14:textId="67750F9C" w:rsidR="00214971" w:rsidRPr="00191ACB" w:rsidRDefault="00214971" w:rsidP="00E435F6">
      <w:pPr>
        <w:numPr>
          <w:ilvl w:val="0"/>
          <w:numId w:val="33"/>
        </w:numPr>
        <w:spacing w:before="240" w:after="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There </w:t>
      </w:r>
      <w:r w:rsidR="002269F6" w:rsidRPr="00191ACB">
        <w:rPr>
          <w:rFonts w:ascii="Times New Roman" w:hAnsi="Times New Roman" w:cs="Times New Roman"/>
          <w:color w:val="000000" w:themeColor="text1"/>
          <w:sz w:val="24"/>
          <w:szCs w:val="24"/>
        </w:rPr>
        <w:t>wa</w:t>
      </w:r>
      <w:r w:rsidRPr="00191ACB">
        <w:rPr>
          <w:rFonts w:ascii="Times New Roman" w:hAnsi="Times New Roman" w:cs="Times New Roman"/>
          <w:color w:val="000000" w:themeColor="text1"/>
          <w:sz w:val="24"/>
          <w:szCs w:val="24"/>
        </w:rPr>
        <w:t>s lack of data on biomass burning on cropland in terms of areas burnt-specific to crop types</w:t>
      </w:r>
      <w:r w:rsidR="006B2A46">
        <w:rPr>
          <w:rFonts w:ascii="Times New Roman" w:hAnsi="Times New Roman" w:cs="Times New Roman"/>
          <w:color w:val="000000" w:themeColor="text1"/>
          <w:sz w:val="24"/>
          <w:szCs w:val="24"/>
        </w:rPr>
        <w:t>;</w:t>
      </w:r>
      <w:r w:rsidRPr="00191ACB">
        <w:rPr>
          <w:rFonts w:ascii="Times New Roman" w:hAnsi="Times New Roman" w:cs="Times New Roman"/>
          <w:color w:val="000000" w:themeColor="text1"/>
          <w:sz w:val="24"/>
          <w:szCs w:val="24"/>
        </w:rPr>
        <w:t xml:space="preserve"> </w:t>
      </w:r>
    </w:p>
    <w:p w14:paraId="7B8A8549" w14:textId="2FA87C2A" w:rsidR="00214971" w:rsidRPr="00191ACB" w:rsidRDefault="00214971" w:rsidP="00E435F6">
      <w:pPr>
        <w:numPr>
          <w:ilvl w:val="0"/>
          <w:numId w:val="33"/>
        </w:numPr>
        <w:spacing w:after="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There </w:t>
      </w:r>
      <w:r w:rsidR="002269F6" w:rsidRPr="00191ACB">
        <w:rPr>
          <w:rFonts w:ascii="Times New Roman" w:hAnsi="Times New Roman" w:cs="Times New Roman"/>
          <w:color w:val="000000" w:themeColor="text1"/>
          <w:sz w:val="24"/>
          <w:szCs w:val="24"/>
        </w:rPr>
        <w:t>wa</w:t>
      </w:r>
      <w:r w:rsidRPr="00191ACB">
        <w:rPr>
          <w:rFonts w:ascii="Times New Roman" w:hAnsi="Times New Roman" w:cs="Times New Roman"/>
          <w:color w:val="000000" w:themeColor="text1"/>
          <w:sz w:val="24"/>
          <w:szCs w:val="24"/>
        </w:rPr>
        <w:t>s no data on crop residue management practi</w:t>
      </w:r>
      <w:r w:rsidR="00DB12CF" w:rsidRPr="00191ACB">
        <w:rPr>
          <w:rFonts w:ascii="Times New Roman" w:hAnsi="Times New Roman" w:cs="Times New Roman"/>
          <w:color w:val="000000" w:themeColor="text1"/>
          <w:sz w:val="24"/>
          <w:szCs w:val="24"/>
        </w:rPr>
        <w:t>c</w:t>
      </w:r>
      <w:r w:rsidRPr="00191ACB">
        <w:rPr>
          <w:rFonts w:ascii="Times New Roman" w:hAnsi="Times New Roman" w:cs="Times New Roman"/>
          <w:color w:val="000000" w:themeColor="text1"/>
          <w:sz w:val="24"/>
          <w:szCs w:val="24"/>
        </w:rPr>
        <w:t>es among the farmers across the country. This pose</w:t>
      </w:r>
      <w:r w:rsidR="002269F6" w:rsidRPr="00191ACB">
        <w:rPr>
          <w:rFonts w:ascii="Times New Roman" w:hAnsi="Times New Roman" w:cs="Times New Roman"/>
          <w:color w:val="000000" w:themeColor="text1"/>
          <w:sz w:val="24"/>
          <w:szCs w:val="24"/>
        </w:rPr>
        <w:t>d</w:t>
      </w:r>
      <w:r w:rsidRPr="00191ACB">
        <w:rPr>
          <w:rFonts w:ascii="Times New Roman" w:hAnsi="Times New Roman" w:cs="Times New Roman"/>
          <w:color w:val="000000" w:themeColor="text1"/>
          <w:sz w:val="24"/>
          <w:szCs w:val="24"/>
        </w:rPr>
        <w:t xml:space="preserve"> challenges to emission estimations from crop residues</w:t>
      </w:r>
      <w:r w:rsidR="006B2A46">
        <w:rPr>
          <w:rFonts w:ascii="Times New Roman" w:hAnsi="Times New Roman" w:cs="Times New Roman"/>
          <w:color w:val="000000" w:themeColor="text1"/>
          <w:sz w:val="24"/>
          <w:szCs w:val="24"/>
        </w:rPr>
        <w:t>;</w:t>
      </w:r>
    </w:p>
    <w:p w14:paraId="010C1556" w14:textId="6DD35FE4" w:rsidR="00214971" w:rsidRPr="00191ACB" w:rsidRDefault="00214971" w:rsidP="00E435F6">
      <w:pPr>
        <w:numPr>
          <w:ilvl w:val="0"/>
          <w:numId w:val="33"/>
        </w:numPr>
        <w:spacing w:after="24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Lime data collected </w:t>
      </w:r>
      <w:r w:rsidR="002269F6" w:rsidRPr="00191ACB">
        <w:rPr>
          <w:rFonts w:ascii="Times New Roman" w:hAnsi="Times New Roman" w:cs="Times New Roman"/>
          <w:color w:val="000000" w:themeColor="text1"/>
          <w:sz w:val="24"/>
          <w:szCs w:val="24"/>
        </w:rPr>
        <w:t xml:space="preserve">did not </w:t>
      </w:r>
      <w:r w:rsidRPr="00191ACB">
        <w:rPr>
          <w:rFonts w:ascii="Times New Roman" w:hAnsi="Times New Roman" w:cs="Times New Roman"/>
          <w:color w:val="000000" w:themeColor="text1"/>
          <w:sz w:val="24"/>
          <w:szCs w:val="24"/>
        </w:rPr>
        <w:t xml:space="preserve">distinguish the </w:t>
      </w:r>
      <w:r w:rsidR="002269F6" w:rsidRPr="00191ACB">
        <w:rPr>
          <w:rFonts w:ascii="Times New Roman" w:hAnsi="Times New Roman" w:cs="Times New Roman"/>
          <w:color w:val="000000" w:themeColor="text1"/>
          <w:sz w:val="24"/>
          <w:szCs w:val="24"/>
        </w:rPr>
        <w:t xml:space="preserve">types of </w:t>
      </w:r>
      <w:r w:rsidRPr="00191ACB">
        <w:rPr>
          <w:rFonts w:ascii="Times New Roman" w:hAnsi="Times New Roman" w:cs="Times New Roman"/>
          <w:color w:val="000000" w:themeColor="text1"/>
          <w:sz w:val="24"/>
          <w:szCs w:val="24"/>
        </w:rPr>
        <w:t xml:space="preserve">lime </w:t>
      </w:r>
      <w:r w:rsidR="002269F6" w:rsidRPr="00191ACB">
        <w:rPr>
          <w:rFonts w:ascii="Times New Roman" w:hAnsi="Times New Roman" w:cs="Times New Roman"/>
          <w:color w:val="000000" w:themeColor="text1"/>
          <w:sz w:val="24"/>
          <w:szCs w:val="24"/>
        </w:rPr>
        <w:t>used (</w:t>
      </w:r>
      <w:r w:rsidRPr="00191ACB">
        <w:rPr>
          <w:rFonts w:ascii="Times New Roman" w:hAnsi="Times New Roman" w:cs="Times New Roman"/>
          <w:color w:val="000000" w:themeColor="text1"/>
          <w:sz w:val="24"/>
          <w:szCs w:val="24"/>
        </w:rPr>
        <w:t>dolomitic or calcitic</w:t>
      </w:r>
      <w:r w:rsidR="002269F6" w:rsidRPr="00191ACB">
        <w:rPr>
          <w:rFonts w:ascii="Times New Roman" w:hAnsi="Times New Roman" w:cs="Times New Roman"/>
          <w:color w:val="000000" w:themeColor="text1"/>
          <w:sz w:val="24"/>
          <w:szCs w:val="24"/>
        </w:rPr>
        <w:t>)</w:t>
      </w:r>
      <w:r w:rsidR="006B2A46">
        <w:rPr>
          <w:rFonts w:ascii="Times New Roman" w:hAnsi="Times New Roman" w:cs="Times New Roman"/>
          <w:color w:val="000000" w:themeColor="text1"/>
          <w:sz w:val="24"/>
          <w:szCs w:val="24"/>
        </w:rPr>
        <w:t>; and</w:t>
      </w:r>
      <w:r w:rsidRPr="00191ACB">
        <w:rPr>
          <w:rFonts w:ascii="Times New Roman" w:hAnsi="Times New Roman" w:cs="Times New Roman"/>
          <w:color w:val="000000" w:themeColor="text1"/>
          <w:sz w:val="24"/>
          <w:szCs w:val="24"/>
        </w:rPr>
        <w:t xml:space="preserve"> </w:t>
      </w:r>
    </w:p>
    <w:p w14:paraId="783BC723" w14:textId="3BE1AC88" w:rsidR="00DB12CF" w:rsidRPr="00191ACB" w:rsidRDefault="00DB12CF" w:rsidP="00E435F6">
      <w:pPr>
        <w:numPr>
          <w:ilvl w:val="0"/>
          <w:numId w:val="33"/>
        </w:numPr>
        <w:spacing w:after="24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There were no country specific emission factors</w:t>
      </w:r>
    </w:p>
    <w:p w14:paraId="479B2C41" w14:textId="77777777" w:rsidR="00214971" w:rsidRPr="00191ACB" w:rsidRDefault="00214971" w:rsidP="00214971">
      <w:pPr>
        <w:spacing w:before="240"/>
        <w:jc w:val="both"/>
        <w:rPr>
          <w:rFonts w:ascii="Times New Roman" w:hAnsi="Times New Roman" w:cs="Times New Roman"/>
          <w:b/>
          <w:bCs/>
          <w:color w:val="000000" w:themeColor="text1"/>
          <w:sz w:val="24"/>
          <w:szCs w:val="24"/>
        </w:rPr>
      </w:pPr>
      <w:r w:rsidRPr="00191ACB">
        <w:rPr>
          <w:rFonts w:ascii="Times New Roman" w:hAnsi="Times New Roman" w:cs="Times New Roman"/>
          <w:b/>
          <w:bCs/>
          <w:color w:val="000000" w:themeColor="text1"/>
          <w:sz w:val="24"/>
          <w:szCs w:val="24"/>
        </w:rPr>
        <w:t xml:space="preserve">b)     Planned improvements  </w:t>
      </w:r>
    </w:p>
    <w:p w14:paraId="59374965" w14:textId="1FE8717D" w:rsidR="00DB12CF" w:rsidRPr="00191ACB" w:rsidRDefault="00DB12CF" w:rsidP="00E435F6">
      <w:pPr>
        <w:pStyle w:val="ListParagraph"/>
        <w:numPr>
          <w:ilvl w:val="1"/>
          <w:numId w:val="32"/>
        </w:numPr>
        <w:spacing w:before="240" w:after="240"/>
        <w:jc w:val="both"/>
        <w:rPr>
          <w:color w:val="000000" w:themeColor="text1"/>
        </w:rPr>
      </w:pPr>
      <w:r w:rsidRPr="00191ACB">
        <w:rPr>
          <w:color w:val="000000" w:themeColor="text1"/>
        </w:rPr>
        <w:t>The lack of data on biomass burning on cropland could be addressed through the use of remote sensing to map cropland in terms of crop types with the help of field surveys</w:t>
      </w:r>
      <w:r w:rsidR="006B2A46">
        <w:rPr>
          <w:color w:val="000000" w:themeColor="text1"/>
        </w:rPr>
        <w:t>;</w:t>
      </w:r>
    </w:p>
    <w:p w14:paraId="192C7FBC" w14:textId="1BFA75AD" w:rsidR="00DB12CF" w:rsidRPr="00191ACB" w:rsidRDefault="00DB12CF" w:rsidP="00E435F6">
      <w:pPr>
        <w:pStyle w:val="ListParagraph"/>
        <w:numPr>
          <w:ilvl w:val="1"/>
          <w:numId w:val="32"/>
        </w:numPr>
        <w:spacing w:before="240" w:after="240"/>
        <w:jc w:val="both"/>
        <w:rPr>
          <w:color w:val="000000" w:themeColor="text1"/>
        </w:rPr>
      </w:pPr>
      <w:r w:rsidRPr="00191ACB">
        <w:rPr>
          <w:color w:val="000000" w:themeColor="text1"/>
        </w:rPr>
        <w:t>There is a need to conduct a survey to establish crop residue management practices across the country</w:t>
      </w:r>
      <w:r w:rsidR="006B2A46">
        <w:rPr>
          <w:color w:val="000000" w:themeColor="text1"/>
        </w:rPr>
        <w:t>;</w:t>
      </w:r>
    </w:p>
    <w:p w14:paraId="2AF62631" w14:textId="6226F972" w:rsidR="00DB12CF" w:rsidRPr="00191ACB" w:rsidRDefault="00214971" w:rsidP="00E435F6">
      <w:pPr>
        <w:pStyle w:val="ListParagraph"/>
        <w:numPr>
          <w:ilvl w:val="1"/>
          <w:numId w:val="32"/>
        </w:numPr>
        <w:spacing w:after="240"/>
        <w:jc w:val="both"/>
        <w:rPr>
          <w:color w:val="000000" w:themeColor="text1"/>
        </w:rPr>
      </w:pPr>
      <w:r w:rsidRPr="00191ACB">
        <w:rPr>
          <w:color w:val="000000" w:themeColor="text1"/>
        </w:rPr>
        <w:t>There is need for the stratification of the vegetation types in the category forest woodland and other wooded land</w:t>
      </w:r>
      <w:r w:rsidR="006B2A46">
        <w:rPr>
          <w:color w:val="000000" w:themeColor="text1"/>
        </w:rPr>
        <w:t>;</w:t>
      </w:r>
      <w:r w:rsidRPr="00191ACB">
        <w:rPr>
          <w:b/>
          <w:color w:val="000000" w:themeColor="text1"/>
        </w:rPr>
        <w:t xml:space="preserve"> </w:t>
      </w:r>
    </w:p>
    <w:p w14:paraId="1580EF63" w14:textId="15E273FE" w:rsidR="00214971" w:rsidRPr="00191ACB" w:rsidRDefault="00214971" w:rsidP="00E435F6">
      <w:pPr>
        <w:pStyle w:val="ListParagraph"/>
        <w:numPr>
          <w:ilvl w:val="1"/>
          <w:numId w:val="32"/>
        </w:numPr>
        <w:spacing w:after="240"/>
        <w:jc w:val="both"/>
        <w:rPr>
          <w:color w:val="000000" w:themeColor="text1"/>
        </w:rPr>
      </w:pPr>
      <w:r w:rsidRPr="00191ACB">
        <w:rPr>
          <w:color w:val="000000" w:themeColor="text1"/>
        </w:rPr>
        <w:lastRenderedPageBreak/>
        <w:t xml:space="preserve">The </w:t>
      </w:r>
      <w:r w:rsidR="00DB12CF" w:rsidRPr="00191ACB">
        <w:rPr>
          <w:color w:val="000000" w:themeColor="text1"/>
        </w:rPr>
        <w:t xml:space="preserve">surveys </w:t>
      </w:r>
      <w:r w:rsidRPr="00191ACB">
        <w:rPr>
          <w:color w:val="000000" w:themeColor="text1"/>
        </w:rPr>
        <w:t xml:space="preserve">conducted </w:t>
      </w:r>
      <w:r w:rsidR="000D60FE" w:rsidRPr="00191ACB">
        <w:rPr>
          <w:color w:val="000000" w:themeColor="text1"/>
        </w:rPr>
        <w:t xml:space="preserve">for agriculture and livestock data </w:t>
      </w:r>
      <w:r w:rsidRPr="00191ACB">
        <w:rPr>
          <w:color w:val="000000" w:themeColor="text1"/>
        </w:rPr>
        <w:t>need to be customised to the data requirement of the GHG inventory</w:t>
      </w:r>
      <w:r w:rsidR="000D60FE" w:rsidRPr="00191ACB">
        <w:rPr>
          <w:color w:val="000000" w:themeColor="text1"/>
        </w:rPr>
        <w:t xml:space="preserve"> and the</w:t>
      </w:r>
      <w:r w:rsidR="00DB12CF" w:rsidRPr="00191ACB">
        <w:rPr>
          <w:color w:val="000000" w:themeColor="text1"/>
        </w:rPr>
        <w:t xml:space="preserve"> data collection methods be improved</w:t>
      </w:r>
      <w:r w:rsidR="006B2A46">
        <w:rPr>
          <w:color w:val="000000" w:themeColor="text1"/>
        </w:rPr>
        <w:t>;</w:t>
      </w:r>
    </w:p>
    <w:p w14:paraId="6F879CAF" w14:textId="32AF7D5C" w:rsidR="00214971" w:rsidRPr="00191ACB" w:rsidRDefault="00214971" w:rsidP="00E435F6">
      <w:pPr>
        <w:pStyle w:val="ListParagraph"/>
        <w:numPr>
          <w:ilvl w:val="1"/>
          <w:numId w:val="32"/>
        </w:numPr>
        <w:spacing w:before="240" w:after="240"/>
        <w:rPr>
          <w:b/>
          <w:color w:val="000000" w:themeColor="text1"/>
        </w:rPr>
      </w:pPr>
      <w:r w:rsidRPr="00191ACB">
        <w:rPr>
          <w:color w:val="000000" w:themeColor="text1"/>
        </w:rPr>
        <w:t>There is need to establish country-specific emission factors</w:t>
      </w:r>
      <w:r w:rsidR="006B2A46">
        <w:rPr>
          <w:color w:val="000000" w:themeColor="text1"/>
        </w:rPr>
        <w:t>;</w:t>
      </w:r>
    </w:p>
    <w:p w14:paraId="5C9D2B06" w14:textId="4F414357" w:rsidR="00214971" w:rsidRPr="00191ACB" w:rsidRDefault="00214971" w:rsidP="00E435F6">
      <w:pPr>
        <w:pStyle w:val="ListParagraph"/>
        <w:numPr>
          <w:ilvl w:val="1"/>
          <w:numId w:val="32"/>
        </w:numPr>
        <w:spacing w:before="240" w:after="240"/>
        <w:jc w:val="both"/>
        <w:rPr>
          <w:color w:val="000000" w:themeColor="text1"/>
        </w:rPr>
      </w:pPr>
      <w:r w:rsidRPr="00191ACB">
        <w:rPr>
          <w:color w:val="000000" w:themeColor="text1"/>
        </w:rPr>
        <w:t>There is a need to produce annual cropland maps, with fine resolution and crop type mapping, to monitor fires and cropland expansion</w:t>
      </w:r>
      <w:r w:rsidR="006B2A46">
        <w:rPr>
          <w:color w:val="000000" w:themeColor="text1"/>
        </w:rPr>
        <w:t>; and</w:t>
      </w:r>
    </w:p>
    <w:p w14:paraId="512D57E8" w14:textId="3108B7CB" w:rsidR="000D60FE" w:rsidRPr="00191ACB" w:rsidRDefault="000D60FE" w:rsidP="00E435F6">
      <w:pPr>
        <w:pStyle w:val="ListParagraph"/>
        <w:numPr>
          <w:ilvl w:val="1"/>
          <w:numId w:val="32"/>
        </w:numPr>
        <w:spacing w:before="240" w:after="240"/>
        <w:jc w:val="both"/>
        <w:rPr>
          <w:color w:val="000000" w:themeColor="text1"/>
        </w:rPr>
      </w:pPr>
      <w:r w:rsidRPr="00191ACB">
        <w:rPr>
          <w:color w:val="000000" w:themeColor="text1"/>
        </w:rPr>
        <w:t>There is a need to undertake research to develop country-specific emission factors and enhanced activity data, e.g. emission factors for livestock management systems, emissions from aggregate sources and non-CO2 emissions on land</w:t>
      </w:r>
      <w:r w:rsidR="006B2A46">
        <w:rPr>
          <w:color w:val="000000" w:themeColor="text1"/>
        </w:rPr>
        <w:t>.</w:t>
      </w:r>
    </w:p>
    <w:p w14:paraId="23095CDC" w14:textId="77777777" w:rsidR="009628F1" w:rsidRPr="00191ACB" w:rsidRDefault="009628F1" w:rsidP="009628F1">
      <w:pPr>
        <w:pStyle w:val="ListParagraph"/>
        <w:spacing w:before="240" w:after="240"/>
        <w:ind w:left="1305"/>
        <w:jc w:val="both"/>
        <w:rPr>
          <w:color w:val="000000" w:themeColor="text1"/>
        </w:rPr>
      </w:pPr>
    </w:p>
    <w:p w14:paraId="4CE42526" w14:textId="6C9B1DDE" w:rsidR="00214971" w:rsidRPr="009462B1" w:rsidRDefault="00214971" w:rsidP="009462B1">
      <w:pPr>
        <w:pStyle w:val="Heading2"/>
        <w:numPr>
          <w:ilvl w:val="1"/>
          <w:numId w:val="36"/>
        </w:numPr>
        <w:ind w:left="851" w:hanging="851"/>
        <w:rPr>
          <w:rFonts w:ascii="Times New Roman" w:hAnsi="Times New Roman" w:cs="Times New Roman"/>
          <w:b/>
          <w:bCs/>
          <w:color w:val="auto"/>
          <w:sz w:val="24"/>
          <w:szCs w:val="24"/>
        </w:rPr>
      </w:pPr>
      <w:bookmarkStart w:id="253" w:name="_Toc48427343"/>
      <w:bookmarkStart w:id="254" w:name="_Toc57902853"/>
      <w:r w:rsidRPr="009462B1">
        <w:rPr>
          <w:rFonts w:ascii="Times New Roman" w:hAnsi="Times New Roman" w:cs="Times New Roman"/>
          <w:b/>
          <w:bCs/>
          <w:color w:val="auto"/>
          <w:sz w:val="24"/>
          <w:szCs w:val="24"/>
        </w:rPr>
        <w:t>W</w:t>
      </w:r>
      <w:r w:rsidR="00022070" w:rsidRPr="009462B1">
        <w:rPr>
          <w:rFonts w:ascii="Times New Roman" w:hAnsi="Times New Roman" w:cs="Times New Roman"/>
          <w:b/>
          <w:bCs/>
          <w:color w:val="auto"/>
          <w:sz w:val="24"/>
          <w:szCs w:val="24"/>
        </w:rPr>
        <w:t>aste</w:t>
      </w:r>
      <w:bookmarkEnd w:id="253"/>
      <w:bookmarkEnd w:id="254"/>
    </w:p>
    <w:p w14:paraId="67720E8D" w14:textId="34DE220F" w:rsidR="00214971" w:rsidRPr="00191ACB" w:rsidRDefault="00214971" w:rsidP="00117ECD">
      <w:pPr>
        <w:pStyle w:val="Heading3"/>
        <w:numPr>
          <w:ilvl w:val="2"/>
          <w:numId w:val="36"/>
        </w:numPr>
        <w:ind w:left="851" w:hanging="884"/>
      </w:pPr>
      <w:bookmarkStart w:id="255" w:name="_Toc48427344"/>
      <w:bookmarkStart w:id="256" w:name="_Toc57902854"/>
      <w:r w:rsidRPr="00191ACB">
        <w:t>Overview</w:t>
      </w:r>
      <w:bookmarkEnd w:id="255"/>
      <w:bookmarkEnd w:id="256"/>
      <w:r w:rsidRPr="00191ACB">
        <w:t xml:space="preserve"> </w:t>
      </w:r>
    </w:p>
    <w:p w14:paraId="1DA518B5" w14:textId="00115DD1" w:rsidR="00214971" w:rsidRPr="00191ACB" w:rsidRDefault="00214971" w:rsidP="00F57665">
      <w:pPr>
        <w:spacing w:before="240"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 xml:space="preserve">The amount of waste generated increased steadily from an estimated 813,356 to 985,756 </w:t>
      </w:r>
      <w:r w:rsidR="009628F1" w:rsidRPr="00191ACB">
        <w:rPr>
          <w:rFonts w:ascii="Times New Roman" w:eastAsia="Garamond" w:hAnsi="Times New Roman" w:cs="Times New Roman"/>
          <w:color w:val="000000" w:themeColor="text1"/>
          <w:sz w:val="24"/>
          <w:szCs w:val="24"/>
        </w:rPr>
        <w:t>tonnes representing</w:t>
      </w:r>
      <w:r w:rsidRPr="00191ACB">
        <w:rPr>
          <w:rFonts w:ascii="Times New Roman" w:eastAsia="Garamond" w:hAnsi="Times New Roman" w:cs="Times New Roman"/>
          <w:color w:val="000000" w:themeColor="text1"/>
          <w:sz w:val="24"/>
          <w:szCs w:val="24"/>
        </w:rPr>
        <w:t xml:space="preserve"> a 21% increase, as a result of </w:t>
      </w:r>
      <w:r w:rsidR="000D60FE" w:rsidRPr="00191ACB">
        <w:rPr>
          <w:rFonts w:ascii="Times New Roman" w:eastAsia="Garamond" w:hAnsi="Times New Roman" w:cs="Times New Roman"/>
          <w:color w:val="000000" w:themeColor="text1"/>
          <w:sz w:val="24"/>
          <w:szCs w:val="24"/>
        </w:rPr>
        <w:t xml:space="preserve">urban </w:t>
      </w:r>
      <w:r w:rsidRPr="00191ACB">
        <w:rPr>
          <w:rFonts w:ascii="Times New Roman" w:eastAsia="Garamond" w:hAnsi="Times New Roman" w:cs="Times New Roman"/>
          <w:color w:val="000000" w:themeColor="text1"/>
          <w:sz w:val="24"/>
          <w:szCs w:val="24"/>
        </w:rPr>
        <w:t>population growt</w:t>
      </w:r>
      <w:r w:rsidR="000D60FE" w:rsidRPr="00191ACB">
        <w:rPr>
          <w:rFonts w:ascii="Times New Roman" w:eastAsia="Garamond" w:hAnsi="Times New Roman" w:cs="Times New Roman"/>
          <w:color w:val="000000" w:themeColor="text1"/>
          <w:sz w:val="24"/>
          <w:szCs w:val="24"/>
        </w:rPr>
        <w:t>h</w:t>
      </w:r>
      <w:r w:rsidRPr="00191ACB">
        <w:rPr>
          <w:rFonts w:ascii="Times New Roman" w:eastAsia="Garamond" w:hAnsi="Times New Roman" w:cs="Times New Roman"/>
          <w:color w:val="000000" w:themeColor="text1"/>
          <w:sz w:val="24"/>
          <w:szCs w:val="24"/>
        </w:rPr>
        <w:t>, from 5,570,928 to 6,751,777 between 2011 and 2016. It was estimated that waste collection to the designated waste disposal site accounted for only 14.6</w:t>
      </w:r>
      <w:r w:rsidR="00B778B6" w:rsidRPr="00191ACB">
        <w:rPr>
          <w:rFonts w:ascii="Times New Roman" w:eastAsia="Garamond" w:hAnsi="Times New Roman" w:cs="Times New Roman"/>
          <w:color w:val="000000" w:themeColor="text1"/>
          <w:sz w:val="24"/>
          <w:szCs w:val="24"/>
        </w:rPr>
        <w:t xml:space="preserve"> percent</w:t>
      </w:r>
      <w:r w:rsidRPr="00191ACB">
        <w:rPr>
          <w:rFonts w:ascii="Times New Roman" w:eastAsia="Garamond" w:hAnsi="Times New Roman" w:cs="Times New Roman"/>
          <w:color w:val="000000" w:themeColor="text1"/>
          <w:sz w:val="24"/>
          <w:szCs w:val="24"/>
        </w:rPr>
        <w:t>. However, the widely used disposal practices in the peri-urban and urban areas were pitting and dumping in undesignated places which accounted for 67.1</w:t>
      </w:r>
      <w:r w:rsidR="00B778B6" w:rsidRPr="00191ACB">
        <w:rPr>
          <w:rFonts w:ascii="Times New Roman" w:eastAsia="Garamond" w:hAnsi="Times New Roman" w:cs="Times New Roman"/>
          <w:color w:val="000000" w:themeColor="text1"/>
          <w:sz w:val="24"/>
          <w:szCs w:val="24"/>
        </w:rPr>
        <w:t xml:space="preserve"> percent</w:t>
      </w:r>
      <w:r w:rsidRPr="00191ACB">
        <w:rPr>
          <w:rFonts w:ascii="Times New Roman" w:eastAsia="Garamond" w:hAnsi="Times New Roman" w:cs="Times New Roman"/>
          <w:color w:val="000000" w:themeColor="text1"/>
          <w:sz w:val="24"/>
          <w:szCs w:val="24"/>
        </w:rPr>
        <w:t xml:space="preserve"> and 9.6</w:t>
      </w:r>
      <w:r w:rsidR="00B778B6" w:rsidRPr="00191ACB">
        <w:rPr>
          <w:rFonts w:ascii="Times New Roman" w:eastAsia="Garamond" w:hAnsi="Times New Roman" w:cs="Times New Roman"/>
          <w:color w:val="000000" w:themeColor="text1"/>
          <w:sz w:val="24"/>
          <w:szCs w:val="24"/>
        </w:rPr>
        <w:t xml:space="preserve"> percent</w:t>
      </w:r>
      <w:r w:rsidRPr="00191ACB">
        <w:rPr>
          <w:rFonts w:ascii="Times New Roman" w:eastAsia="Garamond" w:hAnsi="Times New Roman" w:cs="Times New Roman"/>
          <w:color w:val="000000" w:themeColor="text1"/>
          <w:sz w:val="24"/>
          <w:szCs w:val="24"/>
        </w:rPr>
        <w:t xml:space="preserve"> respectively. Dumping in designated places accounted for 8.9</w:t>
      </w:r>
      <w:r w:rsidR="00B778B6" w:rsidRPr="00191ACB">
        <w:rPr>
          <w:rFonts w:ascii="Times New Roman" w:eastAsia="Garamond" w:hAnsi="Times New Roman" w:cs="Times New Roman"/>
          <w:color w:val="000000" w:themeColor="text1"/>
          <w:sz w:val="24"/>
          <w:szCs w:val="24"/>
        </w:rPr>
        <w:t xml:space="preserve"> percent</w:t>
      </w:r>
      <w:r w:rsidRPr="00191ACB">
        <w:rPr>
          <w:rFonts w:ascii="Times New Roman" w:eastAsia="Garamond" w:hAnsi="Times New Roman" w:cs="Times New Roman"/>
          <w:color w:val="000000" w:themeColor="text1"/>
          <w:sz w:val="24"/>
          <w:szCs w:val="24"/>
        </w:rPr>
        <w:t xml:space="preserve"> while other methods stood at 0.1</w:t>
      </w:r>
      <w:r w:rsidR="00B778B6" w:rsidRPr="00191ACB">
        <w:rPr>
          <w:rFonts w:ascii="Times New Roman" w:eastAsia="Garamond" w:hAnsi="Times New Roman" w:cs="Times New Roman"/>
          <w:color w:val="000000" w:themeColor="text1"/>
          <w:sz w:val="24"/>
          <w:szCs w:val="24"/>
        </w:rPr>
        <w:t xml:space="preserve"> percent</w:t>
      </w:r>
      <w:r w:rsidRPr="00191ACB">
        <w:rPr>
          <w:rFonts w:ascii="Times New Roman" w:eastAsia="Garamond" w:hAnsi="Times New Roman" w:cs="Times New Roman"/>
          <w:color w:val="000000" w:themeColor="text1"/>
          <w:sz w:val="24"/>
          <w:szCs w:val="24"/>
        </w:rPr>
        <w:t xml:space="preserve"> (</w:t>
      </w:r>
      <w:r w:rsidR="000F44A6" w:rsidRPr="00191ACB">
        <w:rPr>
          <w:rFonts w:ascii="Times New Roman" w:eastAsia="Garamond" w:hAnsi="Times New Roman" w:cs="Times New Roman"/>
          <w:color w:val="000000" w:themeColor="text1"/>
          <w:sz w:val="24"/>
          <w:szCs w:val="24"/>
        </w:rPr>
        <w:t>ZAMSTATS</w:t>
      </w:r>
      <w:r w:rsidRPr="00191ACB">
        <w:rPr>
          <w:rFonts w:ascii="Times New Roman" w:eastAsia="Garamond" w:hAnsi="Times New Roman" w:cs="Times New Roman"/>
          <w:color w:val="000000" w:themeColor="text1"/>
          <w:sz w:val="24"/>
          <w:szCs w:val="24"/>
        </w:rPr>
        <w:t xml:space="preserve">, 2016). </w:t>
      </w:r>
    </w:p>
    <w:p w14:paraId="0C0A7C8D" w14:textId="19B3B7B6" w:rsidR="00214971" w:rsidRPr="00191ACB" w:rsidRDefault="00214971" w:rsidP="00F57665">
      <w:pPr>
        <w:spacing w:before="240"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 xml:space="preserve">Most Local Authorities </w:t>
      </w:r>
      <w:r w:rsidR="00B778B6" w:rsidRPr="00191ACB">
        <w:rPr>
          <w:rFonts w:ascii="Times New Roman" w:eastAsia="Garamond" w:hAnsi="Times New Roman" w:cs="Times New Roman"/>
          <w:color w:val="000000" w:themeColor="text1"/>
          <w:sz w:val="24"/>
          <w:szCs w:val="24"/>
        </w:rPr>
        <w:t>had</w:t>
      </w:r>
      <w:r w:rsidRPr="00191ACB">
        <w:rPr>
          <w:rFonts w:ascii="Times New Roman" w:eastAsia="Garamond" w:hAnsi="Times New Roman" w:cs="Times New Roman"/>
          <w:color w:val="000000" w:themeColor="text1"/>
          <w:sz w:val="24"/>
          <w:szCs w:val="24"/>
        </w:rPr>
        <w:t xml:space="preserve"> inadequate capacity to manage waste sustainably and create investment opportunities </w:t>
      </w:r>
      <w:r w:rsidR="00B778B6" w:rsidRPr="00191ACB">
        <w:rPr>
          <w:rFonts w:ascii="Times New Roman" w:eastAsia="Garamond" w:hAnsi="Times New Roman" w:cs="Times New Roman"/>
          <w:color w:val="000000" w:themeColor="text1"/>
          <w:sz w:val="24"/>
          <w:szCs w:val="24"/>
        </w:rPr>
        <w:t>for</w:t>
      </w:r>
      <w:r w:rsidRPr="00191ACB">
        <w:rPr>
          <w:rFonts w:ascii="Times New Roman" w:eastAsia="Garamond" w:hAnsi="Times New Roman" w:cs="Times New Roman"/>
          <w:color w:val="000000" w:themeColor="text1"/>
          <w:sz w:val="24"/>
          <w:szCs w:val="24"/>
        </w:rPr>
        <w:t xml:space="preserve"> private sector involvement. </w:t>
      </w:r>
    </w:p>
    <w:p w14:paraId="0958E905" w14:textId="1911FC90" w:rsidR="00214971" w:rsidRPr="00191ACB" w:rsidRDefault="00214971" w:rsidP="00F57665">
      <w:pPr>
        <w:spacing w:before="240"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Wastewater is generated by both domestic and industrial activities.  In some cases, waste water is collected at household and co</w:t>
      </w:r>
      <w:r w:rsidR="00A35FFD" w:rsidRPr="00191ACB">
        <w:rPr>
          <w:rFonts w:ascii="Times New Roman" w:eastAsia="Garamond" w:hAnsi="Times New Roman" w:cs="Times New Roman"/>
          <w:color w:val="000000" w:themeColor="text1"/>
          <w:sz w:val="24"/>
          <w:szCs w:val="24"/>
        </w:rPr>
        <w:t>mmercial</w:t>
      </w:r>
      <w:r w:rsidRPr="00191ACB">
        <w:rPr>
          <w:rFonts w:ascii="Times New Roman" w:eastAsia="Garamond" w:hAnsi="Times New Roman" w:cs="Times New Roman"/>
          <w:color w:val="000000" w:themeColor="text1"/>
          <w:sz w:val="24"/>
          <w:szCs w:val="24"/>
        </w:rPr>
        <w:t xml:space="preserve"> sites and discharged into the municipal sewage system. However, the transportation of both domestic and industrial wastewater is combined into one network system (MLGH, 2011). </w:t>
      </w:r>
      <w:r w:rsidR="00A35FFD" w:rsidRPr="00191ACB">
        <w:rPr>
          <w:rFonts w:ascii="Times New Roman" w:eastAsia="Garamond" w:hAnsi="Times New Roman" w:cs="Times New Roman"/>
          <w:color w:val="000000" w:themeColor="text1"/>
          <w:sz w:val="24"/>
          <w:szCs w:val="24"/>
        </w:rPr>
        <w:t xml:space="preserve"> During the reporting period, t</w:t>
      </w:r>
      <w:r w:rsidRPr="00191ACB">
        <w:rPr>
          <w:rFonts w:ascii="Times New Roman" w:eastAsia="Garamond" w:hAnsi="Times New Roman" w:cs="Times New Roman"/>
          <w:color w:val="000000" w:themeColor="text1"/>
          <w:sz w:val="24"/>
          <w:szCs w:val="24"/>
        </w:rPr>
        <w:t xml:space="preserve">here were a total of 11 water Commercial Utilities (CUs) operating in Zambia, </w:t>
      </w:r>
      <w:r w:rsidR="00A35FFD" w:rsidRPr="00191ACB">
        <w:rPr>
          <w:rFonts w:ascii="Times New Roman" w:eastAsia="Garamond" w:hAnsi="Times New Roman" w:cs="Times New Roman"/>
          <w:color w:val="000000" w:themeColor="text1"/>
          <w:sz w:val="24"/>
          <w:szCs w:val="24"/>
        </w:rPr>
        <w:t>serving as the</w:t>
      </w:r>
      <w:r w:rsidRPr="00191ACB">
        <w:rPr>
          <w:rFonts w:ascii="Times New Roman" w:eastAsia="Garamond" w:hAnsi="Times New Roman" w:cs="Times New Roman"/>
          <w:color w:val="000000" w:themeColor="text1"/>
          <w:sz w:val="24"/>
          <w:szCs w:val="24"/>
        </w:rPr>
        <w:t xml:space="preserve"> main providers of wastewater treatment services in urban and peri-urban areas. </w:t>
      </w:r>
    </w:p>
    <w:p w14:paraId="32F024B9" w14:textId="3A857B56" w:rsidR="00214971" w:rsidRPr="00191ACB" w:rsidRDefault="00214971" w:rsidP="00F57665">
      <w:pPr>
        <w:spacing w:before="240" w:after="120" w:line="276" w:lineRule="auto"/>
        <w:jc w:val="both"/>
        <w:rPr>
          <w:rFonts w:ascii="Times New Roman" w:eastAsia="Garamond" w:hAnsi="Times New Roman" w:cs="Times New Roman"/>
          <w:color w:val="000000" w:themeColor="text1"/>
          <w:sz w:val="24"/>
          <w:szCs w:val="24"/>
        </w:rPr>
      </w:pPr>
      <w:r w:rsidRPr="00191ACB">
        <w:rPr>
          <w:rFonts w:ascii="Times New Roman" w:eastAsia="Garamond" w:hAnsi="Times New Roman" w:cs="Times New Roman"/>
          <w:color w:val="000000" w:themeColor="text1"/>
          <w:sz w:val="24"/>
          <w:szCs w:val="24"/>
        </w:rPr>
        <w:t xml:space="preserve">Most of the infrastructure </w:t>
      </w:r>
      <w:r w:rsidR="00A35FFD" w:rsidRPr="00191ACB">
        <w:rPr>
          <w:rFonts w:ascii="Times New Roman" w:eastAsia="Garamond" w:hAnsi="Times New Roman" w:cs="Times New Roman"/>
          <w:color w:val="000000" w:themeColor="text1"/>
          <w:sz w:val="24"/>
          <w:szCs w:val="24"/>
        </w:rPr>
        <w:t>wa</w:t>
      </w:r>
      <w:r w:rsidRPr="00191ACB">
        <w:rPr>
          <w:rFonts w:ascii="Times New Roman" w:eastAsia="Garamond" w:hAnsi="Times New Roman" w:cs="Times New Roman"/>
          <w:color w:val="000000" w:themeColor="text1"/>
          <w:sz w:val="24"/>
          <w:szCs w:val="24"/>
        </w:rPr>
        <w:t>s inadequately maintained, thereby rendering it in</w:t>
      </w:r>
      <w:r w:rsidR="00A35FFD" w:rsidRPr="00191ACB">
        <w:rPr>
          <w:rFonts w:ascii="Times New Roman" w:eastAsia="Garamond" w:hAnsi="Times New Roman" w:cs="Times New Roman"/>
          <w:color w:val="000000" w:themeColor="text1"/>
          <w:sz w:val="24"/>
          <w:szCs w:val="24"/>
        </w:rPr>
        <w:t>e</w:t>
      </w:r>
      <w:r w:rsidRPr="00191ACB">
        <w:rPr>
          <w:rFonts w:ascii="Times New Roman" w:eastAsia="Garamond" w:hAnsi="Times New Roman" w:cs="Times New Roman"/>
          <w:color w:val="000000" w:themeColor="text1"/>
          <w:sz w:val="24"/>
          <w:szCs w:val="24"/>
        </w:rPr>
        <w:t>fficient to support sanitation services. In addition, where such facilities exist</w:t>
      </w:r>
      <w:r w:rsidR="00A35FFD" w:rsidRPr="00191ACB">
        <w:rPr>
          <w:rFonts w:ascii="Times New Roman" w:eastAsia="Garamond" w:hAnsi="Times New Roman" w:cs="Times New Roman"/>
          <w:color w:val="000000" w:themeColor="text1"/>
          <w:sz w:val="24"/>
          <w:szCs w:val="24"/>
        </w:rPr>
        <w:t>ed</w:t>
      </w:r>
      <w:r w:rsidRPr="00191ACB">
        <w:rPr>
          <w:rFonts w:ascii="Times New Roman" w:eastAsia="Garamond" w:hAnsi="Times New Roman" w:cs="Times New Roman"/>
          <w:color w:val="000000" w:themeColor="text1"/>
          <w:sz w:val="24"/>
          <w:szCs w:val="24"/>
        </w:rPr>
        <w:t xml:space="preserve">, critical components such as bulk meters at inlet and outlet points </w:t>
      </w:r>
      <w:r w:rsidR="00A35FFD" w:rsidRPr="00191ACB">
        <w:rPr>
          <w:rFonts w:ascii="Times New Roman" w:eastAsia="Garamond" w:hAnsi="Times New Roman" w:cs="Times New Roman"/>
          <w:color w:val="000000" w:themeColor="text1"/>
          <w:sz w:val="24"/>
          <w:szCs w:val="24"/>
        </w:rPr>
        <w:t>we</w:t>
      </w:r>
      <w:r w:rsidRPr="00191ACB">
        <w:rPr>
          <w:rFonts w:ascii="Times New Roman" w:eastAsia="Garamond" w:hAnsi="Times New Roman" w:cs="Times New Roman"/>
          <w:color w:val="000000" w:themeColor="text1"/>
          <w:sz w:val="24"/>
          <w:szCs w:val="24"/>
        </w:rPr>
        <w:t xml:space="preserve">re not in </w:t>
      </w:r>
      <w:r w:rsidR="00A35FFD" w:rsidRPr="00191ACB">
        <w:rPr>
          <w:rFonts w:ascii="Times New Roman" w:eastAsia="Garamond" w:hAnsi="Times New Roman" w:cs="Times New Roman"/>
          <w:color w:val="000000" w:themeColor="text1"/>
          <w:sz w:val="24"/>
          <w:szCs w:val="24"/>
        </w:rPr>
        <w:t>good working</w:t>
      </w:r>
      <w:r w:rsidRPr="00191ACB">
        <w:rPr>
          <w:rFonts w:ascii="Times New Roman" w:eastAsia="Garamond" w:hAnsi="Times New Roman" w:cs="Times New Roman"/>
          <w:color w:val="000000" w:themeColor="text1"/>
          <w:sz w:val="24"/>
          <w:szCs w:val="24"/>
        </w:rPr>
        <w:t xml:space="preserve"> condition. </w:t>
      </w:r>
      <w:r w:rsidR="00A35FFD" w:rsidRPr="00191ACB">
        <w:rPr>
          <w:rFonts w:ascii="Times New Roman" w:eastAsia="Garamond" w:hAnsi="Times New Roman" w:cs="Times New Roman"/>
          <w:color w:val="000000" w:themeColor="text1"/>
          <w:sz w:val="24"/>
          <w:szCs w:val="24"/>
        </w:rPr>
        <w:t>E</w:t>
      </w:r>
      <w:r w:rsidRPr="00191ACB">
        <w:rPr>
          <w:rFonts w:ascii="Times New Roman" w:eastAsia="Garamond" w:hAnsi="Times New Roman" w:cs="Times New Roman"/>
          <w:color w:val="000000" w:themeColor="text1"/>
          <w:sz w:val="24"/>
          <w:szCs w:val="24"/>
        </w:rPr>
        <w:t xml:space="preserve">ncroachment on wastewater treatment facilities due to rapid population growth </w:t>
      </w:r>
      <w:r w:rsidR="00A35FFD" w:rsidRPr="00191ACB">
        <w:rPr>
          <w:rFonts w:ascii="Times New Roman" w:eastAsia="Garamond" w:hAnsi="Times New Roman" w:cs="Times New Roman"/>
          <w:color w:val="000000" w:themeColor="text1"/>
          <w:sz w:val="24"/>
          <w:szCs w:val="24"/>
        </w:rPr>
        <w:t>contributed</w:t>
      </w:r>
      <w:r w:rsidRPr="00191ACB">
        <w:rPr>
          <w:rFonts w:ascii="Times New Roman" w:eastAsia="Garamond" w:hAnsi="Times New Roman" w:cs="Times New Roman"/>
          <w:color w:val="000000" w:themeColor="text1"/>
          <w:sz w:val="24"/>
          <w:szCs w:val="24"/>
        </w:rPr>
        <w:t xml:space="preserve"> to the challenges </w:t>
      </w:r>
      <w:r w:rsidR="00A35FFD" w:rsidRPr="00191ACB">
        <w:rPr>
          <w:rFonts w:ascii="Times New Roman" w:eastAsia="Garamond" w:hAnsi="Times New Roman" w:cs="Times New Roman"/>
          <w:color w:val="000000" w:themeColor="text1"/>
          <w:sz w:val="24"/>
          <w:szCs w:val="24"/>
        </w:rPr>
        <w:t>affecting</w:t>
      </w:r>
      <w:r w:rsidRPr="00191ACB">
        <w:rPr>
          <w:rFonts w:ascii="Times New Roman" w:eastAsia="Garamond" w:hAnsi="Times New Roman" w:cs="Times New Roman"/>
          <w:color w:val="000000" w:themeColor="text1"/>
          <w:sz w:val="24"/>
          <w:szCs w:val="24"/>
        </w:rPr>
        <w:t xml:space="preserve"> the wastewater sub-sector. </w:t>
      </w:r>
    </w:p>
    <w:p w14:paraId="41BD9577" w14:textId="0E3CE562" w:rsidR="00214971" w:rsidRPr="00117ECD" w:rsidRDefault="00214971" w:rsidP="00117ECD">
      <w:pPr>
        <w:pStyle w:val="Heading3"/>
        <w:numPr>
          <w:ilvl w:val="2"/>
          <w:numId w:val="36"/>
        </w:numPr>
        <w:ind w:left="851" w:hanging="884"/>
      </w:pPr>
      <w:bookmarkStart w:id="257" w:name="_Toc48427345"/>
      <w:bookmarkStart w:id="258" w:name="_Toc57902855"/>
      <w:r w:rsidRPr="00117ECD">
        <w:t xml:space="preserve">Overall </w:t>
      </w:r>
      <w:r w:rsidR="009628F1" w:rsidRPr="00117ECD">
        <w:t>Sector Emissions</w:t>
      </w:r>
      <w:bookmarkEnd w:id="257"/>
      <w:bookmarkEnd w:id="258"/>
    </w:p>
    <w:p w14:paraId="211BDB63" w14:textId="67332318"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GHG emissions from the Waste sector were calculated from solid waste disposal, incineration and open burning of waste and wastewater treatment and discharge. Methane emissions from Solid Waste Disposal Site</w:t>
      </w:r>
      <w:r w:rsidR="00C12274" w:rsidRPr="00191ACB">
        <w:rPr>
          <w:rFonts w:ascii="Times New Roman" w:hAnsi="Times New Roman" w:cs="Times New Roman"/>
          <w:color w:val="000000" w:themeColor="text1"/>
          <w:sz w:val="24"/>
          <w:szCs w:val="24"/>
        </w:rPr>
        <w:t>s</w:t>
      </w:r>
      <w:r w:rsidRPr="00191ACB">
        <w:rPr>
          <w:rFonts w:ascii="Times New Roman" w:hAnsi="Times New Roman" w:cs="Times New Roman"/>
          <w:color w:val="000000" w:themeColor="text1"/>
          <w:sz w:val="24"/>
          <w:szCs w:val="24"/>
        </w:rPr>
        <w:t xml:space="preserve"> (SWDS) </w:t>
      </w:r>
      <w:r w:rsidR="00C12274" w:rsidRPr="00191ACB">
        <w:rPr>
          <w:rFonts w:ascii="Times New Roman" w:hAnsi="Times New Roman" w:cs="Times New Roman"/>
          <w:color w:val="000000" w:themeColor="text1"/>
          <w:sz w:val="24"/>
          <w:szCs w:val="24"/>
        </w:rPr>
        <w:t>we</w:t>
      </w:r>
      <w:r w:rsidRPr="00191ACB">
        <w:rPr>
          <w:rFonts w:ascii="Times New Roman" w:hAnsi="Times New Roman" w:cs="Times New Roman"/>
          <w:color w:val="000000" w:themeColor="text1"/>
          <w:sz w:val="24"/>
          <w:szCs w:val="24"/>
        </w:rPr>
        <w:t xml:space="preserve">re the largest source of GHG emissions in the Waste Sector. Methane was also emitted from wastewater treatment and discharge. Carbon Dioxide and Nitrous Oxide produced during incineration and open burning of waste containing fossil carbon (e.g., plastics) </w:t>
      </w:r>
      <w:r w:rsidR="00C12274" w:rsidRPr="00191ACB">
        <w:rPr>
          <w:rFonts w:ascii="Times New Roman" w:hAnsi="Times New Roman" w:cs="Times New Roman"/>
          <w:color w:val="000000" w:themeColor="text1"/>
          <w:sz w:val="24"/>
          <w:szCs w:val="24"/>
        </w:rPr>
        <w:t>we</w:t>
      </w:r>
      <w:r w:rsidRPr="00191ACB">
        <w:rPr>
          <w:rFonts w:ascii="Times New Roman" w:hAnsi="Times New Roman" w:cs="Times New Roman"/>
          <w:color w:val="000000" w:themeColor="text1"/>
          <w:sz w:val="24"/>
          <w:szCs w:val="24"/>
        </w:rPr>
        <w:t xml:space="preserve">re the primary sources of emissions in the Waste Sector. Emissions from Biological treatment of solid waste were not calculated </w:t>
      </w:r>
      <w:r w:rsidR="006D7F34" w:rsidRPr="00191ACB">
        <w:rPr>
          <w:rFonts w:ascii="Times New Roman" w:hAnsi="Times New Roman" w:cs="Times New Roman"/>
          <w:color w:val="000000" w:themeColor="text1"/>
          <w:sz w:val="24"/>
          <w:szCs w:val="24"/>
        </w:rPr>
        <w:t>because it did not occur in Zambia during the reporting period</w:t>
      </w:r>
      <w:r w:rsidRPr="00191ACB">
        <w:rPr>
          <w:rFonts w:ascii="Times New Roman" w:hAnsi="Times New Roman" w:cs="Times New Roman"/>
          <w:color w:val="000000" w:themeColor="text1"/>
          <w:sz w:val="24"/>
          <w:szCs w:val="24"/>
        </w:rPr>
        <w:t xml:space="preserve">. </w:t>
      </w:r>
      <w:r w:rsidR="00C12274" w:rsidRPr="00191ACB">
        <w:rPr>
          <w:rFonts w:ascii="Times New Roman" w:hAnsi="Times New Roman" w:cs="Times New Roman"/>
          <w:color w:val="000000" w:themeColor="text1"/>
          <w:sz w:val="24"/>
          <w:szCs w:val="24"/>
        </w:rPr>
        <w:t>E</w:t>
      </w:r>
      <w:r w:rsidRPr="00191ACB">
        <w:rPr>
          <w:rFonts w:ascii="Times New Roman" w:hAnsi="Times New Roman" w:cs="Times New Roman"/>
          <w:color w:val="000000" w:themeColor="text1"/>
          <w:sz w:val="24"/>
          <w:szCs w:val="24"/>
        </w:rPr>
        <w:t xml:space="preserve">missions in the Waste </w:t>
      </w:r>
      <w:r w:rsidRPr="00191ACB">
        <w:rPr>
          <w:rFonts w:ascii="Times New Roman" w:hAnsi="Times New Roman" w:cs="Times New Roman"/>
          <w:color w:val="000000" w:themeColor="text1"/>
          <w:sz w:val="24"/>
          <w:szCs w:val="24"/>
        </w:rPr>
        <w:lastRenderedPageBreak/>
        <w:t xml:space="preserve">sector </w:t>
      </w:r>
      <w:r w:rsidR="00C12274" w:rsidRPr="00191ACB">
        <w:rPr>
          <w:rFonts w:ascii="Times New Roman" w:hAnsi="Times New Roman" w:cs="Times New Roman"/>
          <w:color w:val="000000" w:themeColor="text1"/>
          <w:sz w:val="24"/>
          <w:szCs w:val="24"/>
        </w:rPr>
        <w:t>rose from 204.5 Gg CO</w:t>
      </w:r>
      <w:r w:rsidR="00C12274" w:rsidRPr="00191ACB">
        <w:rPr>
          <w:rFonts w:ascii="Times New Roman" w:hAnsi="Times New Roman" w:cs="Times New Roman"/>
          <w:color w:val="000000" w:themeColor="text1"/>
          <w:sz w:val="24"/>
          <w:szCs w:val="24"/>
          <w:vertAlign w:val="subscript"/>
        </w:rPr>
        <w:t>2eq.</w:t>
      </w:r>
      <w:r w:rsidR="00C12274" w:rsidRPr="00191ACB">
        <w:rPr>
          <w:rFonts w:ascii="Times New Roman" w:hAnsi="Times New Roman" w:cs="Times New Roman"/>
          <w:color w:val="000000" w:themeColor="text1"/>
          <w:sz w:val="24"/>
          <w:szCs w:val="24"/>
        </w:rPr>
        <w:t xml:space="preserve">  in 1994 base year to 335.84 Gg CO</w:t>
      </w:r>
      <w:r w:rsidR="00C12274" w:rsidRPr="00191ACB">
        <w:rPr>
          <w:rFonts w:ascii="Times New Roman" w:hAnsi="Times New Roman" w:cs="Times New Roman"/>
          <w:color w:val="000000" w:themeColor="text1"/>
          <w:sz w:val="24"/>
          <w:szCs w:val="24"/>
          <w:vertAlign w:val="subscript"/>
        </w:rPr>
        <w:t xml:space="preserve">2eq. </w:t>
      </w:r>
      <w:r w:rsidR="00C12274" w:rsidRPr="00191ACB">
        <w:rPr>
          <w:rFonts w:ascii="Times New Roman" w:hAnsi="Times New Roman" w:cs="Times New Roman"/>
          <w:color w:val="000000" w:themeColor="text1"/>
          <w:sz w:val="24"/>
          <w:szCs w:val="24"/>
        </w:rPr>
        <w:t>in 2016, representing</w:t>
      </w:r>
      <w:r w:rsidRPr="00191ACB">
        <w:rPr>
          <w:rFonts w:ascii="Times New Roman" w:hAnsi="Times New Roman" w:cs="Times New Roman"/>
          <w:color w:val="000000" w:themeColor="text1"/>
          <w:sz w:val="24"/>
          <w:szCs w:val="24"/>
        </w:rPr>
        <w:t xml:space="preserve"> </w:t>
      </w:r>
      <w:r w:rsidR="00C12274" w:rsidRPr="00191ACB">
        <w:rPr>
          <w:rFonts w:ascii="Times New Roman" w:hAnsi="Times New Roman" w:cs="Times New Roman"/>
          <w:color w:val="000000" w:themeColor="text1"/>
          <w:sz w:val="24"/>
          <w:szCs w:val="24"/>
        </w:rPr>
        <w:t xml:space="preserve">a </w:t>
      </w:r>
      <w:r w:rsidRPr="00191ACB">
        <w:rPr>
          <w:rFonts w:ascii="Times New Roman" w:hAnsi="Times New Roman" w:cs="Times New Roman"/>
          <w:color w:val="000000" w:themeColor="text1"/>
          <w:sz w:val="24"/>
          <w:szCs w:val="24"/>
        </w:rPr>
        <w:t>49.6</w:t>
      </w:r>
      <w:r w:rsidR="00C12274" w:rsidRPr="00191ACB">
        <w:rPr>
          <w:rFonts w:ascii="Times New Roman" w:hAnsi="Times New Roman" w:cs="Times New Roman"/>
          <w:color w:val="000000" w:themeColor="text1"/>
          <w:sz w:val="24"/>
          <w:szCs w:val="24"/>
        </w:rPr>
        <w:t xml:space="preserve"> percent increase </w:t>
      </w:r>
      <w:r w:rsidRPr="00191ACB">
        <w:rPr>
          <w:rFonts w:ascii="Times New Roman" w:hAnsi="Times New Roman" w:cs="Times New Roman"/>
          <w:color w:val="000000" w:themeColor="text1"/>
          <w:sz w:val="24"/>
          <w:szCs w:val="24"/>
        </w:rPr>
        <w:t xml:space="preserve">as presented in Figure </w:t>
      </w:r>
      <w:r w:rsidR="009628F1" w:rsidRPr="00191ACB">
        <w:rPr>
          <w:rFonts w:ascii="Times New Roman" w:hAnsi="Times New Roman" w:cs="Times New Roman"/>
          <w:color w:val="000000" w:themeColor="text1"/>
          <w:sz w:val="24"/>
          <w:szCs w:val="24"/>
        </w:rPr>
        <w:t>3.39</w:t>
      </w:r>
      <w:r w:rsidRPr="00191ACB">
        <w:rPr>
          <w:rFonts w:ascii="Times New Roman" w:hAnsi="Times New Roman" w:cs="Times New Roman"/>
          <w:color w:val="000000" w:themeColor="text1"/>
          <w:sz w:val="24"/>
          <w:szCs w:val="24"/>
        </w:rPr>
        <w:t>.</w:t>
      </w:r>
    </w:p>
    <w:p w14:paraId="003EAA80" w14:textId="77777777" w:rsidR="00214971" w:rsidRPr="00191ACB" w:rsidRDefault="00214971" w:rsidP="00214971">
      <w:pPr>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6C29496B" wp14:editId="0D18547A">
            <wp:extent cx="5615940" cy="2887980"/>
            <wp:effectExtent l="0" t="0" r="3810" b="7620"/>
            <wp:docPr id="102" name="Chart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7F1FAA91" w14:textId="33EA8D6F" w:rsidR="00214971" w:rsidRPr="00191ACB" w:rsidRDefault="009628F1" w:rsidP="009628F1">
      <w:pPr>
        <w:pStyle w:val="Caption"/>
        <w:rPr>
          <w:i w:val="0"/>
          <w:color w:val="000000" w:themeColor="text1"/>
          <w:sz w:val="24"/>
          <w:szCs w:val="24"/>
        </w:rPr>
      </w:pPr>
      <w:bookmarkStart w:id="259" w:name="_Toc56583884"/>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39</w:t>
      </w:r>
      <w:r w:rsidR="009D481C">
        <w:rPr>
          <w:sz w:val="24"/>
          <w:szCs w:val="24"/>
        </w:rPr>
        <w:fldChar w:fldCharType="end"/>
      </w:r>
      <w:r w:rsidRPr="00191ACB">
        <w:rPr>
          <w:sz w:val="24"/>
          <w:szCs w:val="24"/>
        </w:rPr>
        <w:t>:GHG Emissions Trends in the Waste Sector</w:t>
      </w:r>
      <w:bookmarkEnd w:id="259"/>
    </w:p>
    <w:p w14:paraId="7CDF741C" w14:textId="4C6B1004"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2016, emissions from Solid Waste Disposal accounted for 27.6</w:t>
      </w:r>
      <w:r w:rsidR="00047BDE"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of emissions, Waste Water Treatment and Discharge was 71.5</w:t>
      </w:r>
      <w:r w:rsidR="00047BDE"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and Incineration and Open Burning of Waste at 0.82</w:t>
      </w:r>
      <w:r w:rsidR="00047BDE"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By gas,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xml:space="preserve"> accounted for 72</w:t>
      </w:r>
      <w:r w:rsidR="00047BDE"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followed by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at 22</w:t>
      </w:r>
      <w:r w:rsidR="00047BDE"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the least was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at 6</w:t>
      </w:r>
      <w:r w:rsidR="00047BDE"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as illustrated in Figure </w:t>
      </w:r>
      <w:r w:rsidR="009628F1" w:rsidRPr="00191ACB">
        <w:rPr>
          <w:rFonts w:ascii="Times New Roman" w:hAnsi="Times New Roman" w:cs="Times New Roman"/>
          <w:color w:val="000000" w:themeColor="text1"/>
          <w:sz w:val="24"/>
          <w:szCs w:val="24"/>
        </w:rPr>
        <w:t>3.40</w:t>
      </w:r>
      <w:r w:rsidRPr="00191ACB">
        <w:rPr>
          <w:rFonts w:ascii="Times New Roman" w:hAnsi="Times New Roman" w:cs="Times New Roman"/>
          <w:color w:val="000000" w:themeColor="text1"/>
          <w:sz w:val="24"/>
          <w:szCs w:val="24"/>
        </w:rPr>
        <w:t>.</w:t>
      </w:r>
    </w:p>
    <w:p w14:paraId="425237C1" w14:textId="6731B9D5" w:rsidR="009628F1" w:rsidRPr="00191ACB" w:rsidRDefault="009628F1" w:rsidP="005E626A">
      <w:pPr>
        <w:spacing w:after="120" w:line="240" w:lineRule="auto"/>
        <w:jc w:val="both"/>
        <w:rPr>
          <w:rFonts w:ascii="Times New Roman" w:hAnsi="Times New Roman" w:cs="Times New Roman"/>
          <w:color w:val="000000" w:themeColor="text1"/>
          <w:sz w:val="24"/>
          <w:szCs w:val="24"/>
        </w:rPr>
      </w:pPr>
    </w:p>
    <w:p w14:paraId="79B30E98" w14:textId="77777777" w:rsidR="009628F1" w:rsidRPr="00191ACB" w:rsidRDefault="009628F1" w:rsidP="005E626A">
      <w:pPr>
        <w:spacing w:after="120" w:line="240" w:lineRule="auto"/>
        <w:jc w:val="both"/>
        <w:rPr>
          <w:rFonts w:ascii="Times New Roman" w:hAnsi="Times New Roman" w:cs="Times New Roman"/>
          <w:color w:val="000000" w:themeColor="text1"/>
          <w:sz w:val="24"/>
          <w:szCs w:val="24"/>
        </w:rPr>
      </w:pPr>
    </w:p>
    <w:p w14:paraId="237652EE" w14:textId="77777777" w:rsidR="00214971" w:rsidRPr="00191ACB" w:rsidRDefault="00214971" w:rsidP="00214971">
      <w:pPr>
        <w:pStyle w:val="NoSpacing"/>
        <w:rPr>
          <w:rFonts w:ascii="Times New Roman" w:hAnsi="Times New Roman" w:cs="Times New Roman"/>
          <w:color w:val="000000" w:themeColor="text1"/>
          <w:sz w:val="24"/>
          <w:szCs w:val="24"/>
        </w:rPr>
      </w:pPr>
      <w:bookmarkStart w:id="260" w:name="_Toc15311636"/>
      <w:r w:rsidRPr="00191ACB">
        <w:rPr>
          <w:rFonts w:ascii="Times New Roman" w:hAnsi="Times New Roman" w:cs="Times New Roman"/>
          <w:noProof/>
          <w:color w:val="000000" w:themeColor="text1"/>
          <w:sz w:val="24"/>
          <w:szCs w:val="24"/>
          <w:lang w:val="en-GB" w:eastAsia="en-GB"/>
        </w:rPr>
        <w:drawing>
          <wp:inline distT="0" distB="0" distL="0" distR="0" wp14:anchorId="1E75AC5D" wp14:editId="2362319F">
            <wp:extent cx="3025140" cy="1973580"/>
            <wp:effectExtent l="0" t="0" r="3810" b="7620"/>
            <wp:docPr id="103" name="Chart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0C7F1727" w14:textId="49FB1BB7" w:rsidR="00214971" w:rsidRPr="00191ACB" w:rsidRDefault="009628F1" w:rsidP="009628F1">
      <w:pPr>
        <w:pStyle w:val="Caption"/>
        <w:rPr>
          <w:color w:val="000000" w:themeColor="text1"/>
          <w:sz w:val="24"/>
          <w:szCs w:val="24"/>
        </w:rPr>
      </w:pPr>
      <w:bookmarkStart w:id="261" w:name="_Toc56583885"/>
      <w:bookmarkEnd w:id="260"/>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40</w:t>
      </w:r>
      <w:r w:rsidR="009D481C">
        <w:rPr>
          <w:sz w:val="24"/>
          <w:szCs w:val="24"/>
        </w:rPr>
        <w:fldChar w:fldCharType="end"/>
      </w:r>
      <w:r w:rsidRPr="00191ACB">
        <w:rPr>
          <w:sz w:val="24"/>
          <w:szCs w:val="24"/>
        </w:rPr>
        <w:t>:GHG Emissions by Percentage in the Waste Sector for 2016</w:t>
      </w:r>
      <w:bookmarkEnd w:id="261"/>
    </w:p>
    <w:p w14:paraId="7F17104C" w14:textId="591282FE" w:rsidR="00214971" w:rsidRPr="00191ACB" w:rsidRDefault="00047BDE"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P</w:t>
      </w:r>
      <w:r w:rsidR="00214971" w:rsidRPr="00191ACB">
        <w:rPr>
          <w:rFonts w:ascii="Times New Roman" w:hAnsi="Times New Roman" w:cs="Times New Roman"/>
          <w:color w:val="000000" w:themeColor="text1"/>
          <w:sz w:val="24"/>
          <w:szCs w:val="24"/>
        </w:rPr>
        <w:t>recursor gas emissions f</w:t>
      </w:r>
      <w:r w:rsidRPr="00191ACB">
        <w:rPr>
          <w:rFonts w:ascii="Times New Roman" w:hAnsi="Times New Roman" w:cs="Times New Roman"/>
          <w:color w:val="000000" w:themeColor="text1"/>
          <w:sz w:val="24"/>
          <w:szCs w:val="24"/>
        </w:rPr>
        <w:t>rom</w:t>
      </w:r>
      <w:r w:rsidR="00214971"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D</w:t>
      </w:r>
      <w:r w:rsidR="00214971" w:rsidRPr="00191ACB">
        <w:rPr>
          <w:rFonts w:ascii="Times New Roman" w:hAnsi="Times New Roman" w:cs="Times New Roman"/>
          <w:color w:val="000000" w:themeColor="text1"/>
          <w:sz w:val="24"/>
          <w:szCs w:val="24"/>
        </w:rPr>
        <w:t>omestic waste water treatment and discharge</w:t>
      </w:r>
      <w:r w:rsidRPr="00191ACB">
        <w:rPr>
          <w:rFonts w:ascii="Times New Roman" w:hAnsi="Times New Roman" w:cs="Times New Roman"/>
          <w:color w:val="000000" w:themeColor="text1"/>
          <w:sz w:val="24"/>
          <w:szCs w:val="24"/>
        </w:rPr>
        <w:t xml:space="preserve"> was estimated</w:t>
      </w:r>
      <w:r w:rsidR="008E71BF" w:rsidRPr="00191ACB">
        <w:rPr>
          <w:rFonts w:ascii="Times New Roman" w:hAnsi="Times New Roman" w:cs="Times New Roman"/>
          <w:color w:val="000000" w:themeColor="text1"/>
          <w:sz w:val="24"/>
          <w:szCs w:val="24"/>
        </w:rPr>
        <w:t xml:space="preserve"> (Table</w:t>
      </w:r>
      <w:r w:rsidR="009628F1" w:rsidRPr="00191ACB">
        <w:rPr>
          <w:rFonts w:ascii="Times New Roman" w:hAnsi="Times New Roman" w:cs="Times New Roman"/>
          <w:color w:val="000000" w:themeColor="text1"/>
          <w:sz w:val="24"/>
          <w:szCs w:val="24"/>
        </w:rPr>
        <w:t>3.15</w:t>
      </w:r>
      <w:r w:rsidR="008E71BF" w:rsidRPr="00191ACB">
        <w:rPr>
          <w:rFonts w:ascii="Times New Roman" w:hAnsi="Times New Roman" w:cs="Times New Roman"/>
          <w:color w:val="000000" w:themeColor="text1"/>
          <w:sz w:val="24"/>
          <w:szCs w:val="24"/>
        </w:rPr>
        <w:t>)</w:t>
      </w:r>
      <w:r w:rsidR="00214971" w:rsidRPr="00191ACB">
        <w:rPr>
          <w:rFonts w:ascii="Times New Roman" w:hAnsi="Times New Roman" w:cs="Times New Roman"/>
          <w:color w:val="000000" w:themeColor="text1"/>
          <w:sz w:val="24"/>
          <w:szCs w:val="24"/>
        </w:rPr>
        <w:t>.</w:t>
      </w:r>
    </w:p>
    <w:p w14:paraId="36383160" w14:textId="77777777" w:rsidR="009628F1" w:rsidRPr="00191ACB" w:rsidRDefault="009628F1" w:rsidP="00B90A10">
      <w:pPr>
        <w:pStyle w:val="NoSpacing"/>
        <w:spacing w:after="120"/>
        <w:rPr>
          <w:rFonts w:ascii="Times New Roman" w:hAnsi="Times New Roman" w:cs="Times New Roman"/>
          <w:color w:val="000000" w:themeColor="text1"/>
          <w:sz w:val="24"/>
          <w:szCs w:val="24"/>
        </w:rPr>
      </w:pPr>
    </w:p>
    <w:p w14:paraId="531B4A6D" w14:textId="584168E5" w:rsidR="00214971" w:rsidRPr="00191ACB" w:rsidRDefault="009628F1" w:rsidP="009628F1">
      <w:pPr>
        <w:pStyle w:val="Caption"/>
        <w:rPr>
          <w:color w:val="000000" w:themeColor="text1"/>
          <w:sz w:val="24"/>
          <w:szCs w:val="24"/>
        </w:rPr>
      </w:pPr>
      <w:bookmarkStart w:id="262" w:name="_Toc56583776"/>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3</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15</w:t>
      </w:r>
      <w:r w:rsidR="00875942">
        <w:rPr>
          <w:sz w:val="24"/>
          <w:szCs w:val="24"/>
        </w:rPr>
        <w:fldChar w:fldCharType="end"/>
      </w:r>
      <w:r w:rsidRPr="00191ACB">
        <w:rPr>
          <w:sz w:val="24"/>
          <w:szCs w:val="24"/>
        </w:rPr>
        <w:t>:Precursor gas emissions from Domestic waste water treatment and discharge-4.D.1 (Gg)</w:t>
      </w:r>
      <w:bookmarkEnd w:id="262"/>
    </w:p>
    <w:tbl>
      <w:tblPr>
        <w:tblW w:w="5000" w:type="pct"/>
        <w:tblLook w:val="04A0" w:firstRow="1" w:lastRow="0" w:firstColumn="1" w:lastColumn="0" w:noHBand="0" w:noVBand="1"/>
      </w:tblPr>
      <w:tblGrid>
        <w:gridCol w:w="2381"/>
        <w:gridCol w:w="1476"/>
        <w:gridCol w:w="1538"/>
        <w:gridCol w:w="996"/>
        <w:gridCol w:w="1116"/>
        <w:gridCol w:w="1116"/>
        <w:gridCol w:w="1116"/>
      </w:tblGrid>
      <w:tr w:rsidR="00214971" w:rsidRPr="00191ACB" w14:paraId="4BE58AFA" w14:textId="77777777" w:rsidTr="005C7EBE">
        <w:trPr>
          <w:trHeight w:val="288"/>
        </w:trPr>
        <w:tc>
          <w:tcPr>
            <w:tcW w:w="143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030945" w14:textId="77777777" w:rsidR="00214971" w:rsidRPr="00191ACB" w:rsidRDefault="00214971"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Year</w:t>
            </w:r>
          </w:p>
        </w:tc>
        <w:tc>
          <w:tcPr>
            <w:tcW w:w="712" w:type="pct"/>
            <w:tcBorders>
              <w:top w:val="single" w:sz="4" w:space="0" w:color="auto"/>
              <w:left w:val="nil"/>
              <w:bottom w:val="single" w:sz="4" w:space="0" w:color="auto"/>
              <w:right w:val="single" w:sz="4" w:space="0" w:color="auto"/>
            </w:tcBorders>
            <w:shd w:val="clear" w:color="auto" w:fill="auto"/>
            <w:noWrap/>
            <w:vAlign w:val="bottom"/>
            <w:hideMark/>
          </w:tcPr>
          <w:p w14:paraId="64877574"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2011</w:t>
            </w:r>
          </w:p>
        </w:tc>
        <w:tc>
          <w:tcPr>
            <w:tcW w:w="1000" w:type="pct"/>
            <w:tcBorders>
              <w:top w:val="single" w:sz="4" w:space="0" w:color="auto"/>
              <w:left w:val="nil"/>
              <w:bottom w:val="single" w:sz="4" w:space="0" w:color="auto"/>
              <w:right w:val="single" w:sz="4" w:space="0" w:color="auto"/>
            </w:tcBorders>
            <w:shd w:val="clear" w:color="auto" w:fill="auto"/>
            <w:noWrap/>
            <w:vAlign w:val="bottom"/>
            <w:hideMark/>
          </w:tcPr>
          <w:p w14:paraId="3BB1D7BB"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2012</w:t>
            </w:r>
          </w:p>
        </w:tc>
        <w:tc>
          <w:tcPr>
            <w:tcW w:w="432" w:type="pct"/>
            <w:tcBorders>
              <w:top w:val="single" w:sz="4" w:space="0" w:color="auto"/>
              <w:left w:val="nil"/>
              <w:bottom w:val="single" w:sz="4" w:space="0" w:color="auto"/>
              <w:right w:val="single" w:sz="4" w:space="0" w:color="auto"/>
            </w:tcBorders>
            <w:shd w:val="clear" w:color="auto" w:fill="auto"/>
            <w:noWrap/>
            <w:vAlign w:val="bottom"/>
            <w:hideMark/>
          </w:tcPr>
          <w:p w14:paraId="30ADECB0"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2013</w:t>
            </w:r>
          </w:p>
        </w:tc>
        <w:tc>
          <w:tcPr>
            <w:tcW w:w="474" w:type="pct"/>
            <w:tcBorders>
              <w:top w:val="single" w:sz="4" w:space="0" w:color="auto"/>
              <w:left w:val="nil"/>
              <w:bottom w:val="single" w:sz="4" w:space="0" w:color="auto"/>
              <w:right w:val="single" w:sz="4" w:space="0" w:color="auto"/>
            </w:tcBorders>
            <w:shd w:val="clear" w:color="auto" w:fill="auto"/>
            <w:noWrap/>
            <w:vAlign w:val="bottom"/>
            <w:hideMark/>
          </w:tcPr>
          <w:p w14:paraId="1B5DE7EB"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2014</w:t>
            </w:r>
          </w:p>
        </w:tc>
        <w:tc>
          <w:tcPr>
            <w:tcW w:w="474" w:type="pct"/>
            <w:tcBorders>
              <w:top w:val="single" w:sz="4" w:space="0" w:color="auto"/>
              <w:left w:val="nil"/>
              <w:bottom w:val="single" w:sz="4" w:space="0" w:color="auto"/>
              <w:right w:val="single" w:sz="4" w:space="0" w:color="auto"/>
            </w:tcBorders>
            <w:shd w:val="clear" w:color="auto" w:fill="auto"/>
            <w:noWrap/>
            <w:vAlign w:val="bottom"/>
            <w:hideMark/>
          </w:tcPr>
          <w:p w14:paraId="7C96DCE3"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474" w:type="pct"/>
            <w:tcBorders>
              <w:top w:val="single" w:sz="4" w:space="0" w:color="auto"/>
              <w:left w:val="nil"/>
              <w:bottom w:val="single" w:sz="4" w:space="0" w:color="auto"/>
              <w:right w:val="single" w:sz="4" w:space="0" w:color="auto"/>
            </w:tcBorders>
            <w:shd w:val="clear" w:color="auto" w:fill="auto"/>
            <w:noWrap/>
            <w:vAlign w:val="bottom"/>
            <w:hideMark/>
          </w:tcPr>
          <w:p w14:paraId="42A4EB59"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2016</w:t>
            </w:r>
          </w:p>
        </w:tc>
      </w:tr>
      <w:tr w:rsidR="00214971" w:rsidRPr="00191ACB" w14:paraId="5EA1A6DA" w14:textId="77777777" w:rsidTr="005C7EBE">
        <w:trPr>
          <w:trHeight w:val="288"/>
        </w:trPr>
        <w:tc>
          <w:tcPr>
            <w:tcW w:w="1433" w:type="pct"/>
            <w:tcBorders>
              <w:top w:val="nil"/>
              <w:left w:val="single" w:sz="4" w:space="0" w:color="auto"/>
              <w:bottom w:val="single" w:sz="4" w:space="0" w:color="auto"/>
              <w:right w:val="single" w:sz="4" w:space="0" w:color="auto"/>
            </w:tcBorders>
            <w:shd w:val="clear" w:color="auto" w:fill="auto"/>
            <w:noWrap/>
            <w:vAlign w:val="bottom"/>
            <w:hideMark/>
          </w:tcPr>
          <w:p w14:paraId="401163E6" w14:textId="77777777" w:rsidR="00214971" w:rsidRPr="00191ACB" w:rsidRDefault="00214971" w:rsidP="005C7EBE">
            <w:pPr>
              <w:spacing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NMVOC </w:t>
            </w:r>
          </w:p>
        </w:tc>
        <w:tc>
          <w:tcPr>
            <w:tcW w:w="712" w:type="pct"/>
            <w:tcBorders>
              <w:top w:val="nil"/>
              <w:left w:val="nil"/>
              <w:bottom w:val="single" w:sz="4" w:space="0" w:color="auto"/>
              <w:right w:val="single" w:sz="4" w:space="0" w:color="auto"/>
            </w:tcBorders>
            <w:shd w:val="clear" w:color="auto" w:fill="auto"/>
            <w:noWrap/>
            <w:vAlign w:val="bottom"/>
            <w:hideMark/>
          </w:tcPr>
          <w:p w14:paraId="7632488A"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0.001020255</w:t>
            </w:r>
          </w:p>
        </w:tc>
        <w:tc>
          <w:tcPr>
            <w:tcW w:w="1000" w:type="pct"/>
            <w:tcBorders>
              <w:top w:val="nil"/>
              <w:left w:val="nil"/>
              <w:bottom w:val="single" w:sz="4" w:space="0" w:color="auto"/>
              <w:right w:val="single" w:sz="4" w:space="0" w:color="auto"/>
            </w:tcBorders>
            <w:shd w:val="clear" w:color="auto" w:fill="auto"/>
            <w:noWrap/>
            <w:vAlign w:val="bottom"/>
            <w:hideMark/>
          </w:tcPr>
          <w:p w14:paraId="0215DC1C"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0.00328638</w:t>
            </w:r>
          </w:p>
        </w:tc>
        <w:tc>
          <w:tcPr>
            <w:tcW w:w="432" w:type="pct"/>
            <w:tcBorders>
              <w:top w:val="nil"/>
              <w:left w:val="nil"/>
              <w:bottom w:val="single" w:sz="4" w:space="0" w:color="auto"/>
              <w:right w:val="single" w:sz="4" w:space="0" w:color="auto"/>
            </w:tcBorders>
            <w:shd w:val="clear" w:color="auto" w:fill="auto"/>
            <w:noWrap/>
            <w:vAlign w:val="bottom"/>
            <w:hideMark/>
          </w:tcPr>
          <w:p w14:paraId="1BA9C8F5"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0.00566</w:t>
            </w:r>
          </w:p>
        </w:tc>
        <w:tc>
          <w:tcPr>
            <w:tcW w:w="474" w:type="pct"/>
            <w:tcBorders>
              <w:top w:val="nil"/>
              <w:left w:val="nil"/>
              <w:bottom w:val="single" w:sz="4" w:space="0" w:color="auto"/>
              <w:right w:val="single" w:sz="4" w:space="0" w:color="auto"/>
            </w:tcBorders>
            <w:shd w:val="clear" w:color="auto" w:fill="auto"/>
            <w:noWrap/>
            <w:vAlign w:val="bottom"/>
            <w:hideMark/>
          </w:tcPr>
          <w:p w14:paraId="5B8F2DFB"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0.001564</w:t>
            </w:r>
          </w:p>
        </w:tc>
        <w:tc>
          <w:tcPr>
            <w:tcW w:w="474" w:type="pct"/>
            <w:tcBorders>
              <w:top w:val="nil"/>
              <w:left w:val="nil"/>
              <w:bottom w:val="single" w:sz="4" w:space="0" w:color="auto"/>
              <w:right w:val="single" w:sz="4" w:space="0" w:color="auto"/>
            </w:tcBorders>
            <w:shd w:val="clear" w:color="auto" w:fill="auto"/>
            <w:noWrap/>
            <w:vAlign w:val="bottom"/>
            <w:hideMark/>
          </w:tcPr>
          <w:p w14:paraId="1EE3D1E6"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0.002154</w:t>
            </w:r>
          </w:p>
        </w:tc>
        <w:tc>
          <w:tcPr>
            <w:tcW w:w="474" w:type="pct"/>
            <w:tcBorders>
              <w:top w:val="nil"/>
              <w:left w:val="nil"/>
              <w:bottom w:val="single" w:sz="4" w:space="0" w:color="auto"/>
              <w:right w:val="single" w:sz="4" w:space="0" w:color="auto"/>
            </w:tcBorders>
            <w:shd w:val="clear" w:color="auto" w:fill="auto"/>
            <w:noWrap/>
            <w:vAlign w:val="bottom"/>
            <w:hideMark/>
          </w:tcPr>
          <w:p w14:paraId="24F8249F" w14:textId="77777777" w:rsidR="00214971" w:rsidRPr="00191ACB" w:rsidRDefault="00214971" w:rsidP="005C7EBE">
            <w:pPr>
              <w:spacing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0.004922</w:t>
            </w:r>
          </w:p>
        </w:tc>
      </w:tr>
    </w:tbl>
    <w:p w14:paraId="7A8AD0C9" w14:textId="1FD85D2D" w:rsidR="00214971" w:rsidRPr="00191ACB" w:rsidRDefault="008E71BF"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Emissions from precursor gases were estimated and observed to be insignificant.</w:t>
      </w:r>
    </w:p>
    <w:p w14:paraId="3A7895D2" w14:textId="2571E515" w:rsidR="00214971" w:rsidRPr="00117ECD" w:rsidRDefault="00214971" w:rsidP="00117ECD">
      <w:pPr>
        <w:pStyle w:val="Heading3"/>
        <w:numPr>
          <w:ilvl w:val="2"/>
          <w:numId w:val="36"/>
        </w:numPr>
        <w:ind w:left="851" w:hanging="884"/>
      </w:pPr>
      <w:bookmarkStart w:id="263" w:name="_Toc15311518"/>
      <w:bookmarkStart w:id="264" w:name="_Toc48427346"/>
      <w:bookmarkStart w:id="265" w:name="_Toc57902856"/>
      <w:r w:rsidRPr="00117ECD">
        <w:lastRenderedPageBreak/>
        <w:t>Emissions from Categories</w:t>
      </w:r>
      <w:bookmarkEnd w:id="263"/>
      <w:bookmarkEnd w:id="264"/>
      <w:bookmarkEnd w:id="265"/>
    </w:p>
    <w:p w14:paraId="3F187B39" w14:textId="77777777"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This section provides respective emissions, activity data and emission factors and methodologies for solid waste disposal, Incineration and Open Burning of Waste, and Wastewater Treatment and Discharge categories.</w:t>
      </w:r>
    </w:p>
    <w:p w14:paraId="41AD6532" w14:textId="77777777" w:rsidR="004678D3" w:rsidRPr="00191ACB" w:rsidRDefault="004678D3" w:rsidP="005E626A">
      <w:pPr>
        <w:spacing w:after="120" w:line="240" w:lineRule="auto"/>
        <w:rPr>
          <w:rFonts w:ascii="Times New Roman" w:hAnsi="Times New Roman" w:cs="Times New Roman"/>
          <w:color w:val="000000" w:themeColor="text1"/>
          <w:sz w:val="24"/>
          <w:szCs w:val="24"/>
        </w:rPr>
      </w:pPr>
    </w:p>
    <w:p w14:paraId="293BFCB2" w14:textId="33ADBA63" w:rsidR="00214971" w:rsidRPr="00191ACB" w:rsidRDefault="00214971" w:rsidP="00117ECD">
      <w:pPr>
        <w:pStyle w:val="Heading4"/>
        <w:numPr>
          <w:ilvl w:val="3"/>
          <w:numId w:val="36"/>
        </w:numPr>
        <w:ind w:left="851" w:hanging="851"/>
      </w:pPr>
      <w:bookmarkStart w:id="266" w:name="_Toc15311519"/>
      <w:bookmarkStart w:id="267" w:name="_Toc48427347"/>
      <w:r w:rsidRPr="00191ACB">
        <w:t>Solid Waste Disposal</w:t>
      </w:r>
      <w:bookmarkEnd w:id="266"/>
      <w:bookmarkEnd w:id="267"/>
    </w:p>
    <w:p w14:paraId="7D59FAF9" w14:textId="50389325"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Treatment and disposal of municipal, industrial and other solid waste produces significant amounts of methane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Biogenic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and NMVOCs,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O, NOx and CO are also produced in SWDS. Methane was the dominant gas in the solid waste disposal. The emissions have been increasing steadily from the 1994 base year to 2016. Compared to the base year, the emissions increased by 100% from 46.4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1994 to 92.9 Gg CO</w:t>
      </w:r>
      <w:r w:rsidRPr="00191ACB">
        <w:rPr>
          <w:rFonts w:ascii="Times New Roman" w:hAnsi="Times New Roman" w:cs="Times New Roman"/>
          <w:color w:val="000000" w:themeColor="text1"/>
          <w:sz w:val="24"/>
          <w:szCs w:val="24"/>
          <w:vertAlign w:val="subscript"/>
        </w:rPr>
        <w:t xml:space="preserve">2eq. </w:t>
      </w:r>
      <w:r w:rsidRPr="00191ACB">
        <w:rPr>
          <w:rFonts w:ascii="Times New Roman" w:hAnsi="Times New Roman" w:cs="Times New Roman"/>
          <w:color w:val="000000" w:themeColor="text1"/>
          <w:sz w:val="24"/>
          <w:szCs w:val="24"/>
        </w:rPr>
        <w:t>in 2016 as shown in Figure</w:t>
      </w:r>
      <w:r w:rsidR="009628F1" w:rsidRPr="00191ACB">
        <w:rPr>
          <w:rFonts w:ascii="Times New Roman" w:hAnsi="Times New Roman" w:cs="Times New Roman"/>
          <w:color w:val="000000" w:themeColor="text1"/>
          <w:sz w:val="24"/>
          <w:szCs w:val="24"/>
        </w:rPr>
        <w:t xml:space="preserve"> 3.41</w:t>
      </w:r>
      <w:r w:rsidRPr="00191ACB">
        <w:rPr>
          <w:rFonts w:ascii="Times New Roman" w:hAnsi="Times New Roman" w:cs="Times New Roman"/>
          <w:color w:val="000000" w:themeColor="text1"/>
          <w:sz w:val="24"/>
          <w:szCs w:val="24"/>
        </w:rPr>
        <w:t>.</w:t>
      </w:r>
    </w:p>
    <w:p w14:paraId="52176F7D" w14:textId="77777777" w:rsidR="00214971" w:rsidRPr="00191ACB" w:rsidRDefault="00214971" w:rsidP="00214971">
      <w:pPr>
        <w:jc w:val="both"/>
        <w:rPr>
          <w:rFonts w:ascii="Times New Roman"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09165F55" wp14:editId="3A53E6B1">
            <wp:extent cx="5448300" cy="2606040"/>
            <wp:effectExtent l="0" t="0" r="0" b="3810"/>
            <wp:docPr id="105" name="Chart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681D0086" w14:textId="44FF8241" w:rsidR="00214971" w:rsidRPr="00191ACB" w:rsidRDefault="009628F1" w:rsidP="009628F1">
      <w:pPr>
        <w:pStyle w:val="Caption"/>
        <w:rPr>
          <w:i w:val="0"/>
          <w:color w:val="000000" w:themeColor="text1"/>
          <w:sz w:val="24"/>
          <w:szCs w:val="24"/>
        </w:rPr>
      </w:pPr>
      <w:bookmarkStart w:id="268" w:name="_Toc56583886"/>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3</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41</w:t>
      </w:r>
      <w:r w:rsidR="009D481C">
        <w:rPr>
          <w:sz w:val="24"/>
          <w:szCs w:val="24"/>
        </w:rPr>
        <w:fldChar w:fldCharType="end"/>
      </w:r>
      <w:r w:rsidRPr="00191ACB">
        <w:rPr>
          <w:sz w:val="24"/>
          <w:szCs w:val="24"/>
        </w:rPr>
        <w:t>: Emissions from solid waste disposal</w:t>
      </w:r>
      <w:bookmarkEnd w:id="268"/>
    </w:p>
    <w:p w14:paraId="4EE29DF7" w14:textId="77777777" w:rsidR="004678D3" w:rsidRPr="00191ACB" w:rsidRDefault="004678D3" w:rsidP="004678D3">
      <w:pPr>
        <w:rPr>
          <w:rFonts w:ascii="Times New Roman" w:hAnsi="Times New Roman" w:cs="Times New Roman"/>
          <w:sz w:val="24"/>
          <w:szCs w:val="24"/>
          <w:lang w:val="en"/>
        </w:rPr>
      </w:pPr>
    </w:p>
    <w:p w14:paraId="3BAA0705" w14:textId="322F11CC" w:rsidR="00214971" w:rsidRPr="00191ACB" w:rsidRDefault="00214971" w:rsidP="005E626A">
      <w:pPr>
        <w:pStyle w:val="NoSpacing"/>
        <w:spacing w:after="120"/>
        <w:rPr>
          <w:rFonts w:ascii="Times New Roman" w:hAnsi="Times New Roman" w:cs="Times New Roman"/>
          <w:b/>
          <w:color w:val="000000" w:themeColor="text1"/>
          <w:sz w:val="24"/>
          <w:szCs w:val="24"/>
        </w:rPr>
      </w:pPr>
      <w:bookmarkStart w:id="269" w:name="_Toc15311520"/>
      <w:bookmarkStart w:id="270" w:name="_Toc48427348"/>
      <w:r w:rsidRPr="00191ACB">
        <w:rPr>
          <w:rFonts w:ascii="Times New Roman" w:hAnsi="Times New Roman" w:cs="Times New Roman"/>
          <w:b/>
          <w:color w:val="000000" w:themeColor="text1"/>
          <w:sz w:val="24"/>
          <w:szCs w:val="24"/>
        </w:rPr>
        <w:t>Methodological issues</w:t>
      </w:r>
      <w:bookmarkEnd w:id="269"/>
      <w:bookmarkEnd w:id="270"/>
      <w:r w:rsidRPr="00191ACB">
        <w:rPr>
          <w:rFonts w:ascii="Times New Roman" w:hAnsi="Times New Roman" w:cs="Times New Roman"/>
          <w:b/>
          <w:color w:val="000000" w:themeColor="text1"/>
          <w:sz w:val="24"/>
          <w:szCs w:val="24"/>
        </w:rPr>
        <w:t xml:space="preserve"> </w:t>
      </w:r>
    </w:p>
    <w:p w14:paraId="04DC2BB4" w14:textId="05D05551" w:rsidR="00214971" w:rsidRPr="00191ACB" w:rsidRDefault="00214971" w:rsidP="00F57665">
      <w:pPr>
        <w:spacing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rPr>
        <w:t>The estimations in this category were made using Tier 1(Equations 6.1-6.3) based on the IPCC First Order Decay (FOD). This method assumes that the decaying organic component (degradable organic carbon) in waste decays slowly throughout a few decades, during which methane is formed. The FOD method requires data on solid waste disposal amounts and composition to be collected for at least 50 years. Zambia d</w:t>
      </w:r>
      <w:r w:rsidR="008E71BF" w:rsidRPr="00191ACB">
        <w:rPr>
          <w:rFonts w:ascii="Times New Roman" w:hAnsi="Times New Roman" w:cs="Times New Roman"/>
          <w:color w:val="000000" w:themeColor="text1"/>
          <w:sz w:val="24"/>
          <w:szCs w:val="24"/>
        </w:rPr>
        <w:t>id</w:t>
      </w:r>
      <w:r w:rsidRPr="00191ACB">
        <w:rPr>
          <w:rFonts w:ascii="Times New Roman" w:hAnsi="Times New Roman" w:cs="Times New Roman"/>
          <w:color w:val="000000" w:themeColor="text1"/>
          <w:sz w:val="24"/>
          <w:szCs w:val="24"/>
        </w:rPr>
        <w:t xml:space="preserve"> not have 50 years of historical statistical data or equivalent data on solid waste disposal and as such, estimates were made using surrogates, extrapolated with population and GDP</w:t>
      </w:r>
      <w:bookmarkStart w:id="271" w:name="_Toc15311521"/>
      <w:r w:rsidRPr="00191ACB">
        <w:rPr>
          <w:rFonts w:ascii="Times New Roman" w:hAnsi="Times New Roman" w:cs="Times New Roman"/>
          <w:color w:val="000000" w:themeColor="text1"/>
          <w:sz w:val="24"/>
          <w:szCs w:val="24"/>
          <w:highlight w:val="white"/>
        </w:rPr>
        <w:t xml:space="preserve">. Waste data estimations were done using </w:t>
      </w:r>
      <w:r w:rsidR="008E71BF" w:rsidRPr="00191ACB">
        <w:rPr>
          <w:rFonts w:ascii="Times New Roman" w:hAnsi="Times New Roman" w:cs="Times New Roman"/>
          <w:color w:val="000000" w:themeColor="text1"/>
          <w:sz w:val="24"/>
          <w:szCs w:val="24"/>
          <w:highlight w:val="white"/>
        </w:rPr>
        <w:t>the following assumptions:</w:t>
      </w:r>
    </w:p>
    <w:p w14:paraId="0D85468D" w14:textId="77777777" w:rsidR="00214971" w:rsidRPr="00191ACB" w:rsidRDefault="00214971" w:rsidP="00E435F6">
      <w:pPr>
        <w:numPr>
          <w:ilvl w:val="0"/>
          <w:numId w:val="34"/>
        </w:numPr>
        <w:spacing w:before="240" w:after="120" w:line="240"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For solid waste generation disposal, peri-urban and urban population and gross domestic product per year was used to estimate solid waste generation at 0.146 kg per capita</w:t>
      </w:r>
    </w:p>
    <w:p w14:paraId="4CF03E80" w14:textId="77777777" w:rsidR="00214971" w:rsidRPr="00191ACB" w:rsidRDefault="00214971" w:rsidP="00E435F6">
      <w:pPr>
        <w:numPr>
          <w:ilvl w:val="0"/>
          <w:numId w:val="34"/>
        </w:numPr>
        <w:spacing w:after="120" w:line="240"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Incineration of clinical waste, number of hospital beds per year were used to calculate health care waste generated at a generation rate of 0.2 kg per person per day</w:t>
      </w:r>
    </w:p>
    <w:p w14:paraId="379AA5F1" w14:textId="77777777" w:rsidR="00214971" w:rsidRPr="00191ACB" w:rsidRDefault="00214971" w:rsidP="00E435F6">
      <w:pPr>
        <w:numPr>
          <w:ilvl w:val="0"/>
          <w:numId w:val="34"/>
        </w:numPr>
        <w:spacing w:after="120" w:line="240"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For open burning, a default factor of 0.6 from the IPCC software was applied of total solid waste generated</w:t>
      </w:r>
    </w:p>
    <w:p w14:paraId="42DCE88A" w14:textId="77777777" w:rsidR="00214971" w:rsidRPr="00191ACB" w:rsidRDefault="00214971" w:rsidP="00E435F6">
      <w:pPr>
        <w:numPr>
          <w:ilvl w:val="0"/>
          <w:numId w:val="34"/>
        </w:numPr>
        <w:spacing w:after="120" w:line="240"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For domestic water, the default factor from the IPCC software was used.</w:t>
      </w:r>
    </w:p>
    <w:p w14:paraId="2FD1D5BE" w14:textId="6C66F4EF"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highlight w:val="white"/>
        </w:rPr>
        <w:lastRenderedPageBreak/>
        <w:t xml:space="preserve">Generally, the emissions from waste have consistently increased due to economic growth. </w:t>
      </w:r>
      <w:r w:rsidRPr="00191ACB">
        <w:rPr>
          <w:rFonts w:ascii="Times New Roman" w:hAnsi="Times New Roman" w:cs="Times New Roman"/>
          <w:color w:val="000000" w:themeColor="text1"/>
          <w:sz w:val="24"/>
          <w:szCs w:val="24"/>
        </w:rPr>
        <w:t>Most waste disposal sites country wide are unmanaged shallow with depths less than 5 metres..</w:t>
      </w:r>
    </w:p>
    <w:p w14:paraId="66D2E991" w14:textId="77777777" w:rsidR="004678D3" w:rsidRPr="00191ACB" w:rsidRDefault="004678D3" w:rsidP="005E626A">
      <w:pPr>
        <w:spacing w:before="240" w:after="120" w:line="240" w:lineRule="auto"/>
        <w:jc w:val="both"/>
        <w:rPr>
          <w:rFonts w:ascii="Times New Roman" w:hAnsi="Times New Roman" w:cs="Times New Roman"/>
          <w:color w:val="000000" w:themeColor="text1"/>
          <w:sz w:val="24"/>
          <w:szCs w:val="24"/>
        </w:rPr>
      </w:pPr>
    </w:p>
    <w:p w14:paraId="2001AB2C" w14:textId="3174E380" w:rsidR="00214971" w:rsidRPr="00117ECD" w:rsidRDefault="00214971" w:rsidP="00117ECD">
      <w:pPr>
        <w:pStyle w:val="Heading4"/>
        <w:numPr>
          <w:ilvl w:val="3"/>
          <w:numId w:val="36"/>
        </w:numPr>
        <w:ind w:left="851" w:hanging="851"/>
      </w:pPr>
      <w:bookmarkStart w:id="272" w:name="_Toc15311522"/>
      <w:bookmarkStart w:id="273" w:name="_Toc48427350"/>
      <w:bookmarkEnd w:id="271"/>
      <w:r w:rsidRPr="00117ECD">
        <w:t>Biological Treatment of Solid Waste</w:t>
      </w:r>
      <w:bookmarkEnd w:id="272"/>
      <w:bookmarkEnd w:id="273"/>
    </w:p>
    <w:p w14:paraId="7B1085F5" w14:textId="77777777"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Biological treatment of waste has not been occurring for the period of the time series and hence emissions were not estimated for this source.</w:t>
      </w:r>
    </w:p>
    <w:p w14:paraId="41A8F0A7" w14:textId="77777777" w:rsidR="004678D3" w:rsidRPr="00191ACB" w:rsidRDefault="004678D3" w:rsidP="005E626A">
      <w:pPr>
        <w:spacing w:after="120" w:line="240" w:lineRule="auto"/>
        <w:jc w:val="both"/>
        <w:rPr>
          <w:rFonts w:ascii="Times New Roman" w:hAnsi="Times New Roman" w:cs="Times New Roman"/>
          <w:color w:val="000000" w:themeColor="text1"/>
          <w:sz w:val="24"/>
          <w:szCs w:val="24"/>
        </w:rPr>
      </w:pPr>
    </w:p>
    <w:p w14:paraId="43EFF314" w14:textId="7CC9048D" w:rsidR="00214971" w:rsidRPr="00117ECD" w:rsidRDefault="00214971" w:rsidP="00117ECD">
      <w:pPr>
        <w:pStyle w:val="Heading4"/>
        <w:numPr>
          <w:ilvl w:val="3"/>
          <w:numId w:val="36"/>
        </w:numPr>
        <w:ind w:left="851" w:hanging="851"/>
      </w:pPr>
      <w:bookmarkStart w:id="274" w:name="_Toc15311523"/>
      <w:bookmarkStart w:id="275" w:name="_Toc48427351"/>
      <w:r w:rsidRPr="00117ECD">
        <w:t>Incineration and Open Burning of Waste</w:t>
      </w:r>
      <w:bookmarkEnd w:id="274"/>
      <w:bookmarkEnd w:id="275"/>
    </w:p>
    <w:p w14:paraId="3C2BDD59" w14:textId="188C0328" w:rsidR="00214971" w:rsidRPr="00191ACB" w:rsidRDefault="00214971" w:rsidP="00F57665">
      <w:pPr>
        <w:spacing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rPr>
        <w:t xml:space="preserve">Waste incineration is defined as the combustion of solid and liquid waste in a controlled facility. Types of waste incinerated include: Municipal solid waste (MSW), industrial waste, hazardous waste, clinical waste and sewage sludge. </w:t>
      </w:r>
      <w:r w:rsidR="006D7F34" w:rsidRPr="00191ACB">
        <w:rPr>
          <w:rFonts w:ascii="Times New Roman" w:hAnsi="Times New Roman" w:cs="Times New Roman"/>
          <w:color w:val="000000" w:themeColor="text1"/>
          <w:sz w:val="24"/>
          <w:szCs w:val="24"/>
        </w:rPr>
        <w:t>I</w:t>
      </w:r>
      <w:r w:rsidRPr="00191ACB">
        <w:rPr>
          <w:rFonts w:ascii="Times New Roman" w:hAnsi="Times New Roman" w:cs="Times New Roman"/>
          <w:color w:val="000000" w:themeColor="text1"/>
          <w:sz w:val="24"/>
          <w:szCs w:val="24"/>
        </w:rPr>
        <w:t>n Zambia incineration is mainly done for clinical waste. Emissions from incineration and open burning of waste increased from 1.42 Gg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vertAlign w:val="subscript"/>
        </w:rPr>
        <w:t>eq</w:t>
      </w:r>
      <w:r w:rsidRPr="00191ACB">
        <w:rPr>
          <w:rFonts w:ascii="Times New Roman" w:hAnsi="Times New Roman" w:cs="Times New Roman"/>
          <w:color w:val="000000" w:themeColor="text1"/>
          <w:sz w:val="24"/>
          <w:szCs w:val="24"/>
        </w:rPr>
        <w:t>. in 1994 base year to 2.</w:t>
      </w:r>
      <w:r w:rsidR="006D7F34" w:rsidRPr="00191ACB">
        <w:rPr>
          <w:rFonts w:ascii="Times New Roman" w:hAnsi="Times New Roman" w:cs="Times New Roman"/>
          <w:color w:val="000000" w:themeColor="text1"/>
          <w:sz w:val="24"/>
          <w:szCs w:val="24"/>
        </w:rPr>
        <w:t>3</w:t>
      </w:r>
      <w:r w:rsidRPr="00191ACB">
        <w:rPr>
          <w:rFonts w:ascii="Times New Roman" w:hAnsi="Times New Roman" w:cs="Times New Roman"/>
          <w:color w:val="000000" w:themeColor="text1"/>
          <w:sz w:val="24"/>
          <w:szCs w:val="24"/>
        </w:rPr>
        <w:t xml:space="preserve"> Gg CO</w:t>
      </w:r>
      <w:r w:rsidRPr="00191ACB">
        <w:rPr>
          <w:rFonts w:ascii="Times New Roman" w:hAnsi="Times New Roman" w:cs="Times New Roman"/>
          <w:color w:val="000000" w:themeColor="text1"/>
          <w:sz w:val="24"/>
          <w:szCs w:val="24"/>
          <w:vertAlign w:val="subscript"/>
        </w:rPr>
        <w:t>2 eq.</w:t>
      </w:r>
      <w:r w:rsidRPr="00191ACB">
        <w:rPr>
          <w:rFonts w:ascii="Times New Roman" w:hAnsi="Times New Roman" w:cs="Times New Roman"/>
          <w:color w:val="000000" w:themeColor="text1"/>
          <w:sz w:val="24"/>
          <w:szCs w:val="24"/>
        </w:rPr>
        <w:t xml:space="preserve"> in 201</w:t>
      </w:r>
      <w:r w:rsidR="006D7F34" w:rsidRPr="00191ACB">
        <w:rPr>
          <w:rFonts w:ascii="Times New Roman" w:hAnsi="Times New Roman" w:cs="Times New Roman"/>
          <w:color w:val="000000" w:themeColor="text1"/>
          <w:sz w:val="24"/>
          <w:szCs w:val="24"/>
        </w:rPr>
        <w:t>6</w:t>
      </w:r>
      <w:r w:rsidRPr="00191ACB">
        <w:rPr>
          <w:rFonts w:ascii="Times New Roman" w:hAnsi="Times New Roman" w:cs="Times New Roman"/>
          <w:color w:val="000000" w:themeColor="text1"/>
          <w:sz w:val="24"/>
          <w:szCs w:val="24"/>
        </w:rPr>
        <w:t>.</w:t>
      </w:r>
      <w:r w:rsidR="00A35136"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rPr>
        <w:t>By gas, CO</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 was the major contributing gas to emissions under Incinerating and Open Burning of Waste </w:t>
      </w:r>
      <w:r w:rsidR="006D7F34" w:rsidRPr="00191ACB">
        <w:rPr>
          <w:rFonts w:ascii="Times New Roman" w:hAnsi="Times New Roman" w:cs="Times New Roman"/>
          <w:color w:val="000000" w:themeColor="text1"/>
          <w:sz w:val="24"/>
          <w:szCs w:val="24"/>
        </w:rPr>
        <w:t>a</w:t>
      </w:r>
      <w:r w:rsidRPr="00191ACB">
        <w:rPr>
          <w:rFonts w:ascii="Times New Roman" w:hAnsi="Times New Roman" w:cs="Times New Roman"/>
          <w:color w:val="000000" w:themeColor="text1"/>
          <w:sz w:val="24"/>
          <w:szCs w:val="24"/>
        </w:rPr>
        <w:t>t 99</w:t>
      </w:r>
      <w:r w:rsidR="006D7F34"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Other gases contributing to emissions under this category were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xml:space="preserve"> at 1</w:t>
      </w:r>
      <w:r w:rsidR="006D7F34"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highlight w:val="white"/>
        </w:rPr>
        <w:t>In Zambia, clinical waste is incinerated and to a small extent cremation is practi</w:t>
      </w:r>
      <w:r w:rsidR="003524AC" w:rsidRPr="00191ACB">
        <w:rPr>
          <w:rFonts w:ascii="Times New Roman" w:hAnsi="Times New Roman" w:cs="Times New Roman"/>
          <w:color w:val="000000" w:themeColor="text1"/>
          <w:sz w:val="24"/>
          <w:szCs w:val="24"/>
          <w:highlight w:val="white"/>
        </w:rPr>
        <w:t>c</w:t>
      </w:r>
      <w:r w:rsidRPr="00191ACB">
        <w:rPr>
          <w:rFonts w:ascii="Times New Roman" w:hAnsi="Times New Roman" w:cs="Times New Roman"/>
          <w:color w:val="000000" w:themeColor="text1"/>
          <w:sz w:val="24"/>
          <w:szCs w:val="24"/>
          <w:highlight w:val="white"/>
        </w:rPr>
        <w:t xml:space="preserve">ed. </w:t>
      </w:r>
      <w:r w:rsidR="003524AC" w:rsidRPr="00191ACB">
        <w:rPr>
          <w:rFonts w:ascii="Times New Roman" w:hAnsi="Times New Roman" w:cs="Times New Roman"/>
          <w:color w:val="000000" w:themeColor="text1"/>
          <w:sz w:val="24"/>
          <w:szCs w:val="24"/>
          <w:highlight w:val="white"/>
        </w:rPr>
        <w:t>O</w:t>
      </w:r>
      <w:r w:rsidRPr="00191ACB">
        <w:rPr>
          <w:rFonts w:ascii="Times New Roman" w:hAnsi="Times New Roman" w:cs="Times New Roman"/>
          <w:color w:val="000000" w:themeColor="text1"/>
          <w:sz w:val="24"/>
          <w:szCs w:val="24"/>
          <w:highlight w:val="white"/>
        </w:rPr>
        <w:t xml:space="preserve">pen burning of waste is a waste management practice widely used in Zambia in both rural and urban areas. </w:t>
      </w:r>
    </w:p>
    <w:p w14:paraId="4749A29A" w14:textId="77777777" w:rsidR="004678D3" w:rsidRPr="00191ACB" w:rsidRDefault="004678D3" w:rsidP="005E626A">
      <w:pPr>
        <w:spacing w:after="120" w:line="240" w:lineRule="auto"/>
        <w:jc w:val="both"/>
        <w:rPr>
          <w:rFonts w:ascii="Times New Roman" w:hAnsi="Times New Roman" w:cs="Times New Roman"/>
          <w:color w:val="000000" w:themeColor="text1"/>
          <w:sz w:val="24"/>
          <w:szCs w:val="24"/>
          <w:highlight w:val="white"/>
        </w:rPr>
      </w:pPr>
    </w:p>
    <w:p w14:paraId="49C2C67D" w14:textId="7087F067" w:rsidR="00214971" w:rsidRPr="00117ECD" w:rsidRDefault="00214971" w:rsidP="00117ECD">
      <w:pPr>
        <w:pStyle w:val="Heading4"/>
        <w:numPr>
          <w:ilvl w:val="3"/>
          <w:numId w:val="36"/>
        </w:numPr>
        <w:ind w:left="851" w:hanging="851"/>
      </w:pPr>
      <w:bookmarkStart w:id="276" w:name="_Toc15311526"/>
      <w:bookmarkStart w:id="277" w:name="_Toc48427354"/>
      <w:bookmarkStart w:id="278" w:name="_Hlk56522207"/>
      <w:r w:rsidRPr="00117ECD">
        <w:t>Wastewater Treatment and Discharge</w:t>
      </w:r>
      <w:bookmarkEnd w:id="276"/>
      <w:bookmarkEnd w:id="277"/>
    </w:p>
    <w:p w14:paraId="50458FB0" w14:textId="5E76E591" w:rsidR="00214971"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Emissions for this category increased from 156.6 GgCO</w:t>
      </w:r>
      <w:r w:rsidRPr="00191ACB">
        <w:rPr>
          <w:rFonts w:ascii="Times New Roman" w:hAnsi="Times New Roman" w:cs="Times New Roman"/>
          <w:color w:val="000000" w:themeColor="text1"/>
          <w:sz w:val="24"/>
          <w:szCs w:val="24"/>
          <w:vertAlign w:val="subscript"/>
        </w:rPr>
        <w:t xml:space="preserve">2eq. </w:t>
      </w:r>
      <w:r w:rsidRPr="00191ACB">
        <w:rPr>
          <w:rFonts w:ascii="Times New Roman" w:hAnsi="Times New Roman" w:cs="Times New Roman"/>
          <w:color w:val="000000" w:themeColor="text1"/>
          <w:sz w:val="24"/>
          <w:szCs w:val="24"/>
        </w:rPr>
        <w:t xml:space="preserve">in 1994 to </w:t>
      </w:r>
      <w:r w:rsidR="0045375F" w:rsidRPr="00191ACB">
        <w:rPr>
          <w:rFonts w:ascii="Times New Roman" w:hAnsi="Times New Roman" w:cs="Times New Roman"/>
          <w:color w:val="000000" w:themeColor="text1"/>
          <w:sz w:val="24"/>
          <w:szCs w:val="24"/>
        </w:rPr>
        <w:t xml:space="preserve">240.2 </w:t>
      </w:r>
      <w:r w:rsidRPr="00191ACB">
        <w:rPr>
          <w:rFonts w:ascii="Times New Roman" w:hAnsi="Times New Roman" w:cs="Times New Roman"/>
          <w:color w:val="000000" w:themeColor="text1"/>
          <w:sz w:val="24"/>
          <w:szCs w:val="24"/>
        </w:rPr>
        <w:t>Gg CO</w:t>
      </w:r>
      <w:r w:rsidRPr="00191ACB">
        <w:rPr>
          <w:rFonts w:ascii="Times New Roman" w:hAnsi="Times New Roman" w:cs="Times New Roman"/>
          <w:color w:val="000000" w:themeColor="text1"/>
          <w:sz w:val="24"/>
          <w:szCs w:val="24"/>
          <w:vertAlign w:val="subscript"/>
        </w:rPr>
        <w:t xml:space="preserve">2 eq. </w:t>
      </w:r>
      <w:r w:rsidRPr="00191ACB">
        <w:rPr>
          <w:rFonts w:ascii="Times New Roman" w:hAnsi="Times New Roman" w:cs="Times New Roman"/>
          <w:color w:val="000000" w:themeColor="text1"/>
          <w:sz w:val="24"/>
          <w:szCs w:val="24"/>
        </w:rPr>
        <w:t>in 201</w:t>
      </w:r>
      <w:r w:rsidR="003524AC" w:rsidRPr="00191ACB">
        <w:rPr>
          <w:rFonts w:ascii="Times New Roman" w:hAnsi="Times New Roman" w:cs="Times New Roman"/>
          <w:color w:val="000000" w:themeColor="text1"/>
          <w:sz w:val="24"/>
          <w:szCs w:val="24"/>
        </w:rPr>
        <w:t>6</w:t>
      </w:r>
      <w:r w:rsidRPr="00191ACB">
        <w:rPr>
          <w:rFonts w:ascii="Times New Roman" w:hAnsi="Times New Roman" w:cs="Times New Roman"/>
          <w:color w:val="000000" w:themeColor="text1"/>
          <w:sz w:val="24"/>
          <w:szCs w:val="24"/>
        </w:rPr>
        <w:t xml:space="preserve"> representing </w:t>
      </w:r>
      <w:r w:rsidR="00E221A2">
        <w:rPr>
          <w:rFonts w:ascii="Times New Roman" w:hAnsi="Times New Roman" w:cs="Times New Roman"/>
          <w:color w:val="000000" w:themeColor="text1"/>
          <w:sz w:val="24"/>
          <w:szCs w:val="24"/>
        </w:rPr>
        <w:t>53.97</w:t>
      </w:r>
      <w:r w:rsidR="003524AC"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increase. The main gases contributing to emissions under this category in 201</w:t>
      </w:r>
      <w:r w:rsidR="003524AC" w:rsidRPr="00191ACB">
        <w:rPr>
          <w:rFonts w:ascii="Times New Roman" w:hAnsi="Times New Roman" w:cs="Times New Roman"/>
          <w:color w:val="000000" w:themeColor="text1"/>
          <w:sz w:val="24"/>
          <w:szCs w:val="24"/>
        </w:rPr>
        <w:t>6</w:t>
      </w:r>
      <w:r w:rsidRPr="00191ACB">
        <w:rPr>
          <w:rFonts w:ascii="Times New Roman" w:hAnsi="Times New Roman" w:cs="Times New Roman"/>
          <w:color w:val="000000" w:themeColor="text1"/>
          <w:sz w:val="24"/>
          <w:szCs w:val="24"/>
        </w:rPr>
        <w:t xml:space="preserve"> were CH</w:t>
      </w:r>
      <w:r w:rsidRPr="00191ACB">
        <w:rPr>
          <w:rFonts w:ascii="Times New Roman" w:hAnsi="Times New Roman" w:cs="Times New Roman"/>
          <w:color w:val="000000" w:themeColor="text1"/>
          <w:sz w:val="24"/>
          <w:szCs w:val="24"/>
          <w:vertAlign w:val="subscript"/>
        </w:rPr>
        <w:t>4</w:t>
      </w:r>
      <w:r w:rsidRPr="00191ACB">
        <w:rPr>
          <w:rFonts w:ascii="Times New Roman" w:hAnsi="Times New Roman" w:cs="Times New Roman"/>
          <w:color w:val="000000" w:themeColor="text1"/>
          <w:sz w:val="24"/>
          <w:szCs w:val="24"/>
        </w:rPr>
        <w:t xml:space="preserve"> at </w:t>
      </w:r>
      <w:r w:rsidR="00E221A2">
        <w:rPr>
          <w:rFonts w:ascii="Times New Roman" w:hAnsi="Times New Roman" w:cs="Times New Roman"/>
          <w:color w:val="000000" w:themeColor="text1"/>
          <w:sz w:val="24"/>
          <w:szCs w:val="24"/>
        </w:rPr>
        <w:t>80</w:t>
      </w:r>
      <w:r w:rsidR="003524AC"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 xml:space="preserve"> and N</w:t>
      </w:r>
      <w:r w:rsidRPr="00191ACB">
        <w:rPr>
          <w:rFonts w:ascii="Times New Roman" w:hAnsi="Times New Roman" w:cs="Times New Roman"/>
          <w:color w:val="000000" w:themeColor="text1"/>
          <w:sz w:val="24"/>
          <w:szCs w:val="24"/>
          <w:vertAlign w:val="subscript"/>
        </w:rPr>
        <w:t>2</w:t>
      </w:r>
      <w:r w:rsidRPr="00191ACB">
        <w:rPr>
          <w:rFonts w:ascii="Times New Roman" w:hAnsi="Times New Roman" w:cs="Times New Roman"/>
          <w:color w:val="000000" w:themeColor="text1"/>
          <w:sz w:val="24"/>
          <w:szCs w:val="24"/>
        </w:rPr>
        <w:t xml:space="preserve">O at </w:t>
      </w:r>
      <w:r w:rsidR="00E221A2">
        <w:rPr>
          <w:rFonts w:ascii="Times New Roman" w:hAnsi="Times New Roman" w:cs="Times New Roman"/>
          <w:color w:val="000000" w:themeColor="text1"/>
          <w:sz w:val="24"/>
          <w:szCs w:val="24"/>
        </w:rPr>
        <w:t>20</w:t>
      </w:r>
      <w:r w:rsidR="003524AC" w:rsidRPr="00191ACB">
        <w:rPr>
          <w:rFonts w:ascii="Times New Roman" w:hAnsi="Times New Roman" w:cs="Times New Roman"/>
          <w:color w:val="000000" w:themeColor="text1"/>
          <w:sz w:val="24"/>
          <w:szCs w:val="24"/>
        </w:rPr>
        <w:t xml:space="preserve"> percent</w:t>
      </w:r>
      <w:r w:rsidRPr="00191ACB">
        <w:rPr>
          <w:rFonts w:ascii="Times New Roman" w:hAnsi="Times New Roman" w:cs="Times New Roman"/>
          <w:color w:val="000000" w:themeColor="text1"/>
          <w:sz w:val="24"/>
          <w:szCs w:val="24"/>
        </w:rPr>
        <w:t>.</w:t>
      </w:r>
    </w:p>
    <w:bookmarkEnd w:id="278"/>
    <w:p w14:paraId="17A62A75" w14:textId="77777777" w:rsidR="00214971" w:rsidRPr="00191ACB" w:rsidRDefault="00214971" w:rsidP="005E626A">
      <w:pPr>
        <w:pStyle w:val="NoSpacing"/>
        <w:spacing w:after="120"/>
        <w:jc w:val="both"/>
        <w:rPr>
          <w:rFonts w:ascii="Times New Roman" w:hAnsi="Times New Roman" w:cs="Times New Roman"/>
          <w:color w:val="000000" w:themeColor="text1"/>
          <w:sz w:val="24"/>
          <w:szCs w:val="24"/>
        </w:rPr>
      </w:pPr>
    </w:p>
    <w:p w14:paraId="5CB783F9" w14:textId="1F8A4603" w:rsidR="00214971" w:rsidRPr="00191ACB" w:rsidRDefault="00214971" w:rsidP="005E626A">
      <w:pPr>
        <w:pStyle w:val="NoSpacing"/>
        <w:spacing w:after="120"/>
        <w:rPr>
          <w:rFonts w:ascii="Times New Roman" w:hAnsi="Times New Roman" w:cs="Times New Roman"/>
          <w:b/>
          <w:color w:val="000000" w:themeColor="text1"/>
          <w:sz w:val="24"/>
          <w:szCs w:val="24"/>
        </w:rPr>
      </w:pPr>
      <w:bookmarkStart w:id="279" w:name="_Toc15311527"/>
      <w:bookmarkStart w:id="280" w:name="_Toc48427355"/>
      <w:r w:rsidRPr="00191ACB">
        <w:rPr>
          <w:rFonts w:ascii="Times New Roman" w:hAnsi="Times New Roman" w:cs="Times New Roman"/>
          <w:b/>
          <w:color w:val="000000" w:themeColor="text1"/>
          <w:sz w:val="24"/>
          <w:szCs w:val="24"/>
        </w:rPr>
        <w:t>Methodological issues</w:t>
      </w:r>
      <w:bookmarkEnd w:id="279"/>
      <w:bookmarkEnd w:id="280"/>
      <w:r w:rsidRPr="00191ACB">
        <w:rPr>
          <w:rFonts w:ascii="Times New Roman" w:hAnsi="Times New Roman" w:cs="Times New Roman"/>
          <w:b/>
          <w:color w:val="000000" w:themeColor="text1"/>
          <w:sz w:val="24"/>
          <w:szCs w:val="24"/>
        </w:rPr>
        <w:t xml:space="preserve"> </w:t>
      </w:r>
    </w:p>
    <w:p w14:paraId="074ECD83" w14:textId="0A405AB1" w:rsidR="00214971" w:rsidRPr="00191ACB" w:rsidRDefault="00A57FFD"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Tier 1 method was used in estimating emissions under this category. Data on the amount of waste incinerated/open-burned was used together with default data on characteristic parameters (such as dry matter content, carbon content and fossil carbon fraction) for different types of waste (MSW, sewage sludge, industrial waste and other waste such as hazardous and clinical waste).</w:t>
      </w:r>
      <w:r w:rsidR="006C5943" w:rsidRPr="00191ACB">
        <w:rPr>
          <w:rFonts w:ascii="Times New Roman" w:hAnsi="Times New Roman" w:cs="Times New Roman"/>
          <w:color w:val="000000" w:themeColor="text1"/>
          <w:sz w:val="24"/>
          <w:szCs w:val="24"/>
        </w:rPr>
        <w:t xml:space="preserve"> The average value used was 13.24kg BOD/year per capita. Maximum methane producing capacity - B0 [kg CH4/kg BOD] was 0.6.  </w:t>
      </w:r>
      <w:r w:rsidRPr="00191ACB">
        <w:rPr>
          <w:rFonts w:ascii="Times New Roman" w:hAnsi="Times New Roman" w:cs="Times New Roman"/>
          <w:color w:val="000000" w:themeColor="text1"/>
          <w:sz w:val="24"/>
          <w:szCs w:val="24"/>
        </w:rPr>
        <w:t xml:space="preserve"> </w:t>
      </w:r>
      <w:r w:rsidR="00214971" w:rsidRPr="00191ACB">
        <w:rPr>
          <w:rFonts w:ascii="Times New Roman" w:hAnsi="Times New Roman" w:cs="Times New Roman"/>
          <w:color w:val="000000" w:themeColor="text1"/>
          <w:sz w:val="24"/>
          <w:szCs w:val="24"/>
        </w:rPr>
        <w:t xml:space="preserve">This method is considered </w:t>
      </w:r>
      <w:r w:rsidR="00214971" w:rsidRPr="00191ACB">
        <w:rPr>
          <w:rFonts w:ascii="Times New Roman" w:hAnsi="Times New Roman" w:cs="Times New Roman"/>
          <w:iCs/>
          <w:color w:val="000000" w:themeColor="text1"/>
          <w:sz w:val="24"/>
          <w:szCs w:val="24"/>
        </w:rPr>
        <w:t xml:space="preserve">good practice </w:t>
      </w:r>
      <w:r w:rsidR="00214971" w:rsidRPr="00191ACB">
        <w:rPr>
          <w:rFonts w:ascii="Times New Roman" w:hAnsi="Times New Roman" w:cs="Times New Roman"/>
          <w:color w:val="000000" w:themeColor="text1"/>
          <w:sz w:val="24"/>
          <w:szCs w:val="24"/>
        </w:rPr>
        <w:t>for countries with limited data.</w:t>
      </w:r>
      <w:bookmarkStart w:id="281" w:name="_Toc15311528"/>
      <w:bookmarkStart w:id="282" w:name="_Toc48427356"/>
    </w:p>
    <w:p w14:paraId="7FDF0B49" w14:textId="77777777" w:rsidR="004678D3" w:rsidRPr="00191ACB" w:rsidRDefault="004678D3" w:rsidP="005E626A">
      <w:pPr>
        <w:spacing w:after="120" w:line="240" w:lineRule="auto"/>
        <w:jc w:val="both"/>
        <w:rPr>
          <w:rFonts w:ascii="Times New Roman" w:hAnsi="Times New Roman" w:cs="Times New Roman"/>
          <w:color w:val="000000" w:themeColor="text1"/>
          <w:sz w:val="24"/>
          <w:szCs w:val="24"/>
        </w:rPr>
      </w:pPr>
    </w:p>
    <w:p w14:paraId="21E8D9BA" w14:textId="48669884" w:rsidR="00214971" w:rsidRPr="00191ACB" w:rsidRDefault="00214971" w:rsidP="005E626A">
      <w:pPr>
        <w:pStyle w:val="NoSpacing"/>
        <w:spacing w:after="120"/>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Activity data</w:t>
      </w:r>
      <w:bookmarkEnd w:id="281"/>
      <w:bookmarkEnd w:id="282"/>
    </w:p>
    <w:p w14:paraId="7CAB9332" w14:textId="2FDF0B0C" w:rsidR="00A34126" w:rsidRPr="00191ACB" w:rsidRDefault="00A34126"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 data used for estimating emissions for solid waste disposal, incineration and open burning of waste were based on population, GDP and per capita waste generation. Data on population and per capita waste generation was obtained from Central Statistical Office (ZAMSTATS).  Whilst part of the GDP data was obtained from ZAMSTATS, the other data came from World Economy Report, International Labour Organisation of the United Nations and the World Bank data base</w:t>
      </w:r>
      <w:r w:rsidRPr="00191ACB">
        <w:rPr>
          <w:rFonts w:ascii="Times New Roman" w:hAnsi="Times New Roman" w:cs="Times New Roman"/>
          <w:b/>
          <w:color w:val="000000" w:themeColor="text1"/>
          <w:sz w:val="24"/>
          <w:szCs w:val="24"/>
        </w:rPr>
        <w:t>.</w:t>
      </w:r>
      <w:r w:rsidRPr="00191ACB">
        <w:rPr>
          <w:rFonts w:ascii="Times New Roman" w:hAnsi="Times New Roman" w:cs="Times New Roman"/>
          <w:color w:val="000000" w:themeColor="text1"/>
          <w:sz w:val="24"/>
          <w:szCs w:val="24"/>
        </w:rPr>
        <w:t xml:space="preserve"> Data on Incineration and Open Burning was obtained from ZAMSTATS, Ministry of Health and Ministry of Local Government. Data on wastewater treatment and discharge were based on installed capacities from NWASCO.  Default values for Biochemical Oxygen Demand (BOD) generation per capita were used.</w:t>
      </w:r>
    </w:p>
    <w:p w14:paraId="0C5A3B8F" w14:textId="77777777" w:rsidR="00A34126" w:rsidRPr="00191ACB" w:rsidRDefault="00A34126" w:rsidP="005E626A">
      <w:pPr>
        <w:spacing w:after="120" w:line="240" w:lineRule="auto"/>
        <w:jc w:val="both"/>
        <w:rPr>
          <w:rFonts w:ascii="Times New Roman" w:hAnsi="Times New Roman" w:cs="Times New Roman"/>
          <w:color w:val="000000" w:themeColor="text1"/>
          <w:sz w:val="24"/>
          <w:szCs w:val="24"/>
        </w:rPr>
      </w:pPr>
    </w:p>
    <w:p w14:paraId="49A9C9F8" w14:textId="313EAD60" w:rsidR="00214971" w:rsidRPr="00191ACB" w:rsidRDefault="00214971" w:rsidP="00F57665">
      <w:pPr>
        <w:spacing w:after="120" w:line="276" w:lineRule="auto"/>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rPr>
        <w:t xml:space="preserve"> </w:t>
      </w:r>
      <w:r w:rsidRPr="00191ACB">
        <w:rPr>
          <w:rFonts w:ascii="Times New Roman" w:hAnsi="Times New Roman" w:cs="Times New Roman"/>
          <w:color w:val="000000" w:themeColor="text1"/>
          <w:sz w:val="24"/>
          <w:szCs w:val="24"/>
          <w:highlight w:val="white"/>
        </w:rPr>
        <w:t>The assumptions made were as follows:</w:t>
      </w:r>
    </w:p>
    <w:p w14:paraId="11B60929" w14:textId="00544D0E" w:rsidR="00214971" w:rsidRPr="00191ACB" w:rsidRDefault="00214971" w:rsidP="00F57665">
      <w:pPr>
        <w:spacing w:after="120" w:line="276" w:lineRule="auto"/>
        <w:ind w:left="360"/>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1.  The number of persons per household was estimated to be six (6), based on the WHO/UN</w:t>
      </w:r>
      <w:r w:rsidR="00117ECD">
        <w:rPr>
          <w:rFonts w:ascii="Times New Roman" w:hAnsi="Times New Roman" w:cs="Times New Roman"/>
          <w:color w:val="000000" w:themeColor="text1"/>
          <w:sz w:val="24"/>
          <w:szCs w:val="24"/>
          <w:highlight w:val="white"/>
        </w:rPr>
        <w:t>I</w:t>
      </w:r>
      <w:r w:rsidRPr="00191ACB">
        <w:rPr>
          <w:rFonts w:ascii="Times New Roman" w:hAnsi="Times New Roman" w:cs="Times New Roman"/>
          <w:color w:val="000000" w:themeColor="text1"/>
          <w:sz w:val="24"/>
          <w:szCs w:val="24"/>
          <w:highlight w:val="white"/>
        </w:rPr>
        <w:t>CEF Joint Monitoring Programme (JMP) standard set of household categorization. The number of households was estimated by dividing the number of persons per household with the population</w:t>
      </w:r>
      <w:r w:rsidR="003E4AD7" w:rsidRPr="00191ACB">
        <w:rPr>
          <w:rFonts w:ascii="Times New Roman" w:hAnsi="Times New Roman" w:cs="Times New Roman"/>
          <w:color w:val="000000" w:themeColor="text1"/>
          <w:sz w:val="24"/>
          <w:szCs w:val="24"/>
          <w:highlight w:val="white"/>
        </w:rPr>
        <w:t xml:space="preserve"> to determine the number of people serviced by commercial utilities</w:t>
      </w:r>
    </w:p>
    <w:p w14:paraId="0F8A2A1D" w14:textId="77777777" w:rsidR="00214971" w:rsidRPr="00191ACB" w:rsidRDefault="00214971" w:rsidP="00F57665">
      <w:pPr>
        <w:spacing w:before="240" w:after="120" w:line="276" w:lineRule="auto"/>
        <w:ind w:left="360"/>
        <w:jc w:val="both"/>
        <w:rPr>
          <w:rFonts w:ascii="Times New Roman" w:hAnsi="Times New Roman" w:cs="Times New Roman"/>
          <w:color w:val="000000" w:themeColor="text1"/>
          <w:sz w:val="24"/>
          <w:szCs w:val="24"/>
          <w:highlight w:val="white"/>
        </w:rPr>
      </w:pPr>
      <w:r w:rsidRPr="00191ACB">
        <w:rPr>
          <w:rFonts w:ascii="Times New Roman" w:hAnsi="Times New Roman" w:cs="Times New Roman"/>
          <w:color w:val="000000" w:themeColor="text1"/>
          <w:sz w:val="24"/>
          <w:szCs w:val="24"/>
          <w:highlight w:val="white"/>
        </w:rPr>
        <w:t>2.  The average households using pit latrine was estimated to be 74.8 percent, based on the 2015 Living Conditions Monitoring Survey report.</w:t>
      </w:r>
    </w:p>
    <w:p w14:paraId="62BA5ABA" w14:textId="77777777" w:rsidR="004678D3" w:rsidRPr="00191ACB" w:rsidRDefault="004678D3" w:rsidP="005E626A">
      <w:pPr>
        <w:spacing w:before="240" w:after="120" w:line="240" w:lineRule="auto"/>
        <w:ind w:left="360"/>
        <w:jc w:val="both"/>
        <w:rPr>
          <w:rFonts w:ascii="Times New Roman" w:hAnsi="Times New Roman" w:cs="Times New Roman"/>
          <w:color w:val="000000" w:themeColor="text1"/>
          <w:sz w:val="24"/>
          <w:szCs w:val="24"/>
          <w:highlight w:val="white"/>
        </w:rPr>
      </w:pPr>
    </w:p>
    <w:p w14:paraId="427E4133" w14:textId="5F824BA5" w:rsidR="00214971" w:rsidRPr="00191ACB" w:rsidRDefault="00214971" w:rsidP="00117ECD">
      <w:pPr>
        <w:pStyle w:val="Heading3"/>
        <w:numPr>
          <w:ilvl w:val="2"/>
          <w:numId w:val="36"/>
        </w:numPr>
        <w:ind w:left="851" w:hanging="851"/>
      </w:pPr>
      <w:bookmarkStart w:id="283" w:name="_Toc48427357"/>
      <w:bookmarkStart w:id="284" w:name="_Toc57902857"/>
      <w:r w:rsidRPr="00191ACB">
        <w:t>Uncertainties</w:t>
      </w:r>
      <w:bookmarkEnd w:id="283"/>
      <w:bookmarkEnd w:id="284"/>
      <w:r w:rsidRPr="00191ACB">
        <w:t xml:space="preserve"> </w:t>
      </w:r>
    </w:p>
    <w:p w14:paraId="009810E1" w14:textId="4179FFBA"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w:t>
      </w:r>
      <w:r w:rsidR="00117ECD">
        <w:rPr>
          <w:rFonts w:ascii="Times New Roman" w:hAnsi="Times New Roman" w:cs="Times New Roman"/>
          <w:color w:val="000000" w:themeColor="text1"/>
          <w:sz w:val="24"/>
          <w:szCs w:val="24"/>
        </w:rPr>
        <w:t>u</w:t>
      </w:r>
      <w:r w:rsidRPr="00191ACB">
        <w:rPr>
          <w:rFonts w:ascii="Times New Roman" w:hAnsi="Times New Roman" w:cs="Times New Roman"/>
          <w:color w:val="000000" w:themeColor="text1"/>
          <w:sz w:val="24"/>
          <w:szCs w:val="24"/>
        </w:rPr>
        <w:t xml:space="preserve">ncertainty </w:t>
      </w:r>
      <w:r w:rsidR="00117ECD">
        <w:rPr>
          <w:rFonts w:ascii="Times New Roman" w:hAnsi="Times New Roman" w:cs="Times New Roman"/>
          <w:color w:val="000000" w:themeColor="text1"/>
          <w:sz w:val="24"/>
          <w:szCs w:val="24"/>
        </w:rPr>
        <w:t>a</w:t>
      </w:r>
      <w:r w:rsidRPr="00191ACB">
        <w:rPr>
          <w:rFonts w:ascii="Times New Roman" w:hAnsi="Times New Roman" w:cs="Times New Roman"/>
          <w:color w:val="000000" w:themeColor="text1"/>
          <w:sz w:val="24"/>
          <w:szCs w:val="24"/>
        </w:rPr>
        <w:t>nalysis for</w:t>
      </w:r>
      <w:r w:rsidR="003E4AD7" w:rsidRPr="00191ACB">
        <w:rPr>
          <w:rFonts w:ascii="Times New Roman" w:hAnsi="Times New Roman" w:cs="Times New Roman"/>
          <w:color w:val="000000" w:themeColor="text1"/>
          <w:sz w:val="24"/>
          <w:szCs w:val="24"/>
        </w:rPr>
        <w:t xml:space="preserve"> the</w:t>
      </w:r>
      <w:r w:rsidRPr="00191ACB">
        <w:rPr>
          <w:rFonts w:ascii="Times New Roman" w:hAnsi="Times New Roman" w:cs="Times New Roman"/>
          <w:color w:val="000000" w:themeColor="text1"/>
          <w:sz w:val="24"/>
          <w:szCs w:val="24"/>
        </w:rPr>
        <w:t xml:space="preserve"> Waste sector was estimated using </w:t>
      </w:r>
      <w:r w:rsidR="003E4AD7" w:rsidRPr="00191ACB">
        <w:rPr>
          <w:rFonts w:ascii="Times New Roman" w:hAnsi="Times New Roman" w:cs="Times New Roman"/>
          <w:color w:val="000000" w:themeColor="text1"/>
          <w:sz w:val="24"/>
          <w:szCs w:val="24"/>
        </w:rPr>
        <w:t>tier 1 method.</w:t>
      </w:r>
      <w:r w:rsidRPr="00191ACB">
        <w:rPr>
          <w:rFonts w:ascii="Times New Roman" w:hAnsi="Times New Roman" w:cs="Times New Roman"/>
          <w:color w:val="000000" w:themeColor="text1"/>
          <w:sz w:val="24"/>
          <w:szCs w:val="24"/>
        </w:rPr>
        <w:t xml:space="preserve"> Data for estimating emissions in the Waste sector was estimated from population, GDP, and other factors includ</w:t>
      </w:r>
      <w:r w:rsidR="003E4AD7" w:rsidRPr="00191ACB">
        <w:rPr>
          <w:rFonts w:ascii="Times New Roman" w:hAnsi="Times New Roman" w:cs="Times New Roman"/>
          <w:color w:val="000000" w:themeColor="text1"/>
          <w:sz w:val="24"/>
          <w:szCs w:val="24"/>
        </w:rPr>
        <w:t>ing</w:t>
      </w:r>
      <w:r w:rsidRPr="00191ACB">
        <w:rPr>
          <w:rFonts w:ascii="Times New Roman" w:hAnsi="Times New Roman" w:cs="Times New Roman"/>
          <w:color w:val="000000" w:themeColor="text1"/>
          <w:sz w:val="24"/>
          <w:szCs w:val="24"/>
        </w:rPr>
        <w:t xml:space="preserve"> waste characterisation. </w:t>
      </w:r>
      <w:r w:rsidR="003E4AD7" w:rsidRPr="00191ACB">
        <w:rPr>
          <w:rFonts w:ascii="Times New Roman" w:hAnsi="Times New Roman" w:cs="Times New Roman"/>
          <w:color w:val="000000" w:themeColor="text1"/>
          <w:sz w:val="24"/>
          <w:szCs w:val="24"/>
        </w:rPr>
        <w:t>T</w:t>
      </w:r>
      <w:r w:rsidRPr="00191ACB">
        <w:rPr>
          <w:rFonts w:ascii="Times New Roman" w:hAnsi="Times New Roman" w:cs="Times New Roman"/>
          <w:color w:val="000000" w:themeColor="text1"/>
          <w:sz w:val="24"/>
          <w:szCs w:val="24"/>
        </w:rPr>
        <w:t>he uncertainty</w:t>
      </w:r>
      <w:r w:rsidR="003E4AD7" w:rsidRPr="00191ACB">
        <w:rPr>
          <w:rFonts w:ascii="Times New Roman" w:hAnsi="Times New Roman" w:cs="Times New Roman"/>
          <w:color w:val="000000" w:themeColor="text1"/>
          <w:sz w:val="24"/>
          <w:szCs w:val="24"/>
        </w:rPr>
        <w:t xml:space="preserve"> for SWDS</w:t>
      </w:r>
      <w:r w:rsidRPr="00191ACB">
        <w:rPr>
          <w:rFonts w:ascii="Times New Roman" w:hAnsi="Times New Roman" w:cs="Times New Roman"/>
          <w:color w:val="000000" w:themeColor="text1"/>
          <w:sz w:val="24"/>
          <w:szCs w:val="24"/>
        </w:rPr>
        <w:t xml:space="preserve"> was estimated </w:t>
      </w:r>
      <w:r w:rsidR="003E4AD7" w:rsidRPr="00191ACB">
        <w:rPr>
          <w:rFonts w:ascii="Times New Roman" w:hAnsi="Times New Roman" w:cs="Times New Roman"/>
          <w:color w:val="000000" w:themeColor="text1"/>
          <w:sz w:val="24"/>
          <w:szCs w:val="24"/>
        </w:rPr>
        <w:t>at</w:t>
      </w:r>
      <w:r w:rsidRPr="00191ACB">
        <w:rPr>
          <w:rFonts w:ascii="Times New Roman" w:hAnsi="Times New Roman" w:cs="Times New Roman"/>
          <w:color w:val="000000" w:themeColor="text1"/>
          <w:sz w:val="24"/>
          <w:szCs w:val="24"/>
        </w:rPr>
        <w:t xml:space="preserve"> ±50%. For wastewater activity data was obtained from installed capacities, thus the uncertainty w</w:t>
      </w:r>
      <w:r w:rsidR="003E4AD7" w:rsidRPr="00191ACB">
        <w:rPr>
          <w:rFonts w:ascii="Times New Roman" w:hAnsi="Times New Roman" w:cs="Times New Roman"/>
          <w:color w:val="000000" w:themeColor="text1"/>
          <w:sz w:val="24"/>
          <w:szCs w:val="24"/>
        </w:rPr>
        <w:t>as</w:t>
      </w:r>
      <w:r w:rsidRPr="00191ACB">
        <w:rPr>
          <w:rFonts w:ascii="Times New Roman" w:hAnsi="Times New Roman" w:cs="Times New Roman"/>
          <w:color w:val="000000" w:themeColor="text1"/>
          <w:sz w:val="24"/>
          <w:szCs w:val="24"/>
        </w:rPr>
        <w:t xml:space="preserve"> estimated at ±30%.  </w:t>
      </w:r>
    </w:p>
    <w:p w14:paraId="67125377" w14:textId="77777777" w:rsidR="004678D3" w:rsidRPr="00191ACB" w:rsidRDefault="004678D3" w:rsidP="005E626A">
      <w:pPr>
        <w:spacing w:after="120" w:line="240" w:lineRule="auto"/>
        <w:jc w:val="both"/>
        <w:rPr>
          <w:rFonts w:ascii="Times New Roman" w:hAnsi="Times New Roman" w:cs="Times New Roman"/>
          <w:color w:val="000000" w:themeColor="text1"/>
          <w:sz w:val="24"/>
          <w:szCs w:val="24"/>
        </w:rPr>
      </w:pPr>
    </w:p>
    <w:p w14:paraId="64CC48ED" w14:textId="5B343839" w:rsidR="00214971" w:rsidRPr="00117ECD" w:rsidRDefault="00214971" w:rsidP="00117ECD">
      <w:pPr>
        <w:pStyle w:val="Heading3"/>
        <w:numPr>
          <w:ilvl w:val="2"/>
          <w:numId w:val="36"/>
        </w:numPr>
        <w:ind w:left="851" w:hanging="851"/>
      </w:pPr>
      <w:bookmarkStart w:id="285" w:name="_Toc15311529"/>
      <w:bookmarkStart w:id="286" w:name="_Toc48427358"/>
      <w:bookmarkStart w:id="287" w:name="_Toc57902858"/>
      <w:r w:rsidRPr="00117ECD">
        <w:t>QA/QC and verification</w:t>
      </w:r>
      <w:bookmarkEnd w:id="285"/>
      <w:bookmarkEnd w:id="286"/>
      <w:bookmarkEnd w:id="287"/>
    </w:p>
    <w:p w14:paraId="3A06CF56" w14:textId="448F2FE7" w:rsidR="000C47EC" w:rsidRPr="00191ACB" w:rsidRDefault="00A34126"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Data collected from various sources was compared and compiled for use in emission estimation. Data was verified for QA/QC.</w:t>
      </w:r>
    </w:p>
    <w:p w14:paraId="57456383" w14:textId="7321DC3C" w:rsidR="00214971" w:rsidRPr="00117ECD" w:rsidRDefault="00214971" w:rsidP="00117ECD">
      <w:pPr>
        <w:pStyle w:val="Heading3"/>
        <w:numPr>
          <w:ilvl w:val="2"/>
          <w:numId w:val="36"/>
        </w:numPr>
        <w:ind w:left="851" w:hanging="851"/>
      </w:pPr>
      <w:bookmarkStart w:id="288" w:name="_Toc15311530"/>
      <w:bookmarkStart w:id="289" w:name="_Toc48427359"/>
      <w:bookmarkStart w:id="290" w:name="_Toc57902859"/>
      <w:r w:rsidRPr="00117ECD">
        <w:t>Recalculation</w:t>
      </w:r>
      <w:bookmarkEnd w:id="288"/>
      <w:bookmarkEnd w:id="289"/>
      <w:r w:rsidR="00117ECD" w:rsidRPr="00117ECD">
        <w:t>s</w:t>
      </w:r>
      <w:bookmarkEnd w:id="290"/>
    </w:p>
    <w:p w14:paraId="1C077CFF" w14:textId="68315798"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There were no recalculations undertaken in the Waste sector</w:t>
      </w:r>
      <w:r w:rsidR="006A73F2" w:rsidRPr="00191ACB">
        <w:rPr>
          <w:rFonts w:ascii="Times New Roman" w:hAnsi="Times New Roman" w:cs="Times New Roman"/>
          <w:color w:val="000000" w:themeColor="text1"/>
          <w:sz w:val="24"/>
          <w:szCs w:val="24"/>
        </w:rPr>
        <w:t xml:space="preserve"> </w:t>
      </w:r>
      <w:r w:rsidR="006A73F2" w:rsidRPr="00191ACB">
        <w:rPr>
          <w:rFonts w:ascii="Times New Roman" w:hAnsi="Times New Roman" w:cs="Times New Roman"/>
          <w:sz w:val="24"/>
          <w:szCs w:val="24"/>
        </w:rPr>
        <w:t xml:space="preserve">because </w:t>
      </w:r>
      <w:r w:rsidR="00F8299A" w:rsidRPr="00191ACB">
        <w:rPr>
          <w:rFonts w:ascii="Times New Roman" w:hAnsi="Times New Roman" w:cs="Times New Roman"/>
          <w:sz w:val="24"/>
          <w:szCs w:val="24"/>
        </w:rPr>
        <w:t>the</w:t>
      </w:r>
      <w:r w:rsidR="00F8299A" w:rsidRPr="00191ACB">
        <w:rPr>
          <w:rFonts w:ascii="Times New Roman" w:hAnsi="Times New Roman" w:cs="Times New Roman"/>
          <w:color w:val="000000" w:themeColor="text1"/>
          <w:sz w:val="24"/>
          <w:szCs w:val="24"/>
        </w:rPr>
        <w:t xml:space="preserve"> methodology</w:t>
      </w:r>
      <w:r w:rsidR="006A73F2" w:rsidRPr="00191ACB">
        <w:rPr>
          <w:rFonts w:ascii="Times New Roman" w:hAnsi="Times New Roman" w:cs="Times New Roman"/>
          <w:color w:val="000000" w:themeColor="text1"/>
          <w:sz w:val="24"/>
          <w:szCs w:val="24"/>
        </w:rPr>
        <w:t xml:space="preserve"> use</w:t>
      </w:r>
      <w:r w:rsidR="00F8299A" w:rsidRPr="00191ACB">
        <w:rPr>
          <w:rFonts w:ascii="Times New Roman" w:hAnsi="Times New Roman" w:cs="Times New Roman"/>
          <w:color w:val="000000" w:themeColor="text1"/>
          <w:sz w:val="24"/>
          <w:szCs w:val="24"/>
        </w:rPr>
        <w:t>d</w:t>
      </w:r>
      <w:r w:rsidR="006A73F2" w:rsidRPr="00191ACB">
        <w:rPr>
          <w:rFonts w:ascii="Times New Roman" w:hAnsi="Times New Roman" w:cs="Times New Roman"/>
          <w:color w:val="000000" w:themeColor="text1"/>
          <w:sz w:val="24"/>
          <w:szCs w:val="24"/>
        </w:rPr>
        <w:t xml:space="preserve"> in the TNC was not changed in the BUR</w:t>
      </w:r>
      <w:r w:rsidR="008C6773" w:rsidRPr="00191ACB">
        <w:rPr>
          <w:rFonts w:ascii="Times New Roman" w:hAnsi="Times New Roman" w:cs="Times New Roman"/>
          <w:color w:val="000000" w:themeColor="text1"/>
          <w:sz w:val="24"/>
          <w:szCs w:val="24"/>
        </w:rPr>
        <w:t>.</w:t>
      </w:r>
    </w:p>
    <w:p w14:paraId="770C02E0" w14:textId="77777777" w:rsidR="008C6773" w:rsidRPr="00191ACB" w:rsidRDefault="008C6773" w:rsidP="008C6773">
      <w:pPr>
        <w:spacing w:after="120" w:line="240" w:lineRule="auto"/>
        <w:rPr>
          <w:rFonts w:ascii="Times New Roman" w:hAnsi="Times New Roman" w:cs="Times New Roman"/>
          <w:color w:val="000000" w:themeColor="text1"/>
          <w:sz w:val="24"/>
          <w:szCs w:val="24"/>
        </w:rPr>
      </w:pPr>
    </w:p>
    <w:p w14:paraId="66530565" w14:textId="4791B706" w:rsidR="00214971" w:rsidRPr="00117ECD" w:rsidRDefault="00214971" w:rsidP="00117ECD">
      <w:pPr>
        <w:pStyle w:val="Heading3"/>
        <w:numPr>
          <w:ilvl w:val="2"/>
          <w:numId w:val="36"/>
        </w:numPr>
        <w:ind w:left="851" w:hanging="851"/>
      </w:pPr>
      <w:bookmarkStart w:id="291" w:name="_Toc15311531"/>
      <w:bookmarkStart w:id="292" w:name="_Toc48427360"/>
      <w:bookmarkStart w:id="293" w:name="_Toc57902860"/>
      <w:r w:rsidRPr="00117ECD">
        <w:t>Planned improvements</w:t>
      </w:r>
      <w:bookmarkEnd w:id="291"/>
      <w:bookmarkEnd w:id="292"/>
      <w:bookmarkEnd w:id="293"/>
      <w:r w:rsidRPr="00117ECD">
        <w:t xml:space="preserve"> </w:t>
      </w:r>
    </w:p>
    <w:p w14:paraId="15C144A7" w14:textId="77777777" w:rsidR="00F531DF" w:rsidRPr="00191ACB" w:rsidRDefault="00F531DF" w:rsidP="005E626A">
      <w:pPr>
        <w:pStyle w:val="NoSpacing"/>
        <w:spacing w:after="120"/>
        <w:jc w:val="both"/>
        <w:rPr>
          <w:rFonts w:ascii="Times New Roman" w:hAnsi="Times New Roman" w:cs="Times New Roman"/>
          <w:b/>
          <w:color w:val="000000" w:themeColor="text1"/>
          <w:sz w:val="24"/>
          <w:szCs w:val="24"/>
        </w:rPr>
      </w:pPr>
    </w:p>
    <w:p w14:paraId="1A02EDD4" w14:textId="3F82BE09" w:rsidR="00214971" w:rsidRPr="00191ACB" w:rsidRDefault="00214971" w:rsidP="00E435F6">
      <w:pPr>
        <w:pStyle w:val="NoSpacing"/>
        <w:numPr>
          <w:ilvl w:val="3"/>
          <w:numId w:val="36"/>
        </w:numPr>
        <w:spacing w:after="120"/>
        <w:ind w:left="993" w:hanging="993"/>
        <w:jc w:val="both"/>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Gaps on activity data collection, emission factors</w:t>
      </w:r>
    </w:p>
    <w:p w14:paraId="7D6A9456" w14:textId="5EFEF2F8" w:rsidR="00214971" w:rsidRPr="00191ACB" w:rsidRDefault="00214971"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highlight w:val="white"/>
        </w:rPr>
        <w:t>There w</w:t>
      </w:r>
      <w:r w:rsidR="00053BCF" w:rsidRPr="00191ACB">
        <w:rPr>
          <w:rFonts w:ascii="Times New Roman" w:hAnsi="Times New Roman" w:cs="Times New Roman"/>
          <w:color w:val="000000" w:themeColor="text1"/>
          <w:sz w:val="24"/>
          <w:szCs w:val="24"/>
          <w:highlight w:val="white"/>
        </w:rPr>
        <w:t>ere</w:t>
      </w:r>
      <w:r w:rsidRPr="00191ACB">
        <w:rPr>
          <w:rFonts w:ascii="Times New Roman" w:hAnsi="Times New Roman" w:cs="Times New Roman"/>
          <w:color w:val="000000" w:themeColor="text1"/>
          <w:sz w:val="24"/>
          <w:szCs w:val="24"/>
          <w:highlight w:val="white"/>
        </w:rPr>
        <w:t xml:space="preserve"> gaps in the activity data for all the sub categories</w:t>
      </w:r>
      <w:r w:rsidR="00053BCF" w:rsidRPr="00191ACB">
        <w:rPr>
          <w:rFonts w:ascii="Times New Roman" w:hAnsi="Times New Roman" w:cs="Times New Roman"/>
          <w:color w:val="000000" w:themeColor="text1"/>
          <w:sz w:val="24"/>
          <w:szCs w:val="24"/>
          <w:highlight w:val="white"/>
        </w:rPr>
        <w:t xml:space="preserve"> as well as emission factors</w:t>
      </w:r>
      <w:r w:rsidRPr="00191ACB">
        <w:rPr>
          <w:rFonts w:ascii="Times New Roman" w:hAnsi="Times New Roman" w:cs="Times New Roman"/>
          <w:color w:val="000000" w:themeColor="text1"/>
          <w:sz w:val="24"/>
          <w:szCs w:val="24"/>
          <w:highlight w:val="white"/>
        </w:rPr>
        <w:t>. As a result, default values from the IPCC Guidelines and software were used</w:t>
      </w:r>
      <w:r w:rsidR="00053BCF" w:rsidRPr="00191ACB">
        <w:rPr>
          <w:rFonts w:ascii="Times New Roman" w:hAnsi="Times New Roman" w:cs="Times New Roman"/>
          <w:color w:val="000000" w:themeColor="text1"/>
          <w:sz w:val="24"/>
          <w:szCs w:val="24"/>
          <w:highlight w:val="white"/>
        </w:rPr>
        <w:t>.</w:t>
      </w:r>
      <w:r w:rsidRPr="00191ACB">
        <w:rPr>
          <w:rFonts w:ascii="Times New Roman" w:hAnsi="Times New Roman" w:cs="Times New Roman"/>
          <w:color w:val="000000" w:themeColor="text1"/>
          <w:sz w:val="24"/>
          <w:szCs w:val="24"/>
          <w:highlight w:val="white"/>
        </w:rPr>
        <w:t xml:space="preserve"> </w:t>
      </w:r>
    </w:p>
    <w:p w14:paraId="1CF6DAAC" w14:textId="47DE4A19" w:rsidR="004678D3" w:rsidRPr="00191ACB" w:rsidRDefault="004678D3" w:rsidP="005E626A">
      <w:pPr>
        <w:pStyle w:val="NoSpacing"/>
        <w:spacing w:after="120"/>
        <w:rPr>
          <w:rFonts w:ascii="Times New Roman" w:hAnsi="Times New Roman" w:cs="Times New Roman"/>
          <w:b/>
          <w:color w:val="000000" w:themeColor="text1"/>
          <w:sz w:val="24"/>
          <w:szCs w:val="24"/>
        </w:rPr>
      </w:pPr>
    </w:p>
    <w:p w14:paraId="7CC99B87" w14:textId="77777777" w:rsidR="00214971" w:rsidRPr="00191ACB" w:rsidRDefault="00214971" w:rsidP="00E435F6">
      <w:pPr>
        <w:pStyle w:val="NoSpacing"/>
        <w:numPr>
          <w:ilvl w:val="3"/>
          <w:numId w:val="36"/>
        </w:numPr>
        <w:spacing w:after="120"/>
        <w:ind w:left="993" w:hanging="993"/>
        <w:jc w:val="both"/>
        <w:rPr>
          <w:rFonts w:ascii="Times New Roman" w:hAnsi="Times New Roman" w:cs="Times New Roman"/>
          <w:b/>
          <w:color w:val="000000" w:themeColor="text1"/>
          <w:sz w:val="24"/>
          <w:szCs w:val="24"/>
        </w:rPr>
      </w:pPr>
      <w:r w:rsidRPr="00191ACB">
        <w:rPr>
          <w:rFonts w:ascii="Times New Roman" w:hAnsi="Times New Roman" w:cs="Times New Roman"/>
          <w:b/>
          <w:color w:val="000000" w:themeColor="text1"/>
          <w:sz w:val="24"/>
          <w:szCs w:val="24"/>
        </w:rPr>
        <w:t>Planned improvements</w:t>
      </w:r>
    </w:p>
    <w:p w14:paraId="5D6086A6" w14:textId="59CE8F3D" w:rsidR="00214971" w:rsidRPr="00191ACB" w:rsidRDefault="00053BCF" w:rsidP="00F57665">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In order to enhance future inventories under waste, the following improvements were identified and recommended:</w:t>
      </w:r>
    </w:p>
    <w:p w14:paraId="1F81A076" w14:textId="2373CE0C" w:rsidR="00214971" w:rsidRPr="00191ACB" w:rsidRDefault="00053BCF" w:rsidP="00F57665">
      <w:pPr>
        <w:numPr>
          <w:ilvl w:val="0"/>
          <w:numId w:val="35"/>
        </w:numPr>
        <w:spacing w:before="240"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Undertake waste characterization and quantification of solid waste;</w:t>
      </w:r>
      <w:r w:rsidR="00214971" w:rsidRPr="00191ACB">
        <w:rPr>
          <w:rFonts w:ascii="Times New Roman" w:hAnsi="Times New Roman" w:cs="Times New Roman"/>
          <w:color w:val="000000" w:themeColor="text1"/>
          <w:sz w:val="24"/>
          <w:szCs w:val="24"/>
        </w:rPr>
        <w:t xml:space="preserve"> </w:t>
      </w:r>
    </w:p>
    <w:p w14:paraId="4AF586FD" w14:textId="3417AEC3" w:rsidR="00214971" w:rsidRPr="00191ACB" w:rsidRDefault="00A763CE" w:rsidP="00F57665">
      <w:pPr>
        <w:pStyle w:val="ListParagraph"/>
        <w:numPr>
          <w:ilvl w:val="0"/>
          <w:numId w:val="35"/>
        </w:numPr>
        <w:spacing w:before="240" w:after="120"/>
        <w:jc w:val="both"/>
        <w:rPr>
          <w:color w:val="000000" w:themeColor="text1"/>
          <w:highlight w:val="white"/>
        </w:rPr>
      </w:pPr>
      <w:r w:rsidRPr="00191ACB">
        <w:rPr>
          <w:color w:val="000000" w:themeColor="text1"/>
        </w:rPr>
        <w:t>Undertake research and surveys to collect data on waste incineration and cremation</w:t>
      </w:r>
      <w:r w:rsidR="00214971" w:rsidRPr="00191ACB">
        <w:rPr>
          <w:color w:val="000000" w:themeColor="text1"/>
          <w:highlight w:val="white"/>
        </w:rPr>
        <w:t>.</w:t>
      </w:r>
    </w:p>
    <w:p w14:paraId="4E2A00E2" w14:textId="65694060" w:rsidR="003C6D42" w:rsidRPr="00191ACB" w:rsidRDefault="00A763CE" w:rsidP="00F57665">
      <w:pPr>
        <w:pStyle w:val="ListParagraph"/>
        <w:numPr>
          <w:ilvl w:val="0"/>
          <w:numId w:val="35"/>
        </w:numPr>
        <w:spacing w:before="240" w:after="240"/>
        <w:jc w:val="both"/>
        <w:rPr>
          <w:color w:val="000000" w:themeColor="text1"/>
          <w:highlight w:val="white"/>
        </w:rPr>
      </w:pPr>
      <w:r w:rsidRPr="00191ACB">
        <w:rPr>
          <w:color w:val="000000" w:themeColor="text1"/>
        </w:rPr>
        <w:t>Enhance data collection mechanisms from</w:t>
      </w:r>
      <w:r w:rsidR="00214971" w:rsidRPr="00191ACB">
        <w:rPr>
          <w:color w:val="000000" w:themeColor="text1"/>
        </w:rPr>
        <w:t xml:space="preserve"> domestic and industrial wastewater at treatment facilities</w:t>
      </w:r>
      <w:r w:rsidRPr="00191ACB">
        <w:rPr>
          <w:color w:val="000000" w:themeColor="text1"/>
          <w:highlight w:val="white"/>
        </w:rPr>
        <w:t>; and</w:t>
      </w:r>
    </w:p>
    <w:p w14:paraId="383DD390" w14:textId="4BBEED14" w:rsidR="00A763CE" w:rsidRPr="00191ACB" w:rsidRDefault="00A763CE" w:rsidP="00F57665">
      <w:pPr>
        <w:pStyle w:val="ListParagraph"/>
        <w:numPr>
          <w:ilvl w:val="0"/>
          <w:numId w:val="35"/>
        </w:numPr>
        <w:spacing w:before="240" w:after="240"/>
        <w:jc w:val="both"/>
        <w:rPr>
          <w:color w:val="000000" w:themeColor="text1"/>
          <w:highlight w:val="white"/>
        </w:rPr>
      </w:pPr>
      <w:r w:rsidRPr="00191ACB">
        <w:rPr>
          <w:color w:val="000000" w:themeColor="text1"/>
          <w:highlight w:val="white"/>
        </w:rPr>
        <w:lastRenderedPageBreak/>
        <w:t>Support investment in infrastructure for solid and wastewater management.</w:t>
      </w:r>
    </w:p>
    <w:p w14:paraId="0D78B70F" w14:textId="77777777" w:rsidR="00053BCF" w:rsidRPr="00191ACB" w:rsidRDefault="00053BCF" w:rsidP="00053BCF">
      <w:pPr>
        <w:pStyle w:val="ListParagraph"/>
        <w:spacing w:before="240" w:after="240" w:line="240" w:lineRule="auto"/>
        <w:jc w:val="both"/>
        <w:rPr>
          <w:color w:val="000000" w:themeColor="text1"/>
          <w:highlight w:val="white"/>
        </w:rPr>
      </w:pPr>
    </w:p>
    <w:p w14:paraId="01F04649" w14:textId="77777777" w:rsidR="003C6D42" w:rsidRPr="00191ACB" w:rsidRDefault="003C6D42" w:rsidP="003C6D42">
      <w:pPr>
        <w:spacing w:before="240" w:after="240"/>
        <w:jc w:val="both"/>
        <w:rPr>
          <w:rFonts w:ascii="Times New Roman" w:hAnsi="Times New Roman" w:cs="Times New Roman"/>
          <w:color w:val="000000" w:themeColor="text1"/>
          <w:sz w:val="24"/>
          <w:szCs w:val="24"/>
          <w:highlight w:val="white"/>
        </w:rPr>
      </w:pPr>
    </w:p>
    <w:p w14:paraId="738B3856" w14:textId="4F4B6554" w:rsidR="00A6379A" w:rsidRPr="00191ACB" w:rsidRDefault="00A6379A" w:rsidP="00E435F6">
      <w:pPr>
        <w:pStyle w:val="Heading1"/>
        <w:numPr>
          <w:ilvl w:val="0"/>
          <w:numId w:val="36"/>
        </w:numPr>
        <w:spacing w:after="120" w:line="240" w:lineRule="auto"/>
        <w:rPr>
          <w:rFonts w:ascii="Times New Roman" w:hAnsi="Times New Roman" w:cs="Times New Roman"/>
          <w:b/>
          <w:color w:val="000000" w:themeColor="text1"/>
          <w:sz w:val="24"/>
          <w:szCs w:val="24"/>
        </w:rPr>
      </w:pPr>
      <w:bookmarkStart w:id="294" w:name="_Toc57902861"/>
      <w:bookmarkEnd w:id="84"/>
      <w:r w:rsidRPr="00191ACB">
        <w:rPr>
          <w:rFonts w:ascii="Times New Roman" w:hAnsi="Times New Roman" w:cs="Times New Roman"/>
          <w:b/>
          <w:color w:val="000000" w:themeColor="text1"/>
          <w:sz w:val="24"/>
          <w:szCs w:val="24"/>
        </w:rPr>
        <w:t>MITIGATION ACTIONS AND THEIR EFFECTS</w:t>
      </w:r>
      <w:bookmarkEnd w:id="294"/>
    </w:p>
    <w:p w14:paraId="10BF3A1E" w14:textId="1114BC1E" w:rsidR="00417092" w:rsidRDefault="00A3068E" w:rsidP="00F57665">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bCs/>
          <w:color w:val="000000" w:themeColor="text1"/>
          <w:sz w:val="24"/>
          <w:szCs w:val="24"/>
        </w:rPr>
        <w:t>The o</w:t>
      </w:r>
      <w:r w:rsidR="00417092" w:rsidRPr="00191ACB">
        <w:rPr>
          <w:rFonts w:ascii="Times New Roman" w:eastAsia="Calibri" w:hAnsi="Times New Roman" w:cs="Times New Roman"/>
          <w:bCs/>
          <w:color w:val="000000" w:themeColor="text1"/>
          <w:sz w:val="24"/>
          <w:szCs w:val="24"/>
        </w:rPr>
        <w:t>verall mitigation goal for Zambia is to reduce GHG emissions by 38,000 Gg CO</w:t>
      </w:r>
      <w:r w:rsidR="00417092" w:rsidRPr="00191ACB">
        <w:rPr>
          <w:rFonts w:ascii="Times New Roman" w:eastAsia="Calibri" w:hAnsi="Times New Roman" w:cs="Times New Roman"/>
          <w:bCs/>
          <w:color w:val="000000" w:themeColor="text1"/>
          <w:sz w:val="24"/>
          <w:szCs w:val="24"/>
          <w:vertAlign w:val="subscript"/>
        </w:rPr>
        <w:t>2</w:t>
      </w:r>
      <w:r w:rsidRPr="00191ACB">
        <w:rPr>
          <w:rFonts w:ascii="Times New Roman" w:eastAsia="Calibri" w:hAnsi="Times New Roman" w:cs="Times New Roman"/>
          <w:bCs/>
          <w:color w:val="000000" w:themeColor="text1"/>
          <w:sz w:val="24"/>
          <w:szCs w:val="24"/>
          <w:vertAlign w:val="subscript"/>
        </w:rPr>
        <w:t xml:space="preserve"> eq</w:t>
      </w:r>
      <w:r w:rsidR="00417092" w:rsidRPr="00191ACB">
        <w:rPr>
          <w:rFonts w:ascii="Times New Roman" w:eastAsia="Calibri" w:hAnsi="Times New Roman" w:cs="Times New Roman"/>
          <w:bCs/>
          <w:color w:val="000000" w:themeColor="text1"/>
          <w:sz w:val="24"/>
          <w:szCs w:val="24"/>
        </w:rPr>
        <w:t xml:space="preserve"> in 2030 against the 2010 base year as Nationally Determined Contribution to the global temperature goal. The mitigation actions consist of a </w:t>
      </w:r>
      <w:r w:rsidR="00417092" w:rsidRPr="00350268">
        <w:rPr>
          <w:rFonts w:ascii="Times New Roman" w:eastAsia="Calibri" w:hAnsi="Times New Roman" w:cs="Times New Roman"/>
          <w:color w:val="000000" w:themeColor="text1"/>
          <w:sz w:val="24"/>
          <w:szCs w:val="24"/>
        </w:rPr>
        <w:t>combination</w:t>
      </w:r>
      <w:r w:rsidR="00417092" w:rsidRPr="00191ACB">
        <w:rPr>
          <w:rFonts w:ascii="Times New Roman" w:eastAsia="Calibri" w:hAnsi="Times New Roman" w:cs="Times New Roman"/>
          <w:bCs/>
          <w:color w:val="000000" w:themeColor="text1"/>
          <w:sz w:val="24"/>
          <w:szCs w:val="24"/>
        </w:rPr>
        <w:t xml:space="preserve"> of climate focused actions and development focused actions. </w:t>
      </w:r>
      <w:r w:rsidR="00417092" w:rsidRPr="00191ACB">
        <w:rPr>
          <w:rFonts w:ascii="Times New Roman" w:eastAsia="Calibri" w:hAnsi="Times New Roman" w:cs="Times New Roman"/>
          <w:color w:val="000000" w:themeColor="text1"/>
          <w:sz w:val="24"/>
          <w:szCs w:val="24"/>
        </w:rPr>
        <w:t xml:space="preserve">In order to ensure low carbon </w:t>
      </w:r>
      <w:r w:rsidRPr="00191ACB">
        <w:rPr>
          <w:rFonts w:ascii="Times New Roman" w:eastAsia="Calibri" w:hAnsi="Times New Roman" w:cs="Times New Roman"/>
          <w:color w:val="000000" w:themeColor="text1"/>
          <w:sz w:val="24"/>
          <w:szCs w:val="24"/>
        </w:rPr>
        <w:t xml:space="preserve">and </w:t>
      </w:r>
      <w:r w:rsidR="00417092" w:rsidRPr="00191ACB">
        <w:rPr>
          <w:rFonts w:ascii="Times New Roman" w:eastAsia="Calibri" w:hAnsi="Times New Roman" w:cs="Times New Roman"/>
          <w:color w:val="000000" w:themeColor="text1"/>
          <w:sz w:val="24"/>
          <w:szCs w:val="24"/>
        </w:rPr>
        <w:t xml:space="preserve">climate resilient economic development, Zambia has put in place policies, strategies, programmes, and projects and the country is still striving to create a more enabling environment for implementation of climate change. </w:t>
      </w:r>
    </w:p>
    <w:p w14:paraId="63818125" w14:textId="77777777" w:rsidR="007D3D9E" w:rsidRPr="00191ACB" w:rsidRDefault="007D3D9E" w:rsidP="005E626A">
      <w:pPr>
        <w:spacing w:after="120" w:line="240" w:lineRule="auto"/>
        <w:jc w:val="both"/>
        <w:rPr>
          <w:rFonts w:ascii="Times New Roman" w:eastAsia="Calibri" w:hAnsi="Times New Roman" w:cs="Times New Roman"/>
          <w:color w:val="000000" w:themeColor="text1"/>
          <w:sz w:val="24"/>
          <w:szCs w:val="24"/>
        </w:rPr>
      </w:pPr>
    </w:p>
    <w:p w14:paraId="17EDC65A" w14:textId="63536348" w:rsidR="00245464" w:rsidRPr="00191ACB" w:rsidRDefault="007D3D9E" w:rsidP="00FD215F">
      <w:pPr>
        <w:pStyle w:val="Heading2"/>
        <w:numPr>
          <w:ilvl w:val="1"/>
          <w:numId w:val="36"/>
        </w:numPr>
        <w:spacing w:after="120" w:line="240" w:lineRule="auto"/>
        <w:ind w:left="851" w:hanging="851"/>
        <w:rPr>
          <w:rFonts w:ascii="Times New Roman" w:eastAsia="Times New Roman" w:hAnsi="Times New Roman" w:cs="Times New Roman"/>
          <w:b/>
          <w:color w:val="000000" w:themeColor="text1"/>
          <w:sz w:val="24"/>
          <w:szCs w:val="24"/>
          <w:lang w:val="en-GB"/>
        </w:rPr>
      </w:pPr>
      <w:bookmarkStart w:id="295" w:name="_Toc13582200"/>
      <w:bookmarkStart w:id="296" w:name="_Toc26264906"/>
      <w:bookmarkStart w:id="297" w:name="_Toc57902862"/>
      <w:r w:rsidRPr="00191ACB">
        <w:rPr>
          <w:rFonts w:ascii="Times New Roman" w:eastAsia="Times New Roman" w:hAnsi="Times New Roman" w:cs="Times New Roman"/>
          <w:b/>
          <w:color w:val="000000" w:themeColor="text1"/>
          <w:sz w:val="24"/>
          <w:szCs w:val="24"/>
          <w:lang w:val="en-GB"/>
        </w:rPr>
        <w:t>EMISSIONS DRIVERS</w:t>
      </w:r>
      <w:bookmarkEnd w:id="295"/>
      <w:bookmarkEnd w:id="296"/>
      <w:bookmarkEnd w:id="297"/>
      <w:r w:rsidRPr="00191ACB">
        <w:rPr>
          <w:rFonts w:ascii="Times New Roman" w:eastAsia="Times New Roman" w:hAnsi="Times New Roman" w:cs="Times New Roman"/>
          <w:b/>
          <w:color w:val="000000" w:themeColor="text1"/>
          <w:sz w:val="24"/>
          <w:szCs w:val="24"/>
          <w:lang w:val="en-GB"/>
        </w:rPr>
        <w:t xml:space="preserve"> </w:t>
      </w:r>
    </w:p>
    <w:p w14:paraId="17DF2465" w14:textId="0C2B4E30" w:rsidR="00245464" w:rsidRPr="00191ACB" w:rsidRDefault="00245464" w:rsidP="00F57665">
      <w:pPr>
        <w:spacing w:after="120" w:line="276" w:lineRule="auto"/>
        <w:jc w:val="both"/>
        <w:rPr>
          <w:rFonts w:ascii="Times New Roman" w:eastAsia="Calibri" w:hAnsi="Times New Roman" w:cs="Times New Roman"/>
          <w:i/>
          <w:color w:val="000000" w:themeColor="text1"/>
          <w:sz w:val="24"/>
          <w:szCs w:val="24"/>
          <w:lang w:val="en-GB"/>
        </w:rPr>
      </w:pPr>
      <w:r w:rsidRPr="00191ACB">
        <w:rPr>
          <w:rFonts w:ascii="Times New Roman" w:eastAsia="Calibri" w:hAnsi="Times New Roman" w:cs="Times New Roman"/>
          <w:color w:val="000000" w:themeColor="text1"/>
          <w:sz w:val="24"/>
          <w:szCs w:val="24"/>
          <w:lang w:val="en-GB" w:eastAsia="x-none"/>
        </w:rPr>
        <w:t xml:space="preserve">This section of the report provides drivers of emissions for </w:t>
      </w:r>
      <w:r w:rsidR="00A3068E" w:rsidRPr="00191ACB">
        <w:rPr>
          <w:rFonts w:ascii="Times New Roman" w:eastAsia="Calibri" w:hAnsi="Times New Roman" w:cs="Times New Roman"/>
          <w:color w:val="000000" w:themeColor="text1"/>
          <w:sz w:val="24"/>
          <w:szCs w:val="24"/>
          <w:lang w:val="en-GB" w:eastAsia="x-none"/>
        </w:rPr>
        <w:t>E</w:t>
      </w:r>
      <w:r w:rsidRPr="00191ACB">
        <w:rPr>
          <w:rFonts w:ascii="Times New Roman" w:eastAsia="Calibri" w:hAnsi="Times New Roman" w:cs="Times New Roman"/>
          <w:color w:val="000000" w:themeColor="text1"/>
          <w:sz w:val="24"/>
          <w:szCs w:val="24"/>
          <w:lang w:val="en-GB" w:eastAsia="x-none"/>
        </w:rPr>
        <w:t>nergy, IPPU, AFOLU and Waste.</w:t>
      </w:r>
    </w:p>
    <w:p w14:paraId="6683E4EC" w14:textId="77777777" w:rsidR="00245464" w:rsidRPr="00191ACB" w:rsidRDefault="00245464" w:rsidP="00E435F6">
      <w:pPr>
        <w:numPr>
          <w:ilvl w:val="0"/>
          <w:numId w:val="25"/>
        </w:numPr>
        <w:spacing w:after="120" w:line="240" w:lineRule="auto"/>
        <w:contextualSpacing/>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Energy</w:t>
      </w:r>
    </w:p>
    <w:p w14:paraId="6CF20E58" w14:textId="2D15CA33" w:rsidR="00245464" w:rsidRPr="00191ACB" w:rsidRDefault="00245464" w:rsidP="00F57665">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projected baseline emissions in the energy sector </w:t>
      </w:r>
      <w:r w:rsidR="00A3068E" w:rsidRPr="00191ACB">
        <w:rPr>
          <w:rFonts w:ascii="Times New Roman" w:eastAsia="Calibri" w:hAnsi="Times New Roman" w:cs="Times New Roman"/>
          <w:color w:val="000000" w:themeColor="text1"/>
          <w:sz w:val="24"/>
          <w:szCs w:val="24"/>
        </w:rPr>
        <w:t>was envisaged to</w:t>
      </w:r>
      <w:r w:rsidRPr="00191ACB">
        <w:rPr>
          <w:rFonts w:ascii="Times New Roman" w:eastAsia="Calibri" w:hAnsi="Times New Roman" w:cs="Times New Roman"/>
          <w:color w:val="000000" w:themeColor="text1"/>
          <w:sz w:val="24"/>
          <w:szCs w:val="24"/>
        </w:rPr>
        <w:t xml:space="preserve"> be influenced by increasing fossil fuel (liquid) consumption for transport, domestic aviation and railway. </w:t>
      </w:r>
      <w:r w:rsidRPr="00191ACB">
        <w:rPr>
          <w:rFonts w:ascii="Times New Roman" w:eastAsia="Times New Roman" w:hAnsi="Times New Roman" w:cs="Times New Roman"/>
          <w:color w:val="000000" w:themeColor="text1"/>
          <w:sz w:val="24"/>
          <w:szCs w:val="24"/>
        </w:rPr>
        <w:t xml:space="preserve">Coal consumption </w:t>
      </w:r>
      <w:r w:rsidR="00A3068E" w:rsidRPr="00191ACB">
        <w:rPr>
          <w:rFonts w:ascii="Times New Roman" w:eastAsia="Times New Roman" w:hAnsi="Times New Roman" w:cs="Times New Roman"/>
          <w:color w:val="000000" w:themeColor="text1"/>
          <w:sz w:val="24"/>
          <w:szCs w:val="24"/>
        </w:rPr>
        <w:t>i</w:t>
      </w:r>
      <w:r w:rsidRPr="00191ACB">
        <w:rPr>
          <w:rFonts w:ascii="Times New Roman" w:eastAsia="Times New Roman" w:hAnsi="Times New Roman" w:cs="Times New Roman"/>
          <w:color w:val="000000" w:themeColor="text1"/>
          <w:sz w:val="24"/>
          <w:szCs w:val="24"/>
        </w:rPr>
        <w:t xml:space="preserve">s likely to increase due to the anticipated increase in thermal power production at Maamba from the current 300MW to 600MW.  In addition, the anticipated coming on stream of AMCO coal power plant of 340 MW will further increase coal consumption and hence GHG emissions in the Sector. </w:t>
      </w:r>
      <w:r w:rsidRPr="00191ACB">
        <w:rPr>
          <w:rFonts w:ascii="Times New Roman" w:eastAsia="Calibri" w:hAnsi="Times New Roman" w:cs="Times New Roman"/>
          <w:color w:val="000000" w:themeColor="text1"/>
          <w:sz w:val="24"/>
          <w:szCs w:val="24"/>
        </w:rPr>
        <w:t>Baseline setting for rural areas w</w:t>
      </w:r>
      <w:r w:rsidR="00A3068E" w:rsidRPr="00191ACB">
        <w:rPr>
          <w:rFonts w:ascii="Times New Roman" w:eastAsia="Calibri" w:hAnsi="Times New Roman" w:cs="Times New Roman"/>
          <w:color w:val="000000" w:themeColor="text1"/>
          <w:sz w:val="24"/>
          <w:szCs w:val="24"/>
        </w:rPr>
        <w:t>ould</w:t>
      </w:r>
      <w:r w:rsidRPr="00191ACB">
        <w:rPr>
          <w:rFonts w:ascii="Times New Roman" w:eastAsia="Calibri" w:hAnsi="Times New Roman" w:cs="Times New Roman"/>
          <w:color w:val="000000" w:themeColor="text1"/>
          <w:sz w:val="24"/>
          <w:szCs w:val="24"/>
        </w:rPr>
        <w:t xml:space="preserve"> be characterized by use of biomass for cooking in form of firewood and charcoal, and lighting through use of kerosene and candles; and use of petrol and diesel engines for providing lighting, maize milling, shelling and irrigation. The baseline scenario setting also includes the peri-urban areas where populations rely on biomass for cooking in form of firewood and charcoal, and lighting through use of kerosene and candles.</w:t>
      </w:r>
    </w:p>
    <w:p w14:paraId="04457853" w14:textId="77777777" w:rsidR="00245464" w:rsidRPr="00191ACB" w:rsidRDefault="00245464" w:rsidP="00E435F6">
      <w:pPr>
        <w:numPr>
          <w:ilvl w:val="0"/>
          <w:numId w:val="25"/>
        </w:numPr>
        <w:spacing w:after="120" w:line="240" w:lineRule="auto"/>
        <w:contextualSpacing/>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IPPU</w:t>
      </w:r>
    </w:p>
    <w:p w14:paraId="7825C4D7" w14:textId="4F5F472D" w:rsidR="00245464" w:rsidRPr="00191ACB" w:rsidRDefault="00245464" w:rsidP="00F57665">
      <w:pPr>
        <w:spacing w:after="120" w:line="276"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It is assumed in the baseline setting that emissions in Mineral Industry will continue to increase mainly from anticipated increase in cement and lime production. Emission in the metal industry will also increase from iron and steel production. There are plans to begin steel production from iron ore which will likely drive emissions high in this category. Emissions are also expected to increase for Chemical Industry and Non-Energy Products from Fuels </w:t>
      </w:r>
      <w:r w:rsidR="00A3068E" w:rsidRPr="00191ACB">
        <w:rPr>
          <w:rFonts w:ascii="Times New Roman" w:eastAsia="Calibri" w:hAnsi="Times New Roman" w:cs="Times New Roman"/>
          <w:color w:val="000000" w:themeColor="text1"/>
          <w:sz w:val="24"/>
          <w:szCs w:val="24"/>
        </w:rPr>
        <w:t>and</w:t>
      </w:r>
      <w:r w:rsidRPr="00191ACB">
        <w:rPr>
          <w:rFonts w:ascii="Times New Roman" w:eastAsia="Calibri" w:hAnsi="Times New Roman" w:cs="Times New Roman"/>
          <w:color w:val="000000" w:themeColor="text1"/>
          <w:sz w:val="24"/>
          <w:szCs w:val="24"/>
        </w:rPr>
        <w:t xml:space="preserve"> Solvent Use.</w:t>
      </w:r>
    </w:p>
    <w:p w14:paraId="5BFD7140" w14:textId="77777777" w:rsidR="00245464" w:rsidRPr="00191ACB" w:rsidRDefault="00245464" w:rsidP="00E435F6">
      <w:pPr>
        <w:numPr>
          <w:ilvl w:val="0"/>
          <w:numId w:val="25"/>
        </w:numPr>
        <w:spacing w:after="120" w:line="240" w:lineRule="auto"/>
        <w:contextualSpacing/>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AFOLU</w:t>
      </w:r>
    </w:p>
    <w:p w14:paraId="24EE9BEA" w14:textId="26797A45" w:rsidR="00245464" w:rsidRPr="00191ACB" w:rsidRDefault="00245464" w:rsidP="00F57665">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eastAsia="en-ZA"/>
        </w:rPr>
        <w:t>The projected baseline in the AFOLU sector is assumed to have increased emissions from livestock, land and Aggregate sources and non CO</w:t>
      </w:r>
      <w:r w:rsidRPr="00191ACB">
        <w:rPr>
          <w:rFonts w:ascii="Times New Roman" w:eastAsia="Calibri" w:hAnsi="Times New Roman" w:cs="Times New Roman"/>
          <w:color w:val="000000" w:themeColor="text1"/>
          <w:sz w:val="24"/>
          <w:szCs w:val="24"/>
          <w:vertAlign w:val="subscript"/>
          <w:lang w:eastAsia="en-ZA"/>
        </w:rPr>
        <w:t>2</w:t>
      </w:r>
      <w:r w:rsidRPr="00191ACB">
        <w:rPr>
          <w:rFonts w:ascii="Times New Roman" w:eastAsia="Calibri" w:hAnsi="Times New Roman" w:cs="Times New Roman"/>
          <w:color w:val="000000" w:themeColor="text1"/>
          <w:sz w:val="24"/>
          <w:szCs w:val="24"/>
          <w:lang w:eastAsia="en-ZA"/>
        </w:rPr>
        <w:t xml:space="preserve"> emissions on land. </w:t>
      </w:r>
      <w:r w:rsidR="00A3068E" w:rsidRPr="00191ACB">
        <w:rPr>
          <w:rFonts w:ascii="Times New Roman" w:eastAsia="Calibri" w:hAnsi="Times New Roman" w:cs="Times New Roman"/>
          <w:color w:val="000000" w:themeColor="text1"/>
          <w:sz w:val="24"/>
          <w:szCs w:val="24"/>
          <w:lang w:eastAsia="en-ZA"/>
        </w:rPr>
        <w:t>E</w:t>
      </w:r>
      <w:r w:rsidRPr="00191ACB">
        <w:rPr>
          <w:rFonts w:ascii="Times New Roman" w:eastAsia="Calibri" w:hAnsi="Times New Roman" w:cs="Times New Roman"/>
          <w:color w:val="000000" w:themeColor="text1"/>
          <w:sz w:val="24"/>
          <w:szCs w:val="24"/>
          <w:lang w:eastAsia="en-ZA"/>
        </w:rPr>
        <w:t xml:space="preserve">mission drivers for Livestock (enteric fermentation and manure management) is increasing animal population of </w:t>
      </w:r>
      <w:r w:rsidRPr="00191ACB">
        <w:rPr>
          <w:rFonts w:ascii="Times New Roman" w:eastAsia="Calibri" w:hAnsi="Times New Roman" w:cs="Times New Roman"/>
          <w:color w:val="000000" w:themeColor="text1"/>
          <w:sz w:val="24"/>
          <w:szCs w:val="24"/>
        </w:rPr>
        <w:t>cattle, buffalo, sheep, goats, swine, and poultry stimulated by future increase in demand for meat and milk as a result of projected increase in human population.  It is anticipated that dairy will be based on grazing with low production per cow and that most cattle will be multi-purpose, providing draft power and some milk within farming regions. It is also anticipated that the feeding situation may not be very different from the current situation where some cattle graze over very large areas.</w:t>
      </w:r>
    </w:p>
    <w:p w14:paraId="70E0168E" w14:textId="3A3DE6A8" w:rsidR="00245464" w:rsidRPr="00191ACB" w:rsidRDefault="00245464" w:rsidP="00F57665">
      <w:pPr>
        <w:spacing w:after="120" w:line="276" w:lineRule="auto"/>
        <w:jc w:val="both"/>
        <w:rPr>
          <w:rFonts w:ascii="Times New Roman" w:eastAsia="Calibri" w:hAnsi="Times New Roman" w:cs="Times New Roman"/>
          <w:color w:val="000000" w:themeColor="text1"/>
          <w:sz w:val="24"/>
          <w:szCs w:val="24"/>
        </w:rPr>
      </w:pPr>
      <w:r w:rsidRPr="00F57665">
        <w:rPr>
          <w:rFonts w:ascii="Times New Roman" w:eastAsia="Calibri" w:hAnsi="Times New Roman" w:cs="Times New Roman"/>
          <w:bCs/>
          <w:color w:val="000000" w:themeColor="text1"/>
          <w:sz w:val="24"/>
          <w:szCs w:val="24"/>
        </w:rPr>
        <w:t>In the land category</w:t>
      </w:r>
      <w:r w:rsidR="007B43B8" w:rsidRPr="00F57665">
        <w:rPr>
          <w:rFonts w:ascii="Times New Roman" w:eastAsia="Calibri" w:hAnsi="Times New Roman" w:cs="Times New Roman"/>
          <w:bCs/>
          <w:color w:val="000000" w:themeColor="text1"/>
          <w:sz w:val="24"/>
          <w:szCs w:val="24"/>
        </w:rPr>
        <w:t>,</w:t>
      </w:r>
      <w:r w:rsidRPr="00F57665">
        <w:rPr>
          <w:rFonts w:ascii="Times New Roman" w:eastAsia="Calibri" w:hAnsi="Times New Roman" w:cs="Times New Roman"/>
          <w:bCs/>
          <w:color w:val="000000" w:themeColor="text1"/>
          <w:sz w:val="24"/>
          <w:szCs w:val="24"/>
        </w:rPr>
        <w:t xml:space="preserve"> the historical drivers of emissions are forest land conversion to crop land,</w:t>
      </w:r>
      <w:r w:rsidRPr="00191ACB">
        <w:rPr>
          <w:rFonts w:ascii="Times New Roman" w:eastAsia="Calibri" w:hAnsi="Times New Roman" w:cs="Times New Roman"/>
          <w:color w:val="000000" w:themeColor="text1"/>
          <w:sz w:val="24"/>
          <w:szCs w:val="24"/>
        </w:rPr>
        <w:t xml:space="preserve"> settlements. Wood removals for commercial timber and for fuelwood are other drivers of emissions in the land category. In the baseline scenario it is anticipated that cropland and settlements will keep on </w:t>
      </w:r>
      <w:r w:rsidRPr="00191ACB">
        <w:rPr>
          <w:rFonts w:ascii="Times New Roman" w:eastAsia="Calibri" w:hAnsi="Times New Roman" w:cs="Times New Roman"/>
          <w:color w:val="000000" w:themeColor="text1"/>
          <w:sz w:val="24"/>
          <w:szCs w:val="24"/>
        </w:rPr>
        <w:lastRenderedPageBreak/>
        <w:t xml:space="preserve">expanding thereby increasing GHG emissions. </w:t>
      </w:r>
      <w:r w:rsidRPr="00191ACB">
        <w:rPr>
          <w:rFonts w:ascii="Times New Roman" w:eastAsia="Calibri" w:hAnsi="Times New Roman" w:cs="Times New Roman"/>
          <w:color w:val="000000" w:themeColor="text1"/>
          <w:sz w:val="24"/>
          <w:szCs w:val="24"/>
          <w:lang w:eastAsia="en-ZA"/>
        </w:rPr>
        <w:t xml:space="preserve">The wood harvesting for commercial timber and firewood and charcoal production is anticipated to take place in the open forests in customary land. The harvesting methods for trees characterized by unregulated and usually patch wood harvesting and techniques for tree harvesting to completely clear tree felling are likely to continue. </w:t>
      </w:r>
      <w:r w:rsidRPr="00191ACB">
        <w:rPr>
          <w:rFonts w:ascii="Times New Roman" w:eastAsia="Calibri" w:hAnsi="Times New Roman" w:cs="Times New Roman"/>
          <w:color w:val="000000" w:themeColor="text1"/>
          <w:sz w:val="24"/>
          <w:szCs w:val="24"/>
        </w:rPr>
        <w:t>Forest areas will continue to be exploited by logging operations, agriculture expansion, settlements and fuelwood collection and charcoal production. The respective areas may either regenerate at a slower pace, most probably with lower productivity and biodiversity, or remain bare due to lack of protection. Continuation of unsustainable charcoal production and utilization characterized by unregulated patch wood harvesting coupled with clear felling of trees, tradition earth kiln for charcoal production and usage of ordinary charcoal cook stoves which contribute to emission of greenhouse gases.</w:t>
      </w:r>
    </w:p>
    <w:p w14:paraId="5FCE286A" w14:textId="77777777" w:rsidR="00245464" w:rsidRPr="00191ACB" w:rsidRDefault="00245464" w:rsidP="005E626A">
      <w:pPr>
        <w:spacing w:after="120" w:line="240" w:lineRule="auto"/>
        <w:rPr>
          <w:rFonts w:ascii="Times New Roman" w:eastAsia="Calibri" w:hAnsi="Times New Roman" w:cs="Times New Roman"/>
          <w:color w:val="000000" w:themeColor="text1"/>
          <w:sz w:val="24"/>
          <w:szCs w:val="24"/>
        </w:rPr>
      </w:pPr>
    </w:p>
    <w:p w14:paraId="02F15AD4" w14:textId="77777777" w:rsidR="00245464" w:rsidRPr="00191ACB" w:rsidRDefault="00245464" w:rsidP="00F57665">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baseline scenario also assumes that there will be a continued inefficient use of inorganic fertilizers and a limited use of organic fertilizers in the absence of the intervention on sustainable agriculture through sustainable crop management and livestock farming.</w:t>
      </w:r>
    </w:p>
    <w:p w14:paraId="00363536" w14:textId="77777777" w:rsidR="00245464" w:rsidRPr="00191ACB" w:rsidRDefault="00245464" w:rsidP="00E435F6">
      <w:pPr>
        <w:numPr>
          <w:ilvl w:val="0"/>
          <w:numId w:val="25"/>
        </w:numPr>
        <w:spacing w:after="120" w:line="240" w:lineRule="auto"/>
        <w:contextualSpacing/>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Waste</w:t>
      </w:r>
    </w:p>
    <w:p w14:paraId="3AA402F4" w14:textId="47C7DD11" w:rsidR="00245464" w:rsidRPr="00191ACB" w:rsidRDefault="00245464" w:rsidP="00F57665">
      <w:pPr>
        <w:spacing w:after="120" w:line="276" w:lineRule="auto"/>
        <w:jc w:val="both"/>
        <w:rPr>
          <w:rFonts w:ascii="Times New Roman" w:eastAsia="Calibri" w:hAnsi="Times New Roman" w:cs="Times New Roman"/>
          <w:color w:val="000000" w:themeColor="text1"/>
          <w:sz w:val="24"/>
          <w:szCs w:val="24"/>
        </w:rPr>
      </w:pPr>
      <w:r w:rsidRPr="00F57665">
        <w:rPr>
          <w:rFonts w:ascii="Times New Roman" w:eastAsia="Calibri" w:hAnsi="Times New Roman" w:cs="Times New Roman"/>
          <w:bCs/>
          <w:color w:val="000000" w:themeColor="text1"/>
          <w:sz w:val="24"/>
          <w:szCs w:val="24"/>
        </w:rPr>
        <w:t>In</w:t>
      </w:r>
      <w:r w:rsidRPr="00191ACB">
        <w:rPr>
          <w:rFonts w:ascii="Times New Roman" w:eastAsia="Calibri" w:hAnsi="Times New Roman" w:cs="Times New Roman"/>
          <w:color w:val="000000" w:themeColor="text1"/>
          <w:sz w:val="24"/>
          <w:szCs w:val="24"/>
        </w:rPr>
        <w:t xml:space="preserve"> baseline scenario it is assumed that infrastructure for solid waste management will be inadequate due to rate of urban population growth characterised by mismanagement of waste including uncollected waste</w:t>
      </w:r>
      <w:r w:rsidR="007B43B8" w:rsidRPr="00191ACB">
        <w:rPr>
          <w:rFonts w:ascii="Times New Roman" w:eastAsia="Calibri" w:hAnsi="Times New Roman" w:cs="Times New Roman"/>
          <w:color w:val="000000" w:themeColor="text1"/>
          <w:sz w:val="24"/>
          <w:szCs w:val="24"/>
        </w:rPr>
        <w:t xml:space="preserve"> and </w:t>
      </w:r>
      <w:r w:rsidRPr="00191ACB">
        <w:rPr>
          <w:rFonts w:ascii="Times New Roman" w:eastAsia="Calibri" w:hAnsi="Times New Roman" w:cs="Times New Roman"/>
          <w:color w:val="000000" w:themeColor="text1"/>
          <w:sz w:val="24"/>
          <w:szCs w:val="24"/>
        </w:rPr>
        <w:t>poor disposal. Majority of people in urban areas will reside in the low cost and peri-urban areas. As regards waste water</w:t>
      </w:r>
      <w:r w:rsidR="007B43B8"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it is assumed that connecting to and using/ maintaining sewer will still be out of reach for the poor residing in peri-urban areas. In addition, many of the existing sanitation systems will be unlikely to harness the gas from the sewer facility for either heat or power. The population growth will continue to drive emissions in the solid waste and waste water during the projected period.</w:t>
      </w:r>
    </w:p>
    <w:p w14:paraId="452FBFAB" w14:textId="77777777" w:rsidR="004678D3" w:rsidRPr="00191ACB" w:rsidRDefault="004678D3" w:rsidP="005E626A">
      <w:pPr>
        <w:spacing w:after="120" w:line="240" w:lineRule="auto"/>
        <w:jc w:val="both"/>
        <w:rPr>
          <w:rFonts w:ascii="Times New Roman" w:eastAsia="Calibri" w:hAnsi="Times New Roman" w:cs="Times New Roman"/>
          <w:color w:val="000000" w:themeColor="text1"/>
          <w:sz w:val="24"/>
          <w:szCs w:val="24"/>
        </w:rPr>
      </w:pPr>
    </w:p>
    <w:p w14:paraId="715B8EBA" w14:textId="70D4CCFF" w:rsidR="00245464" w:rsidRDefault="007D3D9E" w:rsidP="00FD215F">
      <w:pPr>
        <w:pStyle w:val="Heading2"/>
        <w:numPr>
          <w:ilvl w:val="1"/>
          <w:numId w:val="36"/>
        </w:numPr>
        <w:spacing w:after="120" w:line="240" w:lineRule="auto"/>
        <w:ind w:left="851" w:hanging="851"/>
        <w:rPr>
          <w:rFonts w:ascii="Times New Roman" w:eastAsia="Times New Roman" w:hAnsi="Times New Roman" w:cs="Times New Roman"/>
          <w:b/>
          <w:color w:val="000000" w:themeColor="text1"/>
          <w:sz w:val="24"/>
          <w:szCs w:val="24"/>
          <w:lang w:val="en-GB"/>
        </w:rPr>
      </w:pPr>
      <w:bookmarkStart w:id="298" w:name="_Toc13582201"/>
      <w:bookmarkStart w:id="299" w:name="_Toc26264907"/>
      <w:bookmarkStart w:id="300" w:name="_Toc57902863"/>
      <w:r w:rsidRPr="00191ACB">
        <w:rPr>
          <w:rFonts w:ascii="Times New Roman" w:eastAsia="Times New Roman" w:hAnsi="Times New Roman" w:cs="Times New Roman"/>
          <w:b/>
          <w:color w:val="000000" w:themeColor="text1"/>
          <w:sz w:val="24"/>
          <w:szCs w:val="24"/>
          <w:lang w:val="en-GB"/>
        </w:rPr>
        <w:t>MITIGATION POLICIES AND MEASURES</w:t>
      </w:r>
      <w:bookmarkEnd w:id="298"/>
      <w:bookmarkEnd w:id="299"/>
      <w:bookmarkEnd w:id="300"/>
    </w:p>
    <w:p w14:paraId="2EC958E9" w14:textId="77777777" w:rsidR="007D3D9E" w:rsidRPr="007D3D9E" w:rsidRDefault="007D3D9E" w:rsidP="007D3D9E">
      <w:pPr>
        <w:rPr>
          <w:lang w:val="en-GB"/>
        </w:rPr>
      </w:pPr>
    </w:p>
    <w:p w14:paraId="607F7A0B" w14:textId="5B3AB4F5" w:rsidR="00245464" w:rsidRPr="00191ACB" w:rsidRDefault="00245464" w:rsidP="00F57665">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One of the seven key basic principles of the Vision 2030</w:t>
      </w:r>
      <w:r w:rsidR="007B43B8"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is sustainable development which by inference encompasses low carbon </w:t>
      </w:r>
      <w:r w:rsidR="007B43B8" w:rsidRPr="00191ACB">
        <w:rPr>
          <w:rFonts w:ascii="Times New Roman" w:eastAsia="Calibri" w:hAnsi="Times New Roman" w:cs="Times New Roman"/>
          <w:color w:val="000000" w:themeColor="text1"/>
          <w:sz w:val="24"/>
          <w:szCs w:val="24"/>
        </w:rPr>
        <w:t xml:space="preserve">and </w:t>
      </w:r>
      <w:r w:rsidRPr="00191ACB">
        <w:rPr>
          <w:rFonts w:ascii="Times New Roman" w:eastAsia="Calibri" w:hAnsi="Times New Roman" w:cs="Times New Roman"/>
          <w:color w:val="000000" w:themeColor="text1"/>
          <w:sz w:val="24"/>
          <w:szCs w:val="24"/>
        </w:rPr>
        <w:t xml:space="preserve">climate resilient economic development for Zambia. The Seventh National Development Plan (7NDP), 2017 has mainstreamed climate change mitigation and adaptation measures to ensure low carbon </w:t>
      </w:r>
      <w:r w:rsidR="00AD5FBB" w:rsidRPr="00191ACB">
        <w:rPr>
          <w:rFonts w:ascii="Times New Roman" w:eastAsia="Calibri" w:hAnsi="Times New Roman" w:cs="Times New Roman"/>
          <w:color w:val="000000" w:themeColor="text1"/>
          <w:sz w:val="24"/>
          <w:szCs w:val="24"/>
        </w:rPr>
        <w:t xml:space="preserve">and </w:t>
      </w:r>
      <w:r w:rsidRPr="00191ACB">
        <w:rPr>
          <w:rFonts w:ascii="Times New Roman" w:eastAsia="Calibri" w:hAnsi="Times New Roman" w:cs="Times New Roman"/>
          <w:color w:val="000000" w:themeColor="text1"/>
          <w:sz w:val="24"/>
          <w:szCs w:val="24"/>
        </w:rPr>
        <w:t>climate resilient economic development. Specific policy measures, strategies, programmes, plans and projects for each sector are elaborated in the following sections.</w:t>
      </w:r>
    </w:p>
    <w:p w14:paraId="53D8CC07" w14:textId="77777777" w:rsidR="004678D3" w:rsidRPr="00191ACB" w:rsidRDefault="004678D3" w:rsidP="005E626A">
      <w:pPr>
        <w:spacing w:after="120" w:line="240" w:lineRule="auto"/>
        <w:jc w:val="both"/>
        <w:rPr>
          <w:rFonts w:ascii="Times New Roman" w:eastAsia="Calibri" w:hAnsi="Times New Roman" w:cs="Times New Roman"/>
          <w:color w:val="000000" w:themeColor="text1"/>
          <w:sz w:val="24"/>
          <w:szCs w:val="24"/>
        </w:rPr>
      </w:pPr>
    </w:p>
    <w:p w14:paraId="1579D73C" w14:textId="445A1B17" w:rsidR="00245464" w:rsidRPr="00191ACB" w:rsidRDefault="00245464" w:rsidP="00FD215F">
      <w:pPr>
        <w:pStyle w:val="Heading3"/>
        <w:numPr>
          <w:ilvl w:val="2"/>
          <w:numId w:val="36"/>
        </w:numPr>
        <w:ind w:left="851" w:hanging="851"/>
        <w:rPr>
          <w:rFonts w:cs="Times New Roman"/>
          <w:b w:val="0"/>
          <w:bCs/>
          <w:szCs w:val="24"/>
        </w:rPr>
      </w:pPr>
      <w:bookmarkStart w:id="301" w:name="_Toc26264908"/>
      <w:bookmarkStart w:id="302" w:name="_Toc57902864"/>
      <w:r w:rsidRPr="007D3D9E">
        <w:rPr>
          <w:rFonts w:cs="Times New Roman"/>
          <w:color w:val="auto"/>
          <w:szCs w:val="24"/>
        </w:rPr>
        <w:t>Energy</w:t>
      </w:r>
      <w:bookmarkEnd w:id="301"/>
      <w:bookmarkEnd w:id="302"/>
    </w:p>
    <w:p w14:paraId="7E42C719" w14:textId="6F8F37A5" w:rsidR="00245464" w:rsidRPr="00191ACB" w:rsidRDefault="00245464" w:rsidP="00F57665">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mitigation policies and measures for the energy sector are spelt out in the Vision 2030 for Zambia, </w:t>
      </w:r>
      <w:r w:rsidR="00AD5FBB" w:rsidRPr="00191ACB">
        <w:rPr>
          <w:rFonts w:ascii="Times New Roman" w:eastAsia="Calibri" w:hAnsi="Times New Roman" w:cs="Times New Roman"/>
          <w:color w:val="000000" w:themeColor="text1"/>
          <w:sz w:val="24"/>
          <w:szCs w:val="24"/>
        </w:rPr>
        <w:t>National Energy Policy</w:t>
      </w:r>
      <w:r w:rsidRPr="00191ACB">
        <w:rPr>
          <w:rFonts w:ascii="Times New Roman" w:eastAsia="Calibri" w:hAnsi="Times New Roman" w:cs="Times New Roman"/>
          <w:color w:val="000000" w:themeColor="text1"/>
          <w:sz w:val="24"/>
          <w:szCs w:val="24"/>
        </w:rPr>
        <w:t>, strategies and programmes which are elaborated below.</w:t>
      </w:r>
    </w:p>
    <w:p w14:paraId="6456B12C" w14:textId="77777777" w:rsidR="002536F4" w:rsidRPr="00191ACB" w:rsidRDefault="002536F4" w:rsidP="005E626A">
      <w:pPr>
        <w:spacing w:after="120" w:line="240" w:lineRule="auto"/>
        <w:jc w:val="both"/>
        <w:rPr>
          <w:rFonts w:ascii="Times New Roman" w:eastAsia="Calibri" w:hAnsi="Times New Roman" w:cs="Times New Roman"/>
          <w:color w:val="000000" w:themeColor="text1"/>
          <w:sz w:val="24"/>
          <w:szCs w:val="24"/>
        </w:rPr>
      </w:pPr>
    </w:p>
    <w:p w14:paraId="2BFE610A" w14:textId="0910E762" w:rsidR="00317DF5" w:rsidRPr="00191ACB" w:rsidRDefault="00317DF5" w:rsidP="00FD215F">
      <w:pPr>
        <w:pStyle w:val="Heading4"/>
        <w:numPr>
          <w:ilvl w:val="3"/>
          <w:numId w:val="36"/>
        </w:numPr>
        <w:ind w:left="851" w:hanging="851"/>
        <w:rPr>
          <w:rFonts w:cs="Times New Roman"/>
        </w:rPr>
      </w:pPr>
      <w:r w:rsidRPr="00191ACB">
        <w:rPr>
          <w:rFonts w:cs="Times New Roman"/>
        </w:rPr>
        <w:t>Policy Measures</w:t>
      </w:r>
    </w:p>
    <w:p w14:paraId="2CDB2E62" w14:textId="77777777" w:rsidR="002536F4" w:rsidRPr="00191ACB" w:rsidRDefault="002536F4" w:rsidP="002536F4">
      <w:pPr>
        <w:pStyle w:val="ListParagraph"/>
        <w:spacing w:after="120" w:line="240" w:lineRule="auto"/>
        <w:ind w:left="1418"/>
        <w:jc w:val="both"/>
        <w:rPr>
          <w:rFonts w:eastAsia="Calibri"/>
          <w:b/>
          <w:bCs/>
          <w:color w:val="000000" w:themeColor="text1"/>
        </w:rPr>
      </w:pPr>
    </w:p>
    <w:p w14:paraId="62DD1406" w14:textId="5F4E1C30" w:rsidR="00245464" w:rsidRPr="00191ACB" w:rsidRDefault="00245464" w:rsidP="00E435F6">
      <w:pPr>
        <w:numPr>
          <w:ilvl w:val="0"/>
          <w:numId w:val="26"/>
        </w:numPr>
        <w:spacing w:after="120" w:line="240" w:lineRule="auto"/>
        <w:contextualSpacing/>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Vision 2030</w:t>
      </w:r>
    </w:p>
    <w:p w14:paraId="56561374" w14:textId="5B2B49C8" w:rsidR="00245464" w:rsidRDefault="00245464" w:rsidP="00F57665">
      <w:pPr>
        <w:spacing w:after="120" w:line="276" w:lineRule="auto"/>
        <w:jc w:val="both"/>
        <w:rPr>
          <w:rFonts w:ascii="Times New Roman" w:eastAsia="Calibri" w:hAnsi="Times New Roman" w:cs="Times New Roman"/>
          <w:bCs/>
          <w:color w:val="000000" w:themeColor="text1"/>
          <w:sz w:val="24"/>
          <w:szCs w:val="24"/>
        </w:rPr>
      </w:pPr>
      <w:r w:rsidRPr="00191ACB">
        <w:rPr>
          <w:rFonts w:ascii="Times New Roman" w:eastAsia="Calibri" w:hAnsi="Times New Roman" w:cs="Times New Roman"/>
          <w:bCs/>
          <w:color w:val="000000" w:themeColor="text1"/>
          <w:sz w:val="24"/>
          <w:szCs w:val="24"/>
        </w:rPr>
        <w:t>Developed in 2006, the Vision 2030 for Zambia as it relates to energy is to increase access to electricity in rural areas to 51</w:t>
      </w:r>
      <w:r w:rsidR="00E37C81" w:rsidRPr="00191ACB">
        <w:rPr>
          <w:rFonts w:ascii="Times New Roman" w:eastAsia="Calibri" w:hAnsi="Times New Roman" w:cs="Times New Roman"/>
          <w:bCs/>
          <w:color w:val="000000" w:themeColor="text1"/>
          <w:sz w:val="24"/>
          <w:szCs w:val="24"/>
        </w:rPr>
        <w:t>percent</w:t>
      </w:r>
      <w:r w:rsidRPr="00191ACB">
        <w:rPr>
          <w:rFonts w:ascii="Times New Roman" w:eastAsia="Calibri" w:hAnsi="Times New Roman" w:cs="Times New Roman"/>
          <w:bCs/>
          <w:color w:val="000000" w:themeColor="text1"/>
          <w:sz w:val="24"/>
          <w:szCs w:val="24"/>
        </w:rPr>
        <w:t xml:space="preserve"> by 2030 and urban areas access to 90</w:t>
      </w:r>
      <w:r w:rsidR="00E37C81" w:rsidRPr="00191ACB">
        <w:rPr>
          <w:rFonts w:ascii="Times New Roman" w:eastAsia="Calibri" w:hAnsi="Times New Roman" w:cs="Times New Roman"/>
          <w:bCs/>
          <w:color w:val="000000" w:themeColor="text1"/>
          <w:sz w:val="24"/>
          <w:szCs w:val="24"/>
        </w:rPr>
        <w:t xml:space="preserve"> percent</w:t>
      </w:r>
      <w:r w:rsidRPr="00191ACB">
        <w:rPr>
          <w:rFonts w:ascii="Times New Roman" w:eastAsia="Calibri" w:hAnsi="Times New Roman" w:cs="Times New Roman"/>
          <w:bCs/>
          <w:color w:val="000000" w:themeColor="text1"/>
          <w:sz w:val="24"/>
          <w:szCs w:val="24"/>
        </w:rPr>
        <w:t xml:space="preserve"> by 2030. It further aspires to </w:t>
      </w:r>
      <w:r w:rsidRPr="00191ACB">
        <w:rPr>
          <w:rFonts w:ascii="Times New Roman" w:eastAsia="Calibri" w:hAnsi="Times New Roman" w:cs="Times New Roman"/>
          <w:bCs/>
          <w:color w:val="000000" w:themeColor="text1"/>
          <w:sz w:val="24"/>
          <w:szCs w:val="24"/>
        </w:rPr>
        <w:lastRenderedPageBreak/>
        <w:t>expand the deployment and development of renewable and alternative energy sources in the country’s energy mix from less than 2</w:t>
      </w:r>
      <w:r w:rsidR="00E37C81" w:rsidRPr="00191ACB">
        <w:rPr>
          <w:rFonts w:ascii="Times New Roman" w:eastAsia="Calibri" w:hAnsi="Times New Roman" w:cs="Times New Roman"/>
          <w:bCs/>
          <w:color w:val="000000" w:themeColor="text1"/>
          <w:sz w:val="24"/>
          <w:szCs w:val="24"/>
        </w:rPr>
        <w:t xml:space="preserve"> percent</w:t>
      </w:r>
      <w:r w:rsidRPr="00191ACB">
        <w:rPr>
          <w:rFonts w:ascii="Times New Roman" w:eastAsia="Calibri" w:hAnsi="Times New Roman" w:cs="Times New Roman"/>
          <w:bCs/>
          <w:color w:val="000000" w:themeColor="text1"/>
          <w:sz w:val="24"/>
          <w:szCs w:val="24"/>
        </w:rPr>
        <w:t xml:space="preserve"> to 15</w:t>
      </w:r>
      <w:r w:rsidR="00E37C81" w:rsidRPr="00191ACB">
        <w:rPr>
          <w:rFonts w:ascii="Times New Roman" w:eastAsia="Calibri" w:hAnsi="Times New Roman" w:cs="Times New Roman"/>
          <w:bCs/>
          <w:color w:val="000000" w:themeColor="text1"/>
          <w:sz w:val="24"/>
          <w:szCs w:val="24"/>
        </w:rPr>
        <w:t>percent</w:t>
      </w:r>
      <w:r w:rsidRPr="00191ACB">
        <w:rPr>
          <w:rFonts w:ascii="Times New Roman" w:eastAsia="Calibri" w:hAnsi="Times New Roman" w:cs="Times New Roman"/>
          <w:bCs/>
          <w:color w:val="000000" w:themeColor="text1"/>
          <w:sz w:val="24"/>
          <w:szCs w:val="24"/>
        </w:rPr>
        <w:t xml:space="preserve"> by 2030.</w:t>
      </w:r>
    </w:p>
    <w:p w14:paraId="26BA735F" w14:textId="77777777" w:rsidR="00FD215F" w:rsidRPr="00191ACB" w:rsidRDefault="00FD215F" w:rsidP="00F57665">
      <w:pPr>
        <w:spacing w:after="120" w:line="276" w:lineRule="auto"/>
        <w:jc w:val="both"/>
        <w:rPr>
          <w:rFonts w:ascii="Times New Roman" w:eastAsia="Calibri" w:hAnsi="Times New Roman" w:cs="Times New Roman"/>
          <w:bCs/>
          <w:color w:val="000000" w:themeColor="text1"/>
          <w:sz w:val="24"/>
          <w:szCs w:val="24"/>
        </w:rPr>
      </w:pPr>
    </w:p>
    <w:p w14:paraId="2CB1EB76" w14:textId="77777777" w:rsidR="002536F4" w:rsidRPr="00191ACB" w:rsidRDefault="002536F4" w:rsidP="005E626A">
      <w:pPr>
        <w:autoSpaceDE w:val="0"/>
        <w:autoSpaceDN w:val="0"/>
        <w:adjustRightInd w:val="0"/>
        <w:spacing w:after="120" w:line="240" w:lineRule="auto"/>
        <w:jc w:val="both"/>
        <w:rPr>
          <w:rFonts w:ascii="Times New Roman" w:eastAsia="Calibri" w:hAnsi="Times New Roman" w:cs="Times New Roman"/>
          <w:bCs/>
          <w:color w:val="000000" w:themeColor="text1"/>
          <w:sz w:val="24"/>
          <w:szCs w:val="24"/>
        </w:rPr>
      </w:pPr>
    </w:p>
    <w:p w14:paraId="75B99B46" w14:textId="4F9FD690" w:rsidR="00245464" w:rsidRPr="00191ACB" w:rsidRDefault="00245464" w:rsidP="00E435F6">
      <w:pPr>
        <w:numPr>
          <w:ilvl w:val="0"/>
          <w:numId w:val="26"/>
        </w:numPr>
        <w:autoSpaceDE w:val="0"/>
        <w:autoSpaceDN w:val="0"/>
        <w:adjustRightInd w:val="0"/>
        <w:spacing w:after="120" w:line="240" w:lineRule="auto"/>
        <w:contextualSpacing/>
        <w:jc w:val="both"/>
        <w:rPr>
          <w:rFonts w:ascii="Times New Roman" w:eastAsia="Calibri" w:hAnsi="Times New Roman" w:cs="Times New Roman"/>
          <w:b/>
          <w:bCs/>
          <w:color w:val="000000" w:themeColor="text1"/>
          <w:sz w:val="24"/>
          <w:szCs w:val="24"/>
        </w:rPr>
      </w:pPr>
      <w:r w:rsidRPr="00191ACB">
        <w:rPr>
          <w:rFonts w:ascii="Times New Roman" w:eastAsia="Calibri" w:hAnsi="Times New Roman" w:cs="Times New Roman"/>
          <w:b/>
          <w:bCs/>
          <w:color w:val="000000" w:themeColor="text1"/>
          <w:sz w:val="24"/>
          <w:szCs w:val="24"/>
        </w:rPr>
        <w:t>7NDP, 2017-2021</w:t>
      </w:r>
    </w:p>
    <w:p w14:paraId="41F73511" w14:textId="77777777" w:rsidR="002536F4" w:rsidRPr="00191ACB" w:rsidRDefault="002536F4" w:rsidP="002536F4">
      <w:pPr>
        <w:autoSpaceDE w:val="0"/>
        <w:autoSpaceDN w:val="0"/>
        <w:adjustRightInd w:val="0"/>
        <w:spacing w:after="120" w:line="240" w:lineRule="auto"/>
        <w:ind w:left="360"/>
        <w:contextualSpacing/>
        <w:jc w:val="both"/>
        <w:rPr>
          <w:rFonts w:ascii="Times New Roman" w:eastAsia="Calibri" w:hAnsi="Times New Roman" w:cs="Times New Roman"/>
          <w:b/>
          <w:bCs/>
          <w:color w:val="000000" w:themeColor="text1"/>
          <w:sz w:val="24"/>
          <w:szCs w:val="24"/>
        </w:rPr>
      </w:pPr>
    </w:p>
    <w:p w14:paraId="6C86C177" w14:textId="40A2E682" w:rsidR="00245464" w:rsidRPr="00191ACB" w:rsidRDefault="00245464" w:rsidP="00F57665">
      <w:pPr>
        <w:spacing w:after="120" w:line="276" w:lineRule="auto"/>
        <w:jc w:val="both"/>
        <w:rPr>
          <w:rFonts w:ascii="Times New Roman" w:eastAsia="Calibri" w:hAnsi="Times New Roman" w:cs="Times New Roman"/>
          <w:bCs/>
          <w:color w:val="000000" w:themeColor="text1"/>
          <w:sz w:val="24"/>
          <w:szCs w:val="24"/>
        </w:rPr>
      </w:pPr>
      <w:r w:rsidRPr="00191ACB">
        <w:rPr>
          <w:rFonts w:ascii="Times New Roman" w:eastAsia="Calibri" w:hAnsi="Times New Roman" w:cs="Times New Roman"/>
          <w:bCs/>
          <w:color w:val="000000" w:themeColor="text1"/>
          <w:sz w:val="24"/>
          <w:szCs w:val="24"/>
        </w:rPr>
        <w:t>In the 7NDP, Zambia’s goal is to ensure universal access to clean, safe, reliable and affordable energy at the lowest cost, consistent with national development aspirations. The country will take measures to grow and diversify the energy sector to enhance its contribution to economic diversification by expanding power generation and transmission capacities as well as maintaining a stable supply of petroleum products.</w:t>
      </w:r>
    </w:p>
    <w:p w14:paraId="4471DE7F" w14:textId="77777777" w:rsidR="002536F4" w:rsidRPr="00191ACB" w:rsidRDefault="002536F4" w:rsidP="005E626A">
      <w:pPr>
        <w:autoSpaceDE w:val="0"/>
        <w:autoSpaceDN w:val="0"/>
        <w:adjustRightInd w:val="0"/>
        <w:spacing w:after="120" w:line="240" w:lineRule="auto"/>
        <w:jc w:val="both"/>
        <w:rPr>
          <w:rFonts w:ascii="Times New Roman" w:eastAsia="Calibri" w:hAnsi="Times New Roman" w:cs="Times New Roman"/>
          <w:bCs/>
          <w:color w:val="000000" w:themeColor="text1"/>
          <w:sz w:val="24"/>
          <w:szCs w:val="24"/>
        </w:rPr>
      </w:pPr>
    </w:p>
    <w:p w14:paraId="6F0FBAD6" w14:textId="59E8C4B3" w:rsidR="00CF181B" w:rsidRPr="00191ACB" w:rsidRDefault="00FD215F" w:rsidP="00E435F6">
      <w:pPr>
        <w:numPr>
          <w:ilvl w:val="0"/>
          <w:numId w:val="26"/>
        </w:numPr>
        <w:spacing w:after="120" w:line="240" w:lineRule="auto"/>
        <w:contextualSpacing/>
        <w:jc w:val="both"/>
        <w:rPr>
          <w:rFonts w:ascii="Times New Roman" w:eastAsia="Calibri" w:hAnsi="Times New Roman" w:cs="Times New Roman"/>
          <w:b/>
          <w:color w:val="000000" w:themeColor="text1"/>
          <w:sz w:val="24"/>
          <w:szCs w:val="24"/>
        </w:rPr>
      </w:pPr>
      <w:r>
        <w:rPr>
          <w:rFonts w:ascii="Times New Roman" w:eastAsia="Calibri" w:hAnsi="Times New Roman" w:cs="Times New Roman"/>
          <w:b/>
          <w:color w:val="000000" w:themeColor="text1"/>
          <w:sz w:val="24"/>
          <w:szCs w:val="24"/>
        </w:rPr>
        <w:t xml:space="preserve"> </w:t>
      </w:r>
      <w:r w:rsidR="00E37C81" w:rsidRPr="00191ACB">
        <w:rPr>
          <w:rFonts w:ascii="Times New Roman" w:eastAsia="Calibri" w:hAnsi="Times New Roman" w:cs="Times New Roman"/>
          <w:b/>
          <w:color w:val="000000" w:themeColor="text1"/>
          <w:sz w:val="24"/>
          <w:szCs w:val="24"/>
        </w:rPr>
        <w:t xml:space="preserve">National </w:t>
      </w:r>
      <w:r w:rsidR="00CF181B" w:rsidRPr="00191ACB">
        <w:rPr>
          <w:rFonts w:ascii="Times New Roman" w:eastAsia="Calibri" w:hAnsi="Times New Roman" w:cs="Times New Roman"/>
          <w:b/>
          <w:color w:val="000000" w:themeColor="text1"/>
          <w:sz w:val="24"/>
          <w:szCs w:val="24"/>
        </w:rPr>
        <w:t xml:space="preserve">Energy Policy, 2019 </w:t>
      </w:r>
    </w:p>
    <w:p w14:paraId="1FCB26E5" w14:textId="77777777" w:rsidR="002536F4" w:rsidRPr="00191ACB" w:rsidRDefault="002536F4" w:rsidP="002536F4">
      <w:pPr>
        <w:spacing w:after="120" w:line="240" w:lineRule="auto"/>
        <w:ind w:left="360"/>
        <w:contextualSpacing/>
        <w:jc w:val="both"/>
        <w:rPr>
          <w:rFonts w:ascii="Times New Roman" w:eastAsia="Calibri" w:hAnsi="Times New Roman" w:cs="Times New Roman"/>
          <w:b/>
          <w:color w:val="000000" w:themeColor="text1"/>
          <w:sz w:val="24"/>
          <w:szCs w:val="24"/>
        </w:rPr>
      </w:pPr>
    </w:p>
    <w:p w14:paraId="3BE78488" w14:textId="51CEE1EA" w:rsidR="00CF181B" w:rsidRDefault="00CF181B" w:rsidP="00F57665">
      <w:pPr>
        <w:spacing w:after="120" w:line="276" w:lineRule="auto"/>
        <w:jc w:val="both"/>
        <w:rPr>
          <w:rFonts w:ascii="Times New Roman" w:hAnsi="Times New Roman" w:cs="Times New Roman"/>
          <w:sz w:val="24"/>
          <w:szCs w:val="24"/>
        </w:rPr>
      </w:pPr>
      <w:r w:rsidRPr="00191ACB">
        <w:rPr>
          <w:rFonts w:ascii="Times New Roman" w:hAnsi="Times New Roman" w:cs="Times New Roman"/>
          <w:sz w:val="24"/>
          <w:szCs w:val="24"/>
        </w:rPr>
        <w:t>The National Energy Policy (NEP)</w:t>
      </w:r>
      <w:r w:rsidR="00E37C81" w:rsidRPr="00191ACB">
        <w:rPr>
          <w:rFonts w:ascii="Times New Roman" w:hAnsi="Times New Roman" w:cs="Times New Roman"/>
          <w:sz w:val="24"/>
          <w:szCs w:val="24"/>
        </w:rPr>
        <w:t xml:space="preserve"> of 2019</w:t>
      </w:r>
      <w:r w:rsidRPr="00191ACB">
        <w:rPr>
          <w:rFonts w:ascii="Times New Roman" w:hAnsi="Times New Roman" w:cs="Times New Roman"/>
          <w:sz w:val="24"/>
          <w:szCs w:val="24"/>
        </w:rPr>
        <w:t xml:space="preserve"> builds on previous policies of 1994 and 2008 and is anchored on the Seventh National Development Plan (7NDP) and Vision 2030. The Policy continues to </w:t>
      </w:r>
      <w:r w:rsidRPr="00191ACB">
        <w:rPr>
          <w:rFonts w:ascii="Times New Roman" w:eastAsia="Calibri" w:hAnsi="Times New Roman" w:cs="Times New Roman"/>
          <w:bCs/>
          <w:color w:val="000000" w:themeColor="text1"/>
          <w:sz w:val="24"/>
          <w:szCs w:val="24"/>
        </w:rPr>
        <w:t>promote the</w:t>
      </w:r>
      <w:r w:rsidR="00E37C81" w:rsidRPr="00191ACB">
        <w:rPr>
          <w:rFonts w:ascii="Times New Roman" w:eastAsia="Calibri" w:hAnsi="Times New Roman" w:cs="Times New Roman"/>
          <w:bCs/>
          <w:color w:val="000000" w:themeColor="text1"/>
          <w:sz w:val="24"/>
          <w:szCs w:val="24"/>
        </w:rPr>
        <w:t xml:space="preserve"> </w:t>
      </w:r>
      <w:r w:rsidRPr="00191ACB">
        <w:rPr>
          <w:rFonts w:ascii="Times New Roman" w:eastAsia="Calibri" w:hAnsi="Times New Roman" w:cs="Times New Roman"/>
          <w:bCs/>
          <w:color w:val="000000" w:themeColor="text1"/>
          <w:sz w:val="24"/>
          <w:szCs w:val="24"/>
        </w:rPr>
        <w:t>enhancement, development and deployment of Renewable Energy (RE) Technologies by e</w:t>
      </w:r>
      <w:r w:rsidRPr="00191ACB">
        <w:rPr>
          <w:rFonts w:ascii="Times New Roman" w:eastAsia="Calibri" w:hAnsi="Times New Roman" w:cs="Times New Roman"/>
          <w:color w:val="000000" w:themeColor="text1"/>
          <w:sz w:val="24"/>
          <w:szCs w:val="24"/>
        </w:rPr>
        <w:t xml:space="preserve">ncouragement and support of local systems design, assembly and manufacture of components of renewable energy technologies. In addition, </w:t>
      </w:r>
      <w:r w:rsidRPr="00191ACB">
        <w:rPr>
          <w:rFonts w:ascii="Times New Roman" w:hAnsi="Times New Roman" w:cs="Times New Roman"/>
          <w:sz w:val="24"/>
          <w:szCs w:val="24"/>
        </w:rPr>
        <w:t>the NEP 2019, is aimed at guiding the energy sector in the development of the electricity generation, transmission and distribution capacity as well as enhance cost - effectiveness and efficiency in the supply of petroleum products. Furthermore, the Policy promote</w:t>
      </w:r>
      <w:r w:rsidR="00E37C81" w:rsidRPr="00191ACB">
        <w:rPr>
          <w:rFonts w:ascii="Times New Roman" w:hAnsi="Times New Roman" w:cs="Times New Roman"/>
          <w:sz w:val="24"/>
          <w:szCs w:val="24"/>
        </w:rPr>
        <w:t>s</w:t>
      </w:r>
      <w:r w:rsidRPr="00191ACB">
        <w:rPr>
          <w:rFonts w:ascii="Times New Roman" w:hAnsi="Times New Roman" w:cs="Times New Roman"/>
          <w:sz w:val="24"/>
          <w:szCs w:val="24"/>
        </w:rPr>
        <w:t xml:space="preserve"> security of energy supply through diversification of energy sources at cost reflective pricing which will promote new investment in the sector, consequently scaling up access to energy services in rural and urban areas. The NEP 2019 also considers climate change mitigation and adaptation while advancing sustainable development of the sector. In addition, the Policy mainstreams gender and disability aspects aimed at increasing access to clean and efficient energy thereby reducing poverty among vulnerable groups especially women and children. </w:t>
      </w:r>
    </w:p>
    <w:p w14:paraId="08BDB483" w14:textId="77777777" w:rsidR="00FD215F" w:rsidRPr="00191ACB" w:rsidRDefault="00FD215F" w:rsidP="00F57665">
      <w:pPr>
        <w:spacing w:after="120" w:line="276" w:lineRule="auto"/>
        <w:jc w:val="both"/>
        <w:rPr>
          <w:rFonts w:ascii="Times New Roman" w:eastAsia="Calibri" w:hAnsi="Times New Roman" w:cs="Times New Roman"/>
          <w:bCs/>
          <w:color w:val="000000" w:themeColor="text1"/>
          <w:sz w:val="24"/>
          <w:szCs w:val="24"/>
        </w:rPr>
      </w:pPr>
    </w:p>
    <w:p w14:paraId="3BD41EFD" w14:textId="70E80D16" w:rsidR="00CF181B" w:rsidRPr="00191ACB" w:rsidRDefault="00CF181B" w:rsidP="00E435F6">
      <w:pPr>
        <w:numPr>
          <w:ilvl w:val="0"/>
          <w:numId w:val="26"/>
        </w:numPr>
        <w:spacing w:after="120" w:line="240" w:lineRule="auto"/>
        <w:contextualSpacing/>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Electricity Act, 2019</w:t>
      </w:r>
    </w:p>
    <w:p w14:paraId="13533B7D" w14:textId="77777777" w:rsidR="002536F4" w:rsidRPr="00191ACB" w:rsidRDefault="002536F4" w:rsidP="00B90A10">
      <w:pPr>
        <w:tabs>
          <w:tab w:val="num" w:pos="1440"/>
        </w:tabs>
        <w:autoSpaceDE w:val="0"/>
        <w:autoSpaceDN w:val="0"/>
        <w:adjustRightInd w:val="0"/>
        <w:spacing w:after="120" w:line="240" w:lineRule="auto"/>
        <w:jc w:val="both"/>
        <w:rPr>
          <w:rFonts w:ascii="Times New Roman" w:eastAsia="Calibri" w:hAnsi="Times New Roman" w:cs="Times New Roman"/>
          <w:bCs/>
          <w:color w:val="000000" w:themeColor="text1"/>
          <w:sz w:val="24"/>
          <w:szCs w:val="24"/>
        </w:rPr>
      </w:pPr>
    </w:p>
    <w:p w14:paraId="53B5919F" w14:textId="43BBB673" w:rsidR="00CF181B" w:rsidRPr="00191ACB" w:rsidRDefault="00CF181B" w:rsidP="00F57665">
      <w:pPr>
        <w:spacing w:after="120" w:line="276" w:lineRule="auto"/>
        <w:jc w:val="both"/>
        <w:rPr>
          <w:rFonts w:ascii="Times New Roman" w:eastAsia="Calibri" w:hAnsi="Times New Roman" w:cs="Times New Roman"/>
          <w:bCs/>
          <w:iCs/>
          <w:color w:val="000000" w:themeColor="text1"/>
          <w:sz w:val="24"/>
          <w:szCs w:val="24"/>
        </w:rPr>
      </w:pPr>
      <w:r w:rsidRPr="00191ACB">
        <w:rPr>
          <w:rFonts w:ascii="Times New Roman" w:eastAsia="Calibri" w:hAnsi="Times New Roman" w:cs="Times New Roman"/>
          <w:bCs/>
          <w:color w:val="000000" w:themeColor="text1"/>
          <w:sz w:val="24"/>
          <w:szCs w:val="24"/>
        </w:rPr>
        <w:t>The Electricity Act, 2019 provides for liberalized power sector in Zambia and created an open access regime</w:t>
      </w:r>
      <w:r w:rsidRPr="00191ACB">
        <w:rPr>
          <w:rFonts w:ascii="Times New Roman" w:eastAsia="Calibri" w:hAnsi="Times New Roman" w:cs="Times New Roman"/>
          <w:bCs/>
          <w:iCs/>
          <w:color w:val="000000" w:themeColor="text1"/>
          <w:sz w:val="24"/>
          <w:szCs w:val="24"/>
        </w:rPr>
        <w:t xml:space="preserve"> that encourages development of electricity generation from renewable energy sources in Zambia.</w:t>
      </w:r>
      <w:r w:rsidRPr="00191ACB">
        <w:rPr>
          <w:rFonts w:ascii="Times New Roman" w:eastAsia="Calibri" w:hAnsi="Times New Roman" w:cs="Times New Roman"/>
          <w:color w:val="000000" w:themeColor="text1"/>
          <w:sz w:val="24"/>
          <w:szCs w:val="24"/>
        </w:rPr>
        <w:t xml:space="preserve"> This enables </w:t>
      </w:r>
      <w:r w:rsidR="00ED3F50" w:rsidRPr="00191ACB">
        <w:rPr>
          <w:rFonts w:ascii="Times New Roman" w:eastAsia="Calibri" w:hAnsi="Times New Roman" w:cs="Times New Roman"/>
          <w:color w:val="000000" w:themeColor="text1"/>
          <w:sz w:val="24"/>
          <w:szCs w:val="24"/>
        </w:rPr>
        <w:t xml:space="preserve">participation of </w:t>
      </w:r>
      <w:r w:rsidRPr="00191ACB">
        <w:rPr>
          <w:rFonts w:ascii="Times New Roman" w:eastAsia="Calibri" w:hAnsi="Times New Roman" w:cs="Times New Roman"/>
          <w:bCs/>
          <w:iCs/>
          <w:color w:val="000000" w:themeColor="text1"/>
          <w:sz w:val="24"/>
          <w:szCs w:val="24"/>
        </w:rPr>
        <w:t>private players in generation, transmission and distribution through the Grid Code which sets framework for equitable access to transmission network by all Independent Power Producers (IPP).</w:t>
      </w:r>
    </w:p>
    <w:p w14:paraId="19DB7C43" w14:textId="58378DF4" w:rsidR="00245464" w:rsidRPr="00191ACB" w:rsidRDefault="00245464" w:rsidP="00FD215F">
      <w:pPr>
        <w:pStyle w:val="Heading4"/>
        <w:numPr>
          <w:ilvl w:val="3"/>
          <w:numId w:val="36"/>
        </w:numPr>
        <w:ind w:left="851" w:hanging="851"/>
        <w:rPr>
          <w:rFonts w:cs="Times New Roman"/>
        </w:rPr>
      </w:pPr>
      <w:r w:rsidRPr="00191ACB">
        <w:rPr>
          <w:rFonts w:cs="Times New Roman"/>
        </w:rPr>
        <w:t xml:space="preserve">Mitigation Strategies and </w:t>
      </w:r>
      <w:r w:rsidR="00ED3F50" w:rsidRPr="00191ACB">
        <w:rPr>
          <w:rFonts w:cs="Times New Roman"/>
        </w:rPr>
        <w:t>P</w:t>
      </w:r>
      <w:r w:rsidRPr="00191ACB">
        <w:rPr>
          <w:rFonts w:cs="Times New Roman"/>
        </w:rPr>
        <w:t xml:space="preserve">rogrammes </w:t>
      </w:r>
    </w:p>
    <w:p w14:paraId="143AD0A3" w14:textId="01CA7663" w:rsidR="00245464" w:rsidRPr="00191ACB" w:rsidRDefault="00245464" w:rsidP="00F57665">
      <w:pPr>
        <w:spacing w:after="120" w:line="276" w:lineRule="auto"/>
        <w:jc w:val="both"/>
        <w:rPr>
          <w:rFonts w:ascii="Times New Roman" w:eastAsia="Calibri" w:hAnsi="Times New Roman" w:cs="Times New Roman"/>
          <w:bCs/>
          <w:color w:val="000000" w:themeColor="text1"/>
          <w:sz w:val="24"/>
          <w:szCs w:val="24"/>
        </w:rPr>
      </w:pPr>
      <w:r w:rsidRPr="00191ACB">
        <w:rPr>
          <w:rFonts w:ascii="Times New Roman" w:eastAsia="Calibri" w:hAnsi="Times New Roman" w:cs="Times New Roman"/>
          <w:bCs/>
          <w:iCs/>
          <w:color w:val="000000" w:themeColor="text1"/>
          <w:sz w:val="24"/>
          <w:szCs w:val="24"/>
        </w:rPr>
        <w:t>The Renewable Energy Feed in Tariff (</w:t>
      </w:r>
      <w:r w:rsidRPr="00191ACB">
        <w:rPr>
          <w:rFonts w:ascii="Times New Roman" w:eastAsia="Calibri" w:hAnsi="Times New Roman" w:cs="Times New Roman"/>
          <w:bCs/>
          <w:color w:val="000000" w:themeColor="text1"/>
          <w:sz w:val="24"/>
          <w:szCs w:val="24"/>
        </w:rPr>
        <w:t>REF</w:t>
      </w:r>
      <w:r w:rsidR="009A2470" w:rsidRPr="00191ACB">
        <w:rPr>
          <w:rFonts w:ascii="Times New Roman" w:eastAsia="Calibri" w:hAnsi="Times New Roman" w:cs="Times New Roman"/>
          <w:bCs/>
          <w:color w:val="000000" w:themeColor="text1"/>
          <w:sz w:val="24"/>
          <w:szCs w:val="24"/>
        </w:rPr>
        <w:t>i</w:t>
      </w:r>
      <w:r w:rsidRPr="00191ACB">
        <w:rPr>
          <w:rFonts w:ascii="Times New Roman" w:eastAsia="Calibri" w:hAnsi="Times New Roman" w:cs="Times New Roman"/>
          <w:bCs/>
          <w:color w:val="000000" w:themeColor="text1"/>
          <w:sz w:val="24"/>
          <w:szCs w:val="24"/>
        </w:rPr>
        <w:t xml:space="preserve">T) </w:t>
      </w:r>
      <w:r w:rsidR="009A2470" w:rsidRPr="00191ACB">
        <w:rPr>
          <w:rFonts w:ascii="Times New Roman" w:eastAsia="Calibri" w:hAnsi="Times New Roman" w:cs="Times New Roman"/>
          <w:bCs/>
          <w:iCs/>
          <w:color w:val="000000" w:themeColor="text1"/>
          <w:sz w:val="24"/>
          <w:szCs w:val="24"/>
        </w:rPr>
        <w:t>Strategy</w:t>
      </w:r>
      <w:r w:rsidR="009A2470" w:rsidRPr="00191ACB">
        <w:rPr>
          <w:rFonts w:ascii="Times New Roman" w:eastAsia="Calibri" w:hAnsi="Times New Roman" w:cs="Times New Roman"/>
          <w:bCs/>
          <w:color w:val="000000" w:themeColor="text1"/>
          <w:sz w:val="24"/>
          <w:szCs w:val="24"/>
        </w:rPr>
        <w:t xml:space="preserve"> </w:t>
      </w:r>
      <w:r w:rsidRPr="00191ACB">
        <w:rPr>
          <w:rFonts w:ascii="Times New Roman" w:eastAsia="Calibri" w:hAnsi="Times New Roman" w:cs="Times New Roman"/>
          <w:bCs/>
          <w:color w:val="000000" w:themeColor="text1"/>
          <w:sz w:val="24"/>
          <w:szCs w:val="24"/>
        </w:rPr>
        <w:t>was formulated in 2017 to promote investments in Renewable Energy development. The objective of the REFiT strategy is to harness the renewable energy sector’s potential to drive economic growth and improve the quality of life for all Zambians. This will be achieved through the promotion of small and medium-sized renewable energy projects of up to 20 MW, quick deployment of private investment for small- and medium-sized renewable energy projects and ensuring cost-effective tariffs through transparency and competition in the sector</w:t>
      </w:r>
      <w:r w:rsidR="00D34334" w:rsidRPr="00191ACB" w:rsidDel="00D34334">
        <w:rPr>
          <w:rFonts w:ascii="Times New Roman" w:eastAsia="Calibri" w:hAnsi="Times New Roman" w:cs="Times New Roman"/>
          <w:bCs/>
          <w:color w:val="000000" w:themeColor="text1"/>
          <w:sz w:val="24"/>
          <w:szCs w:val="24"/>
          <w:vertAlign w:val="superscript"/>
        </w:rPr>
        <w:t xml:space="preserve"> </w:t>
      </w:r>
      <w:r w:rsidRPr="00191ACB">
        <w:rPr>
          <w:rFonts w:ascii="Times New Roman" w:eastAsia="Calibri" w:hAnsi="Times New Roman" w:cs="Times New Roman"/>
          <w:bCs/>
          <w:color w:val="000000" w:themeColor="text1"/>
          <w:sz w:val="24"/>
          <w:szCs w:val="24"/>
        </w:rPr>
        <w:t>(</w:t>
      </w:r>
      <w:r w:rsidR="009A2470" w:rsidRPr="00191ACB">
        <w:rPr>
          <w:rFonts w:ascii="Times New Roman" w:eastAsia="Calibri" w:hAnsi="Times New Roman" w:cs="Times New Roman"/>
          <w:bCs/>
          <w:color w:val="000000" w:themeColor="text1"/>
          <w:sz w:val="24"/>
          <w:szCs w:val="24"/>
        </w:rPr>
        <w:t>GRZ</w:t>
      </w:r>
      <w:r w:rsidRPr="00191ACB">
        <w:rPr>
          <w:rFonts w:ascii="Times New Roman" w:eastAsia="Calibri" w:hAnsi="Times New Roman" w:cs="Times New Roman"/>
          <w:bCs/>
          <w:color w:val="000000" w:themeColor="text1"/>
          <w:sz w:val="24"/>
          <w:szCs w:val="24"/>
        </w:rPr>
        <w:t>, 2018).</w:t>
      </w:r>
    </w:p>
    <w:p w14:paraId="6152B7FB" w14:textId="0F881AB6" w:rsidR="00245464" w:rsidRPr="00191ACB" w:rsidRDefault="00245464" w:rsidP="00FD215F">
      <w:pPr>
        <w:pStyle w:val="ListParagraph"/>
        <w:numPr>
          <w:ilvl w:val="5"/>
          <w:numId w:val="34"/>
        </w:numPr>
        <w:spacing w:after="120" w:line="240" w:lineRule="auto"/>
        <w:ind w:left="709" w:hanging="567"/>
        <w:jc w:val="both"/>
        <w:rPr>
          <w:rFonts w:eastAsia="Calibri"/>
          <w:b/>
          <w:color w:val="000000" w:themeColor="text1"/>
        </w:rPr>
      </w:pPr>
      <w:r w:rsidRPr="00191ACB">
        <w:rPr>
          <w:rFonts w:eastAsia="Calibri"/>
          <w:b/>
          <w:color w:val="000000" w:themeColor="text1"/>
        </w:rPr>
        <w:lastRenderedPageBreak/>
        <w:t>Capital support</w:t>
      </w:r>
    </w:p>
    <w:p w14:paraId="3D68EFED" w14:textId="28F27E1C"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shd w:val="clear" w:color="auto" w:fill="FFFFFF"/>
        </w:rPr>
        <w:t>The Industrial Development Co</w:t>
      </w:r>
      <w:r w:rsidR="009A2470" w:rsidRPr="00191ACB">
        <w:rPr>
          <w:rFonts w:ascii="Times New Roman" w:eastAsia="Calibri" w:hAnsi="Times New Roman" w:cs="Times New Roman"/>
          <w:color w:val="000000" w:themeColor="text1"/>
          <w:sz w:val="24"/>
          <w:szCs w:val="24"/>
          <w:shd w:val="clear" w:color="auto" w:fill="FFFFFF"/>
        </w:rPr>
        <w:t xml:space="preserve">rporation (IDC) </w:t>
      </w:r>
      <w:r w:rsidRPr="00191ACB">
        <w:rPr>
          <w:rFonts w:ascii="Times New Roman" w:eastAsia="Calibri" w:hAnsi="Times New Roman" w:cs="Times New Roman"/>
          <w:color w:val="000000" w:themeColor="text1"/>
          <w:sz w:val="24"/>
          <w:szCs w:val="24"/>
          <w:shd w:val="clear" w:color="auto" w:fill="FFFFFF"/>
        </w:rPr>
        <w:t xml:space="preserve">Limited is an investments holding company wholly owned by the Government of Zambia. The IDC is mandated to play a catalytic role in deepening and supporting Zambia’s industrialisation capacity to promote job creation and domestic wealth </w:t>
      </w:r>
      <w:r w:rsidR="009A2470" w:rsidRPr="00191ACB">
        <w:rPr>
          <w:rFonts w:ascii="Times New Roman" w:eastAsia="Calibri" w:hAnsi="Times New Roman" w:cs="Times New Roman"/>
          <w:color w:val="000000" w:themeColor="text1"/>
          <w:sz w:val="24"/>
          <w:szCs w:val="24"/>
          <w:shd w:val="clear" w:color="auto" w:fill="FFFFFF"/>
        </w:rPr>
        <w:t>crea</w:t>
      </w:r>
      <w:r w:rsidRPr="00191ACB">
        <w:rPr>
          <w:rFonts w:ascii="Times New Roman" w:eastAsia="Calibri" w:hAnsi="Times New Roman" w:cs="Times New Roman"/>
          <w:color w:val="000000" w:themeColor="text1"/>
          <w:sz w:val="24"/>
          <w:szCs w:val="24"/>
          <w:shd w:val="clear" w:color="auto" w:fill="FFFFFF"/>
        </w:rPr>
        <w:t>tion across key economic sectors.</w:t>
      </w:r>
      <w:r w:rsidRPr="00191ACB">
        <w:rPr>
          <w:rFonts w:ascii="Times New Roman" w:eastAsia="Calibri" w:hAnsi="Times New Roman" w:cs="Times New Roman"/>
          <w:color w:val="000000" w:themeColor="text1"/>
          <w:sz w:val="24"/>
          <w:szCs w:val="24"/>
        </w:rPr>
        <w:t xml:space="preserve"> The IDC plays its role through evaluation, pricing and lowering the investment risk profile by serving as co-investor alongside private sector investors. With regard to the energy sector, the IDC is governments shareholder in ZESCO Limited and is currently spearheading the Scaling-up Solar Initiative with a target of installing a total 600MW grid-connected Solar PV.</w:t>
      </w:r>
    </w:p>
    <w:p w14:paraId="168DA123" w14:textId="35511011" w:rsidR="00245464" w:rsidRPr="00191ACB" w:rsidRDefault="00245464" w:rsidP="00FD215F">
      <w:pPr>
        <w:pStyle w:val="ListParagraph"/>
        <w:numPr>
          <w:ilvl w:val="5"/>
          <w:numId w:val="34"/>
        </w:numPr>
        <w:spacing w:after="120" w:line="240" w:lineRule="auto"/>
        <w:ind w:left="851" w:hanging="709"/>
        <w:jc w:val="both"/>
        <w:rPr>
          <w:rFonts w:eastAsia="Calibri"/>
          <w:b/>
          <w:color w:val="000000" w:themeColor="text1"/>
        </w:rPr>
      </w:pPr>
      <w:r w:rsidRPr="00191ACB">
        <w:rPr>
          <w:rFonts w:eastAsia="Calibri"/>
          <w:b/>
          <w:color w:val="000000" w:themeColor="text1"/>
        </w:rPr>
        <w:t>Incentives</w:t>
      </w:r>
    </w:p>
    <w:p w14:paraId="526B8512"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In 2011, the Zambian government amended the second schedule of the ZDA Act through the issuing of Statutory Instrument No. 15 of 2011. Through this the energy sector was declared as a priority sector, establishing the right of the energy sector to qualify for incentives provided under ZDA. Before this Amendment, only mini hydro power plants qualified for tax concessions, as opposed to major power plant projects (ZDA, 2011).</w:t>
      </w:r>
    </w:p>
    <w:p w14:paraId="49DC8B73" w14:textId="76EAA346" w:rsidR="00245464" w:rsidRPr="00191ACB" w:rsidRDefault="00245464" w:rsidP="00FD215F">
      <w:pPr>
        <w:pStyle w:val="Heading4"/>
        <w:numPr>
          <w:ilvl w:val="3"/>
          <w:numId w:val="36"/>
        </w:numPr>
        <w:ind w:left="851" w:hanging="851"/>
        <w:rPr>
          <w:rFonts w:cs="Times New Roman"/>
        </w:rPr>
      </w:pPr>
      <w:r w:rsidRPr="00191ACB">
        <w:rPr>
          <w:rFonts w:cs="Times New Roman"/>
        </w:rPr>
        <w:t>Other Measures</w:t>
      </w:r>
    </w:p>
    <w:p w14:paraId="2CDEAA59" w14:textId="39B80B01"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The government issued Statutory Instrument (SI) 74 in 2016 banning the manufacturing and importation of incandescent lamps, which came in effect on 1</w:t>
      </w:r>
      <w:r w:rsidRPr="00191ACB">
        <w:rPr>
          <w:rFonts w:ascii="Times New Roman" w:eastAsia="Times New Roman" w:hAnsi="Times New Roman" w:cs="Times New Roman"/>
          <w:color w:val="000000" w:themeColor="text1"/>
          <w:sz w:val="24"/>
          <w:szCs w:val="24"/>
          <w:vertAlign w:val="superscript"/>
        </w:rPr>
        <w:t>st</w:t>
      </w:r>
      <w:r w:rsidRPr="00191ACB">
        <w:rPr>
          <w:rFonts w:ascii="Times New Roman" w:eastAsia="Times New Roman" w:hAnsi="Times New Roman" w:cs="Times New Roman"/>
          <w:color w:val="000000" w:themeColor="text1"/>
          <w:sz w:val="24"/>
          <w:szCs w:val="24"/>
        </w:rPr>
        <w:t xml:space="preserve"> January, 2017. This is expected to reduce demand by 200 MW, effectively freeing up generating capacity over a shorter time frame and at lower cost than could be achieved by building new capacity.</w:t>
      </w:r>
    </w:p>
    <w:p w14:paraId="7539DD90" w14:textId="31C526D3" w:rsidR="00245464" w:rsidRPr="00191ACB" w:rsidRDefault="00245464" w:rsidP="005E626A">
      <w:pPr>
        <w:spacing w:after="120" w:line="240" w:lineRule="auto"/>
        <w:contextualSpacing/>
        <w:jc w:val="both"/>
        <w:rPr>
          <w:rFonts w:ascii="Times New Roman" w:eastAsia="Times New Roman" w:hAnsi="Times New Roman" w:cs="Times New Roman"/>
          <w:color w:val="000000" w:themeColor="text1"/>
          <w:sz w:val="24"/>
          <w:szCs w:val="24"/>
        </w:rPr>
      </w:pPr>
      <w:r w:rsidRPr="00191ACB">
        <w:rPr>
          <w:rFonts w:ascii="Times New Roman" w:eastAsia="+mn-ea" w:hAnsi="Times New Roman" w:cs="Times New Roman"/>
          <w:color w:val="000000" w:themeColor="text1"/>
          <w:kern w:val="24"/>
          <w:sz w:val="24"/>
          <w:szCs w:val="24"/>
        </w:rPr>
        <w:t>Government is phasing out incandescent bulbs through SI 74 of 2016 in line with SADC Agreement. Further, promoting energy efficient lighting (wa</w:t>
      </w:r>
      <w:r w:rsidR="009A2470" w:rsidRPr="00191ACB">
        <w:rPr>
          <w:rFonts w:ascii="Times New Roman" w:eastAsia="+mn-ea" w:hAnsi="Times New Roman" w:cs="Times New Roman"/>
          <w:color w:val="000000" w:themeColor="text1"/>
          <w:kern w:val="24"/>
          <w:sz w:val="24"/>
          <w:szCs w:val="24"/>
        </w:rPr>
        <w:t>i</w:t>
      </w:r>
      <w:r w:rsidRPr="00191ACB">
        <w:rPr>
          <w:rFonts w:ascii="Times New Roman" w:eastAsia="+mn-ea" w:hAnsi="Times New Roman" w:cs="Times New Roman"/>
          <w:color w:val="000000" w:themeColor="text1"/>
          <w:kern w:val="24"/>
          <w:sz w:val="24"/>
          <w:szCs w:val="24"/>
        </w:rPr>
        <w:t>ved duty and VAT on energy efficient lamps and other equipment). The government is promoting m</w:t>
      </w:r>
      <w:r w:rsidRPr="00191ACB">
        <w:rPr>
          <w:rFonts w:ascii="Times New Roman" w:eastAsia="Tahoma" w:hAnsi="Times New Roman" w:cs="Times New Roman"/>
          <w:color w:val="000000" w:themeColor="text1"/>
          <w:kern w:val="24"/>
          <w:sz w:val="24"/>
          <w:szCs w:val="24"/>
        </w:rPr>
        <w:t xml:space="preserve">igration to the use of energy efficient lights such as CFLs and LEDs, instead of incandescent bulb. </w:t>
      </w:r>
    </w:p>
    <w:p w14:paraId="47F5D738"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3D4E6D90" w14:textId="2BB96D4D" w:rsidR="00245464" w:rsidRPr="00191ACB" w:rsidRDefault="00245464" w:rsidP="00FD215F">
      <w:pPr>
        <w:pStyle w:val="ListParagraph"/>
        <w:numPr>
          <w:ilvl w:val="2"/>
          <w:numId w:val="31"/>
        </w:numPr>
        <w:autoSpaceDE w:val="0"/>
        <w:autoSpaceDN w:val="0"/>
        <w:adjustRightInd w:val="0"/>
        <w:spacing w:after="120" w:line="240" w:lineRule="auto"/>
        <w:ind w:left="709" w:hanging="567"/>
        <w:jc w:val="both"/>
        <w:rPr>
          <w:rFonts w:eastAsia="Calibri"/>
          <w:b/>
          <w:color w:val="000000" w:themeColor="text1"/>
        </w:rPr>
      </w:pPr>
      <w:r w:rsidRPr="00191ACB">
        <w:rPr>
          <w:rFonts w:eastAsia="Calibri"/>
          <w:b/>
          <w:color w:val="000000" w:themeColor="text1"/>
        </w:rPr>
        <w:t>Projects</w:t>
      </w:r>
    </w:p>
    <w:p w14:paraId="04CE0E93" w14:textId="3DF743FF" w:rsidR="00245464" w:rsidRPr="00191ACB" w:rsidRDefault="00245464" w:rsidP="005E626A">
      <w:pPr>
        <w:spacing w:after="12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In addition to policies, strategies, programmes and other measures, there are a number of projects on renewable energy and energy efficiency currently being implemented in Zambia. These projects include; grid extension/electrification, solar PV (utility scale and solar home systems), Geothermal, hydro, wind</w:t>
      </w:r>
      <w:r w:rsidR="00317DF5" w:rsidRPr="00191ACB">
        <w:rPr>
          <w:rFonts w:ascii="Times New Roman" w:eastAsia="Calibri" w:hAnsi="Times New Roman" w:cs="Times New Roman"/>
          <w:color w:val="000000" w:themeColor="text1"/>
          <w:sz w:val="24"/>
          <w:szCs w:val="24"/>
        </w:rPr>
        <w:t>.</w:t>
      </w:r>
    </w:p>
    <w:p w14:paraId="236CEE95" w14:textId="77777777" w:rsidR="004678D3" w:rsidRPr="00191ACB" w:rsidRDefault="004678D3" w:rsidP="005E626A">
      <w:pPr>
        <w:spacing w:after="120" w:line="240" w:lineRule="auto"/>
        <w:jc w:val="both"/>
        <w:rPr>
          <w:rFonts w:ascii="Times New Roman" w:eastAsia="Calibri" w:hAnsi="Times New Roman" w:cs="Times New Roman"/>
          <w:color w:val="000000" w:themeColor="text1"/>
          <w:sz w:val="24"/>
          <w:szCs w:val="24"/>
        </w:rPr>
      </w:pPr>
    </w:p>
    <w:p w14:paraId="7011C809" w14:textId="0CDA54A6" w:rsidR="00245464" w:rsidRPr="00322A92" w:rsidRDefault="00417092" w:rsidP="00FD215F">
      <w:pPr>
        <w:pStyle w:val="Heading3"/>
        <w:numPr>
          <w:ilvl w:val="2"/>
          <w:numId w:val="36"/>
        </w:numPr>
        <w:ind w:left="851" w:hanging="709"/>
        <w:rPr>
          <w:rFonts w:cs="Times New Roman"/>
          <w:szCs w:val="24"/>
        </w:rPr>
      </w:pPr>
      <w:bookmarkStart w:id="303" w:name="_Toc13582202"/>
      <w:bookmarkStart w:id="304" w:name="_Toc26264910"/>
      <w:bookmarkStart w:id="305" w:name="_Toc57902865"/>
      <w:r w:rsidRPr="00322A92">
        <w:rPr>
          <w:rFonts w:cs="Times New Roman"/>
          <w:szCs w:val="24"/>
        </w:rPr>
        <w:t>Industrial Processes and Product Use</w:t>
      </w:r>
      <w:bookmarkEnd w:id="303"/>
      <w:bookmarkEnd w:id="304"/>
      <w:bookmarkEnd w:id="305"/>
    </w:p>
    <w:p w14:paraId="28FBBB8C" w14:textId="0A077042" w:rsidR="00872147" w:rsidRDefault="00872147" w:rsidP="00872147">
      <w:pPr>
        <w:spacing w:after="12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mitigation policies and measures for the Industrial Processes and Product Use sector are spelt out in the Vision 2030 and other relevant policies, strategies and plans. The Vision 2030 provides a framework for sustainable development.</w:t>
      </w:r>
    </w:p>
    <w:p w14:paraId="5A6A4966" w14:textId="77777777" w:rsidR="00191ACB" w:rsidRPr="00191ACB" w:rsidRDefault="00191ACB" w:rsidP="00872147">
      <w:pPr>
        <w:spacing w:after="120" w:line="240" w:lineRule="auto"/>
        <w:jc w:val="both"/>
        <w:rPr>
          <w:rFonts w:ascii="Times New Roman" w:eastAsia="Calibri" w:hAnsi="Times New Roman" w:cs="Times New Roman"/>
          <w:color w:val="000000" w:themeColor="text1"/>
          <w:sz w:val="24"/>
          <w:szCs w:val="24"/>
        </w:rPr>
      </w:pPr>
    </w:p>
    <w:p w14:paraId="5C56A13B" w14:textId="7498F5B7" w:rsidR="00872147" w:rsidRPr="00322A92" w:rsidRDefault="00872147" w:rsidP="00FD215F">
      <w:pPr>
        <w:pStyle w:val="Heading4"/>
        <w:numPr>
          <w:ilvl w:val="3"/>
          <w:numId w:val="36"/>
        </w:numPr>
        <w:ind w:left="851" w:hanging="851"/>
        <w:rPr>
          <w:rFonts w:cs="Times New Roman"/>
        </w:rPr>
      </w:pPr>
      <w:bookmarkStart w:id="306" w:name="_Toc50109806"/>
      <w:r w:rsidRPr="00322A92">
        <w:rPr>
          <w:rFonts w:cs="Times New Roman"/>
        </w:rPr>
        <w:t>Mitigation Policies to Reduce Emissions</w:t>
      </w:r>
      <w:bookmarkEnd w:id="306"/>
    </w:p>
    <w:p w14:paraId="02743731" w14:textId="77777777" w:rsidR="00872147" w:rsidRPr="00191ACB" w:rsidRDefault="00872147" w:rsidP="00E435F6">
      <w:pPr>
        <w:numPr>
          <w:ilvl w:val="0"/>
          <w:numId w:val="51"/>
        </w:numPr>
        <w:pBdr>
          <w:top w:val="nil"/>
          <w:left w:val="nil"/>
          <w:bottom w:val="nil"/>
          <w:right w:val="nil"/>
          <w:between w:val="nil"/>
        </w:pBdr>
        <w:spacing w:before="240" w:after="0" w:line="276" w:lineRule="auto"/>
        <w:ind w:left="540"/>
        <w:rPr>
          <w:rFonts w:ascii="Times New Roman" w:hAnsi="Times New Roman" w:cs="Times New Roman"/>
          <w:b/>
          <w:color w:val="000000"/>
          <w:sz w:val="24"/>
          <w:szCs w:val="24"/>
        </w:rPr>
      </w:pPr>
      <w:r w:rsidRPr="00191ACB">
        <w:rPr>
          <w:rFonts w:ascii="Times New Roman" w:hAnsi="Times New Roman" w:cs="Times New Roman"/>
          <w:b/>
          <w:color w:val="000000"/>
          <w:sz w:val="24"/>
          <w:szCs w:val="24"/>
        </w:rPr>
        <w:t xml:space="preserve">National Industrial Policy of 2018 </w:t>
      </w:r>
    </w:p>
    <w:p w14:paraId="3F7615B6" w14:textId="77777777" w:rsidR="00872147" w:rsidRPr="00191ACB" w:rsidRDefault="00872147" w:rsidP="00872147">
      <w:pPr>
        <w:spacing w:before="240" w:line="276" w:lineRule="auto"/>
        <w:rPr>
          <w:rFonts w:ascii="Times New Roman" w:hAnsi="Times New Roman" w:cs="Times New Roman"/>
          <w:sz w:val="24"/>
          <w:szCs w:val="24"/>
        </w:rPr>
      </w:pPr>
      <w:r w:rsidRPr="00191ACB">
        <w:rPr>
          <w:rFonts w:ascii="Times New Roman" w:eastAsia="Calibri" w:hAnsi="Times New Roman" w:cs="Times New Roman"/>
          <w:color w:val="000000" w:themeColor="text1"/>
          <w:sz w:val="24"/>
          <w:szCs w:val="24"/>
        </w:rPr>
        <w:t>The National Industrial Policy (NIP) seeks to promote interventions towards climate change and encourage investment using green and clean technology. One of the strategic objectives of the NIP is to promote environmentally sustainable industrial production</w:t>
      </w:r>
      <w:r w:rsidRPr="00191ACB">
        <w:rPr>
          <w:rFonts w:ascii="Times New Roman" w:hAnsi="Times New Roman" w:cs="Times New Roman"/>
          <w:sz w:val="24"/>
          <w:szCs w:val="24"/>
        </w:rPr>
        <w:t>.</w:t>
      </w:r>
    </w:p>
    <w:p w14:paraId="302BC8D4" w14:textId="77777777" w:rsidR="00872147" w:rsidRPr="00191ACB" w:rsidRDefault="00872147" w:rsidP="00E435F6">
      <w:pPr>
        <w:numPr>
          <w:ilvl w:val="0"/>
          <w:numId w:val="51"/>
        </w:numPr>
        <w:pBdr>
          <w:top w:val="nil"/>
          <w:left w:val="nil"/>
          <w:bottom w:val="nil"/>
          <w:right w:val="nil"/>
          <w:between w:val="nil"/>
        </w:pBdr>
        <w:spacing w:before="240" w:after="0" w:line="276" w:lineRule="auto"/>
        <w:ind w:left="540"/>
        <w:jc w:val="both"/>
        <w:rPr>
          <w:rFonts w:ascii="Times New Roman" w:hAnsi="Times New Roman" w:cs="Times New Roman"/>
          <w:b/>
          <w:color w:val="000000"/>
          <w:sz w:val="24"/>
          <w:szCs w:val="24"/>
        </w:rPr>
      </w:pPr>
      <w:r w:rsidRPr="00191ACB">
        <w:rPr>
          <w:rFonts w:ascii="Times New Roman" w:hAnsi="Times New Roman" w:cs="Times New Roman"/>
          <w:b/>
          <w:color w:val="000000"/>
          <w:sz w:val="24"/>
          <w:szCs w:val="24"/>
        </w:rPr>
        <w:t>The Standards Act of 2017</w:t>
      </w:r>
    </w:p>
    <w:p w14:paraId="1AC4321A" w14:textId="77777777" w:rsidR="00872147" w:rsidRPr="00191ACB" w:rsidRDefault="00872147" w:rsidP="007173A7">
      <w:pPr>
        <w:spacing w:before="240" w:line="276" w:lineRule="auto"/>
        <w:rPr>
          <w:rFonts w:ascii="Times New Roman" w:hAnsi="Times New Roman" w:cs="Times New Roman"/>
          <w:sz w:val="24"/>
          <w:szCs w:val="24"/>
        </w:rPr>
      </w:pPr>
      <w:r w:rsidRPr="00191ACB">
        <w:rPr>
          <w:rFonts w:ascii="Times New Roman" w:eastAsia="Calibri" w:hAnsi="Times New Roman" w:cs="Times New Roman"/>
          <w:color w:val="000000" w:themeColor="text1"/>
          <w:sz w:val="24"/>
          <w:szCs w:val="24"/>
        </w:rPr>
        <w:lastRenderedPageBreak/>
        <w:t>The Standards Act No.4 of 2017 provides for standardization and quality assurance of all industrial products manufactured within the country as well as those imported. The Act also provides for the setting up of national standards and provision of conformity assessment services to products and services</w:t>
      </w:r>
      <w:r w:rsidRPr="00191ACB">
        <w:rPr>
          <w:rFonts w:ascii="Times New Roman" w:hAnsi="Times New Roman" w:cs="Times New Roman"/>
          <w:sz w:val="24"/>
          <w:szCs w:val="24"/>
        </w:rPr>
        <w:t>.</w:t>
      </w:r>
    </w:p>
    <w:p w14:paraId="14744A1D" w14:textId="023D7603" w:rsidR="00872147" w:rsidRPr="00322A92" w:rsidRDefault="00872147" w:rsidP="00FD215F">
      <w:pPr>
        <w:pStyle w:val="Heading4"/>
        <w:numPr>
          <w:ilvl w:val="3"/>
          <w:numId w:val="36"/>
        </w:numPr>
        <w:ind w:left="851" w:hanging="851"/>
        <w:rPr>
          <w:rFonts w:cs="Times New Roman"/>
        </w:rPr>
      </w:pPr>
      <w:bookmarkStart w:id="307" w:name="_Toc50109807"/>
      <w:r w:rsidRPr="00322A92">
        <w:rPr>
          <w:rFonts w:cs="Times New Roman"/>
        </w:rPr>
        <w:t>Mitigation Strategies and Programmes</w:t>
      </w:r>
      <w:bookmarkStart w:id="308" w:name="_1yib0wl" w:colFirst="0" w:colLast="0"/>
      <w:bookmarkEnd w:id="307"/>
      <w:bookmarkEnd w:id="308"/>
    </w:p>
    <w:p w14:paraId="0AE50F49" w14:textId="77777777" w:rsidR="00191ACB" w:rsidRPr="00191ACB" w:rsidRDefault="00191ACB" w:rsidP="00191ACB">
      <w:pPr>
        <w:pStyle w:val="ListParagraph"/>
        <w:autoSpaceDE w:val="0"/>
        <w:autoSpaceDN w:val="0"/>
        <w:adjustRightInd w:val="0"/>
        <w:spacing w:after="120" w:line="240" w:lineRule="auto"/>
        <w:jc w:val="both"/>
        <w:rPr>
          <w:rFonts w:eastAsia="Calibri"/>
          <w:b/>
          <w:color w:val="000000" w:themeColor="text1"/>
        </w:rPr>
      </w:pPr>
    </w:p>
    <w:p w14:paraId="4C4BEDB6" w14:textId="77777777" w:rsidR="00872147" w:rsidRPr="00191ACB" w:rsidRDefault="00872147" w:rsidP="00E435F6">
      <w:pPr>
        <w:numPr>
          <w:ilvl w:val="0"/>
          <w:numId w:val="52"/>
        </w:numPr>
        <w:pBdr>
          <w:top w:val="nil"/>
          <w:left w:val="nil"/>
          <w:bottom w:val="nil"/>
          <w:right w:val="nil"/>
          <w:between w:val="nil"/>
        </w:pBdr>
        <w:spacing w:after="240" w:line="276" w:lineRule="auto"/>
        <w:jc w:val="both"/>
        <w:rPr>
          <w:rFonts w:ascii="Times New Roman" w:hAnsi="Times New Roman" w:cs="Times New Roman"/>
          <w:b/>
          <w:color w:val="000000"/>
          <w:sz w:val="24"/>
          <w:szCs w:val="24"/>
        </w:rPr>
      </w:pPr>
      <w:r w:rsidRPr="00191ACB">
        <w:rPr>
          <w:rFonts w:ascii="Times New Roman" w:hAnsi="Times New Roman" w:cs="Times New Roman"/>
          <w:b/>
          <w:color w:val="000000"/>
          <w:sz w:val="24"/>
          <w:szCs w:val="24"/>
        </w:rPr>
        <w:t xml:space="preserve">The National Investment Strategy, 2018 to 2022 </w:t>
      </w:r>
    </w:p>
    <w:p w14:paraId="17EB3B48" w14:textId="77777777" w:rsidR="00872147" w:rsidRPr="00191ACB" w:rsidRDefault="00872147" w:rsidP="007173A7">
      <w:pPr>
        <w:spacing w:before="240" w:line="276"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National Investment Strategy for the period 2018 to 2022 was put in place to create a conducive environment for investment growth through the implementation of a coordinated approach to sustainable investment promotion, facilitation and maintenance. The Strategy identifies priority sectors for investment in manufacturing, construction, agriculture, tourism, education, energy, information and communication technology and health. These sectors and their subsequent sub-sectors are chosen in line government policy of industrialisation, job creation and export products diversification. The manufacturing, tourism, construction and agriculture sectors have been identified as priority sectors due to their potential for employment creation and industrial development. The Strategy provides for consideration of climate change and environmental protection in industrial processes.</w:t>
      </w:r>
    </w:p>
    <w:p w14:paraId="364DFCAB" w14:textId="77777777" w:rsidR="00872147" w:rsidRPr="00191ACB" w:rsidRDefault="00872147" w:rsidP="00FD215F">
      <w:pPr>
        <w:numPr>
          <w:ilvl w:val="0"/>
          <w:numId w:val="52"/>
        </w:numPr>
        <w:pBdr>
          <w:top w:val="nil"/>
          <w:left w:val="nil"/>
          <w:bottom w:val="nil"/>
          <w:right w:val="nil"/>
          <w:between w:val="nil"/>
        </w:pBdr>
        <w:spacing w:before="240" w:after="0" w:line="276" w:lineRule="auto"/>
        <w:ind w:left="567" w:hanging="425"/>
        <w:jc w:val="both"/>
        <w:rPr>
          <w:rFonts w:ascii="Times New Roman" w:hAnsi="Times New Roman" w:cs="Times New Roman"/>
          <w:b/>
          <w:color w:val="000000"/>
          <w:sz w:val="24"/>
          <w:szCs w:val="24"/>
        </w:rPr>
      </w:pPr>
      <w:r w:rsidRPr="00191ACB">
        <w:rPr>
          <w:rFonts w:ascii="Times New Roman" w:hAnsi="Times New Roman" w:cs="Times New Roman"/>
          <w:b/>
          <w:color w:val="000000"/>
          <w:sz w:val="24"/>
          <w:szCs w:val="24"/>
        </w:rPr>
        <w:tab/>
        <w:t>Other Measures</w:t>
      </w:r>
    </w:p>
    <w:p w14:paraId="68E2F8D8" w14:textId="77777777" w:rsidR="00872147" w:rsidRPr="00191ACB" w:rsidRDefault="00872147" w:rsidP="007173A7">
      <w:pPr>
        <w:spacing w:before="240" w:line="276" w:lineRule="auto"/>
        <w:rPr>
          <w:rFonts w:ascii="Times New Roman" w:hAnsi="Times New Roman" w:cs="Times New Roman"/>
          <w:sz w:val="24"/>
          <w:szCs w:val="24"/>
        </w:rPr>
      </w:pPr>
      <w:r w:rsidRPr="00191ACB">
        <w:rPr>
          <w:rFonts w:ascii="Times New Roman" w:eastAsia="Calibri" w:hAnsi="Times New Roman" w:cs="Times New Roman"/>
          <w:color w:val="000000" w:themeColor="text1"/>
          <w:sz w:val="24"/>
          <w:szCs w:val="24"/>
        </w:rPr>
        <w:t>The sector has continued to apply environmental impact assessments and strategic environmental assessments that aim at promoting sustainable production and consumption.</w:t>
      </w:r>
      <w:r w:rsidRPr="00191ACB">
        <w:rPr>
          <w:rFonts w:ascii="Times New Roman" w:hAnsi="Times New Roman" w:cs="Times New Roman"/>
          <w:sz w:val="24"/>
          <w:szCs w:val="24"/>
        </w:rPr>
        <w:t xml:space="preserve"> </w:t>
      </w:r>
    </w:p>
    <w:p w14:paraId="4AC94D4E" w14:textId="77777777" w:rsidR="00C27BFD" w:rsidRPr="00191ACB" w:rsidRDefault="00C27BFD" w:rsidP="005E626A">
      <w:pPr>
        <w:spacing w:after="120" w:line="240" w:lineRule="auto"/>
        <w:jc w:val="both"/>
        <w:rPr>
          <w:rFonts w:ascii="Times New Roman" w:eastAsia="Calibri" w:hAnsi="Times New Roman" w:cs="Times New Roman"/>
          <w:color w:val="000000" w:themeColor="text1"/>
          <w:sz w:val="24"/>
          <w:szCs w:val="24"/>
        </w:rPr>
      </w:pPr>
    </w:p>
    <w:p w14:paraId="6371DB6F" w14:textId="2CAA2FF1" w:rsidR="00245464" w:rsidRPr="00D61D72" w:rsidRDefault="00245464" w:rsidP="00FD215F">
      <w:pPr>
        <w:pStyle w:val="Heading3"/>
        <w:numPr>
          <w:ilvl w:val="2"/>
          <w:numId w:val="36"/>
        </w:numPr>
        <w:ind w:left="709" w:hanging="709"/>
        <w:rPr>
          <w:rFonts w:cs="Times New Roman"/>
          <w:color w:val="auto"/>
          <w:szCs w:val="24"/>
        </w:rPr>
      </w:pPr>
      <w:bookmarkStart w:id="309" w:name="_Toc57902866"/>
      <w:bookmarkStart w:id="310" w:name="_Toc13582203"/>
      <w:bookmarkStart w:id="311" w:name="_Toc26264911"/>
      <w:r w:rsidRPr="00D61D72">
        <w:rPr>
          <w:rFonts w:cs="Times New Roman"/>
          <w:color w:val="auto"/>
          <w:szCs w:val="24"/>
        </w:rPr>
        <w:t>A</w:t>
      </w:r>
      <w:r w:rsidR="00417092" w:rsidRPr="00D61D72">
        <w:rPr>
          <w:rFonts w:cs="Times New Roman"/>
          <w:color w:val="auto"/>
          <w:szCs w:val="24"/>
        </w:rPr>
        <w:t>griculture Forestry and Other Land Use</w:t>
      </w:r>
      <w:bookmarkEnd w:id="309"/>
      <w:r w:rsidR="00417092" w:rsidRPr="00D61D72">
        <w:rPr>
          <w:rFonts w:cs="Times New Roman"/>
          <w:color w:val="auto"/>
          <w:szCs w:val="24"/>
        </w:rPr>
        <w:t xml:space="preserve"> </w:t>
      </w:r>
      <w:bookmarkEnd w:id="310"/>
      <w:bookmarkEnd w:id="311"/>
    </w:p>
    <w:p w14:paraId="21FC2025" w14:textId="014606CF" w:rsidR="00245464" w:rsidRPr="00322A92" w:rsidRDefault="00245464" w:rsidP="00FD215F">
      <w:pPr>
        <w:pStyle w:val="Heading4"/>
        <w:numPr>
          <w:ilvl w:val="3"/>
          <w:numId w:val="36"/>
        </w:numPr>
        <w:ind w:left="851" w:hanging="851"/>
        <w:rPr>
          <w:rFonts w:cs="Times New Roman"/>
        </w:rPr>
      </w:pPr>
      <w:r w:rsidRPr="00322A92">
        <w:rPr>
          <w:rFonts w:cs="Times New Roman"/>
        </w:rPr>
        <w:t xml:space="preserve">Mitigation Policies to </w:t>
      </w:r>
      <w:r w:rsidR="00350268">
        <w:rPr>
          <w:rFonts w:cs="Times New Roman"/>
        </w:rPr>
        <w:t>R</w:t>
      </w:r>
      <w:r w:rsidRPr="00322A92">
        <w:rPr>
          <w:rFonts w:cs="Times New Roman"/>
        </w:rPr>
        <w:t xml:space="preserve">educe </w:t>
      </w:r>
      <w:r w:rsidR="00350268">
        <w:rPr>
          <w:rFonts w:cs="Times New Roman"/>
        </w:rPr>
        <w:t>E</w:t>
      </w:r>
      <w:r w:rsidRPr="00322A92">
        <w:rPr>
          <w:rFonts w:cs="Times New Roman"/>
        </w:rPr>
        <w:t>missions</w:t>
      </w:r>
    </w:p>
    <w:p w14:paraId="6069F7B7" w14:textId="10D3FBE7" w:rsidR="00245464" w:rsidRPr="00191ACB" w:rsidRDefault="00245464" w:rsidP="007173A7">
      <w:pPr>
        <w:spacing w:before="240" w:line="276"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mitigatio</w:t>
      </w:r>
      <w:r w:rsidR="00417092" w:rsidRPr="00191ACB">
        <w:rPr>
          <w:rFonts w:ascii="Times New Roman" w:eastAsia="Calibri" w:hAnsi="Times New Roman" w:cs="Times New Roman"/>
          <w:color w:val="000000" w:themeColor="text1"/>
          <w:sz w:val="24"/>
          <w:szCs w:val="24"/>
        </w:rPr>
        <w:t>n policies and measures for Agriculture Forestry and Other Land use (</w:t>
      </w:r>
      <w:r w:rsidRPr="00191ACB">
        <w:rPr>
          <w:rFonts w:ascii="Times New Roman" w:eastAsia="Calibri" w:hAnsi="Times New Roman" w:cs="Times New Roman"/>
          <w:color w:val="000000" w:themeColor="text1"/>
          <w:sz w:val="24"/>
          <w:szCs w:val="24"/>
        </w:rPr>
        <w:t>AFOLU</w:t>
      </w:r>
      <w:r w:rsidR="00417092"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are elaborated below.</w:t>
      </w:r>
    </w:p>
    <w:p w14:paraId="5C51243C" w14:textId="5A701C47" w:rsidR="00245464" w:rsidRPr="00191ACB" w:rsidRDefault="00245464" w:rsidP="00E435F6">
      <w:pPr>
        <w:numPr>
          <w:ilvl w:val="0"/>
          <w:numId w:val="27"/>
        </w:numPr>
        <w:spacing w:after="120" w:line="240" w:lineRule="auto"/>
        <w:contextualSpacing/>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Agriculture and livestock Policy (2016)</w:t>
      </w:r>
    </w:p>
    <w:p w14:paraId="19F9B03A" w14:textId="77777777" w:rsidR="00AE1E0F" w:rsidRPr="00191ACB" w:rsidRDefault="00AE1E0F" w:rsidP="00AE1E0F">
      <w:pPr>
        <w:spacing w:after="120" w:line="240" w:lineRule="auto"/>
        <w:ind w:left="360"/>
        <w:contextualSpacing/>
        <w:jc w:val="both"/>
        <w:rPr>
          <w:rFonts w:ascii="Times New Roman" w:eastAsia="Calibri" w:hAnsi="Times New Roman" w:cs="Times New Roman"/>
          <w:b/>
          <w:color w:val="000000" w:themeColor="text1"/>
          <w:sz w:val="24"/>
          <w:szCs w:val="24"/>
        </w:rPr>
      </w:pPr>
    </w:p>
    <w:p w14:paraId="2FE7FC32" w14:textId="77777777" w:rsidR="00245464" w:rsidRPr="00191ACB" w:rsidRDefault="00245464" w:rsidP="007173A7">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One of the objectives of the National Agriculture Policy which is relevant to climate change mitigation is to promote the sustainable management and use of natural resources through the following measures; (i) Promotion of sustainable land management technologies (including conservation agriculture, appropriate stock densities); (ii) Promotion of  afforestation, community woodlots and agro-forestry; (iii) Promote characterization, conservation and sustainable utilization of indigenous animal genetic resources including climate change resilient indigenous breeds (establish biodiversity conservation centres).</w:t>
      </w:r>
    </w:p>
    <w:p w14:paraId="71C2E14E" w14:textId="1AEA7225" w:rsidR="00245464" w:rsidRPr="00191ACB" w:rsidRDefault="00245464" w:rsidP="00E435F6">
      <w:pPr>
        <w:numPr>
          <w:ilvl w:val="0"/>
          <w:numId w:val="27"/>
        </w:numPr>
        <w:spacing w:after="120" w:line="240" w:lineRule="auto"/>
        <w:contextualSpacing/>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Forestry Policy (2014)</w:t>
      </w:r>
    </w:p>
    <w:p w14:paraId="2F29BD73" w14:textId="77777777" w:rsidR="00AE1E0F" w:rsidRPr="00191ACB" w:rsidRDefault="00AE1E0F" w:rsidP="00AE1E0F">
      <w:pPr>
        <w:spacing w:after="120" w:line="240" w:lineRule="auto"/>
        <w:ind w:left="360"/>
        <w:contextualSpacing/>
        <w:jc w:val="both"/>
        <w:rPr>
          <w:rFonts w:ascii="Times New Roman" w:eastAsia="Calibri" w:hAnsi="Times New Roman" w:cs="Times New Roman"/>
          <w:b/>
          <w:color w:val="000000" w:themeColor="text1"/>
          <w:sz w:val="24"/>
          <w:szCs w:val="24"/>
        </w:rPr>
      </w:pPr>
    </w:p>
    <w:p w14:paraId="5C4A50B1" w14:textId="0C479DCA" w:rsidR="00245464" w:rsidRPr="00191ACB"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iCs/>
          <w:color w:val="000000" w:themeColor="text1"/>
          <w:sz w:val="24"/>
          <w:szCs w:val="24"/>
        </w:rPr>
        <w:t>One of the objective</w:t>
      </w:r>
      <w:r w:rsidR="00D4308F" w:rsidRPr="00191ACB">
        <w:rPr>
          <w:rFonts w:ascii="Times New Roman" w:eastAsia="Calibri" w:hAnsi="Times New Roman" w:cs="Times New Roman"/>
          <w:iCs/>
          <w:color w:val="000000" w:themeColor="text1"/>
          <w:sz w:val="24"/>
          <w:szCs w:val="24"/>
        </w:rPr>
        <w:t>s</w:t>
      </w:r>
      <w:r w:rsidRPr="00191ACB">
        <w:rPr>
          <w:rFonts w:ascii="Times New Roman" w:eastAsia="Calibri" w:hAnsi="Times New Roman" w:cs="Times New Roman"/>
          <w:iCs/>
          <w:color w:val="000000" w:themeColor="text1"/>
          <w:sz w:val="24"/>
          <w:szCs w:val="24"/>
        </w:rPr>
        <w:t xml:space="preserve"> of the Forestry Policy is to improve the role of forests in addressing climate change in order to contribute to reducing its impact through mitigation and adaptation measures. This will be achieved through c</w:t>
      </w:r>
      <w:r w:rsidRPr="00191ACB">
        <w:rPr>
          <w:rFonts w:ascii="Times New Roman" w:eastAsia="Calibri" w:hAnsi="Times New Roman" w:cs="Times New Roman"/>
          <w:color w:val="000000" w:themeColor="text1"/>
          <w:sz w:val="24"/>
          <w:szCs w:val="24"/>
        </w:rPr>
        <w:t xml:space="preserve">reating public awareness on the environmental and socio-economic effects </w:t>
      </w:r>
      <w:r w:rsidRPr="00191ACB">
        <w:rPr>
          <w:rFonts w:ascii="Times New Roman" w:eastAsia="Calibri" w:hAnsi="Times New Roman" w:cs="Times New Roman"/>
          <w:color w:val="000000" w:themeColor="text1"/>
          <w:sz w:val="24"/>
          <w:szCs w:val="24"/>
        </w:rPr>
        <w:lastRenderedPageBreak/>
        <w:t xml:space="preserve">of climate change, deforestation and forest degradation arising from unsustainable forest management. Other measures include; provision of incentives for development of alternative energy sources and technology to reduce reliance on biomass energy sources. An appropriate legal framework to facilitate the establishment of appropriate monitoring systems for reducing deforestation and forest degradation would also need to be put in place. The policy also seeks to define forest resource tenure regimes, roles and responsibilities, cost and benefit sharing mechanisms originating from sustainable forest management, carbon, reducing deforestation and reducing forest degradation. </w:t>
      </w:r>
    </w:p>
    <w:p w14:paraId="327D078E" w14:textId="77777777" w:rsidR="00A13A2D" w:rsidRPr="00191ACB" w:rsidRDefault="00A13A2D"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5339F010" w14:textId="216B676C" w:rsidR="00245464" w:rsidRPr="00322A92" w:rsidRDefault="00245464" w:rsidP="00FD215F">
      <w:pPr>
        <w:pStyle w:val="Heading4"/>
        <w:numPr>
          <w:ilvl w:val="3"/>
          <w:numId w:val="36"/>
        </w:numPr>
        <w:ind w:left="851" w:hanging="851"/>
        <w:rPr>
          <w:rFonts w:cs="Times New Roman"/>
        </w:rPr>
      </w:pPr>
      <w:r w:rsidRPr="00322A92">
        <w:rPr>
          <w:rFonts w:cs="Times New Roman"/>
        </w:rPr>
        <w:t xml:space="preserve">Mitigation Strategies and </w:t>
      </w:r>
      <w:r w:rsidR="00350268">
        <w:rPr>
          <w:rFonts w:cs="Times New Roman"/>
        </w:rPr>
        <w:t>P</w:t>
      </w:r>
      <w:r w:rsidRPr="00322A92">
        <w:rPr>
          <w:rFonts w:cs="Times New Roman"/>
        </w:rPr>
        <w:t xml:space="preserve">rogrammes </w:t>
      </w:r>
    </w:p>
    <w:p w14:paraId="3065DE4D" w14:textId="77777777" w:rsidR="00A13A2D" w:rsidRPr="00191ACB" w:rsidRDefault="00A13A2D" w:rsidP="00A13A2D">
      <w:pPr>
        <w:pStyle w:val="ListParagraph"/>
        <w:spacing w:after="120" w:line="240" w:lineRule="auto"/>
        <w:jc w:val="both"/>
        <w:rPr>
          <w:rFonts w:eastAsia="Calibri"/>
          <w:b/>
          <w:bCs/>
          <w:iCs/>
          <w:color w:val="000000" w:themeColor="text1"/>
        </w:rPr>
      </w:pPr>
    </w:p>
    <w:p w14:paraId="0C443462" w14:textId="13A9FD2F" w:rsidR="00D4308F" w:rsidRPr="00191ACB" w:rsidRDefault="00D4308F" w:rsidP="00FD215F">
      <w:pPr>
        <w:pStyle w:val="ListParagraph"/>
        <w:numPr>
          <w:ilvl w:val="5"/>
          <w:numId w:val="31"/>
        </w:numPr>
        <w:tabs>
          <w:tab w:val="num" w:pos="1440"/>
        </w:tabs>
        <w:autoSpaceDE w:val="0"/>
        <w:autoSpaceDN w:val="0"/>
        <w:adjustRightInd w:val="0"/>
        <w:spacing w:after="120" w:line="240" w:lineRule="auto"/>
        <w:ind w:left="851" w:hanging="709"/>
        <w:jc w:val="both"/>
        <w:rPr>
          <w:rFonts w:eastAsia="Calibri"/>
          <w:color w:val="000000" w:themeColor="text1"/>
        </w:rPr>
      </w:pPr>
      <w:r w:rsidRPr="00191ACB">
        <w:rPr>
          <w:rFonts w:eastAsia="Calibri"/>
          <w:b/>
          <w:bCs/>
          <w:color w:val="000000" w:themeColor="text1"/>
        </w:rPr>
        <w:t>The REDD+ Strategy, 2015</w:t>
      </w:r>
    </w:p>
    <w:p w14:paraId="70BB6502" w14:textId="04F6D489" w:rsidR="00245464" w:rsidRPr="00191ACB" w:rsidRDefault="00245464" w:rsidP="007173A7">
      <w:pPr>
        <w:autoSpaceDE w:val="0"/>
        <w:autoSpaceDN w:val="0"/>
        <w:adjustRightInd w:val="0"/>
        <w:spacing w:after="120" w:line="276" w:lineRule="auto"/>
        <w:jc w:val="both"/>
        <w:rPr>
          <w:rFonts w:ascii="Times New Roman" w:eastAsia="Calibri" w:hAnsi="Times New Roman" w:cs="Times New Roman"/>
          <w:bCs/>
          <w:iCs/>
          <w:color w:val="000000" w:themeColor="text1"/>
          <w:sz w:val="24"/>
          <w:szCs w:val="24"/>
        </w:rPr>
      </w:pPr>
      <w:r w:rsidRPr="00191ACB">
        <w:rPr>
          <w:rFonts w:ascii="Times New Roman" w:eastAsia="Calibri" w:hAnsi="Times New Roman" w:cs="Times New Roman"/>
          <w:color w:val="000000" w:themeColor="text1"/>
          <w:sz w:val="24"/>
          <w:szCs w:val="24"/>
        </w:rPr>
        <w:t xml:space="preserve">The REDD+ strategy for Zambia aims at assisting the country to reduce emissions in an effective, efficient, transparent and accountable way, and anchored on fairness and inclusiveness (REDD Strategy, 2015). The goal of the strategy is to contribute to national reductions in greenhouse gas emissions by improving forest and land management and ensure equitable sharing of both carbon and non-carbon benefits among stakeholders. </w:t>
      </w:r>
    </w:p>
    <w:p w14:paraId="1FF7C586" w14:textId="01883A55" w:rsidR="00245464" w:rsidRPr="00191ACB" w:rsidRDefault="000B24FB" w:rsidP="00FD215F">
      <w:pPr>
        <w:pStyle w:val="ListParagraph"/>
        <w:numPr>
          <w:ilvl w:val="2"/>
          <w:numId w:val="34"/>
        </w:numPr>
        <w:autoSpaceDE w:val="0"/>
        <w:autoSpaceDN w:val="0"/>
        <w:adjustRightInd w:val="0"/>
        <w:spacing w:after="120" w:line="240" w:lineRule="auto"/>
        <w:ind w:left="567" w:hanging="425"/>
        <w:jc w:val="both"/>
        <w:rPr>
          <w:rFonts w:eastAsia="Calibri"/>
          <w:b/>
          <w:color w:val="000000" w:themeColor="text1"/>
        </w:rPr>
      </w:pPr>
      <w:r w:rsidRPr="00191ACB">
        <w:rPr>
          <w:rFonts w:eastAsia="Calibri"/>
          <w:b/>
          <w:color w:val="000000" w:themeColor="text1"/>
        </w:rPr>
        <w:t>Investment Plan for REDD+, 2018-2022</w:t>
      </w:r>
    </w:p>
    <w:p w14:paraId="42507F41" w14:textId="2A9D6EDB" w:rsidR="00245464" w:rsidRPr="00191ACB"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Zambia through Ministry of Lands and Natural Resources has developed a “National Investment Plan to Reduce Deforestation and Forest Degradation” (NIP, 2018 - 2022). The aim of the investment plan is to support conservation and management of forests as well as restoration through investment in needs of local communities which include functional local level management structures, ecotourism, general enterprises, food agricultural practices, markets and market linkages. The Plan also aims at addressing energy from biomass through appropriate supply and usage. Generally, the Plan seek to address underlying drivers of deforestation by providing alternatives in terms of good practices as well as sources of income. Its objective is to prioritise and actualize actions, associated costs and leverage funding mechanism in order to reduce deforestation and forest degradation. </w:t>
      </w:r>
    </w:p>
    <w:p w14:paraId="0ADF3AE5" w14:textId="77777777" w:rsidR="00245464" w:rsidRPr="00191ACB" w:rsidRDefault="00245464" w:rsidP="00FD215F">
      <w:pPr>
        <w:numPr>
          <w:ilvl w:val="0"/>
          <w:numId w:val="27"/>
        </w:numPr>
        <w:autoSpaceDE w:val="0"/>
        <w:autoSpaceDN w:val="0"/>
        <w:adjustRightInd w:val="0"/>
        <w:spacing w:after="120" w:line="240" w:lineRule="auto"/>
        <w:ind w:left="567" w:hanging="567"/>
        <w:contextualSpacing/>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Projects</w:t>
      </w:r>
    </w:p>
    <w:p w14:paraId="30E329C6" w14:textId="794084A1" w:rsidR="00245464" w:rsidRPr="00191ACB"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In addition to policies, strategies, programmes and plans, there are a number of projects being implemented aimed at reducing emissions in the AFOLU sector.</w:t>
      </w:r>
    </w:p>
    <w:p w14:paraId="3B2CFA77" w14:textId="77777777" w:rsidR="00B90A10" w:rsidRPr="00191ACB" w:rsidRDefault="00B90A10" w:rsidP="005E626A">
      <w:pPr>
        <w:spacing w:after="120" w:line="240" w:lineRule="auto"/>
        <w:jc w:val="both"/>
        <w:rPr>
          <w:rFonts w:ascii="Times New Roman" w:eastAsia="Calibri" w:hAnsi="Times New Roman" w:cs="Times New Roman"/>
          <w:color w:val="000000" w:themeColor="text1"/>
          <w:sz w:val="24"/>
          <w:szCs w:val="24"/>
        </w:rPr>
      </w:pPr>
    </w:p>
    <w:p w14:paraId="15C66ED1" w14:textId="51CFFB0D" w:rsidR="00245464" w:rsidRPr="00350268" w:rsidRDefault="00245464" w:rsidP="00FD215F">
      <w:pPr>
        <w:pStyle w:val="Heading3"/>
        <w:numPr>
          <w:ilvl w:val="2"/>
          <w:numId w:val="36"/>
        </w:numPr>
        <w:ind w:left="851" w:hanging="851"/>
        <w:rPr>
          <w:color w:val="auto"/>
        </w:rPr>
      </w:pPr>
      <w:bookmarkStart w:id="312" w:name="_Toc13582204"/>
      <w:bookmarkStart w:id="313" w:name="_Toc26264912"/>
      <w:bookmarkStart w:id="314" w:name="_Toc57902867"/>
      <w:r w:rsidRPr="00350268">
        <w:rPr>
          <w:color w:val="auto"/>
        </w:rPr>
        <w:t>Waste</w:t>
      </w:r>
      <w:bookmarkEnd w:id="312"/>
      <w:bookmarkEnd w:id="313"/>
      <w:bookmarkEnd w:id="314"/>
    </w:p>
    <w:p w14:paraId="78961240" w14:textId="393F5068" w:rsidR="00245464" w:rsidRPr="00350268" w:rsidRDefault="00245464" w:rsidP="00350268">
      <w:pPr>
        <w:pStyle w:val="Heading4"/>
        <w:numPr>
          <w:ilvl w:val="3"/>
          <w:numId w:val="36"/>
        </w:numPr>
        <w:ind w:left="851" w:hanging="851"/>
        <w:rPr>
          <w:rFonts w:cs="Times New Roman"/>
        </w:rPr>
      </w:pPr>
      <w:r w:rsidRPr="00350268">
        <w:rPr>
          <w:rFonts w:cs="Times New Roman"/>
        </w:rPr>
        <w:t xml:space="preserve">Mitigation Policies </w:t>
      </w:r>
      <w:r w:rsidR="00322A92" w:rsidRPr="00350268">
        <w:rPr>
          <w:rFonts w:cs="Times New Roman"/>
        </w:rPr>
        <w:t>to Reduce Emissions</w:t>
      </w:r>
    </w:p>
    <w:p w14:paraId="304728A6" w14:textId="548EDFE2" w:rsidR="00245464"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Waste management Sector under the IPCC includes solid waste and waste water. There are a number of policies and measures that have been formulated that have a bearing on waste management in the country. These are elaborated as follows:</w:t>
      </w:r>
    </w:p>
    <w:p w14:paraId="6DCF5006" w14:textId="77777777" w:rsidR="000B24FB" w:rsidRPr="00191ACB" w:rsidRDefault="00245464" w:rsidP="00E435F6">
      <w:pPr>
        <w:numPr>
          <w:ilvl w:val="0"/>
          <w:numId w:val="28"/>
        </w:numPr>
        <w:spacing w:after="120" w:line="240" w:lineRule="auto"/>
        <w:contextualSpacing/>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b/>
          <w:color w:val="000000" w:themeColor="text1"/>
          <w:sz w:val="24"/>
          <w:szCs w:val="24"/>
          <w:lang w:val="en-GB"/>
        </w:rPr>
        <w:t>Vision 2030</w:t>
      </w:r>
    </w:p>
    <w:p w14:paraId="656252DA" w14:textId="77777777" w:rsidR="00A13A2D" w:rsidRPr="00191ACB" w:rsidRDefault="00A13A2D" w:rsidP="000B24FB">
      <w:pPr>
        <w:spacing w:after="120" w:line="240" w:lineRule="auto"/>
        <w:contextualSpacing/>
        <w:jc w:val="both"/>
        <w:rPr>
          <w:rFonts w:ascii="Times New Roman" w:eastAsia="Calibri" w:hAnsi="Times New Roman" w:cs="Times New Roman"/>
          <w:color w:val="000000" w:themeColor="text1"/>
          <w:sz w:val="24"/>
          <w:szCs w:val="24"/>
          <w:lang w:val="en-GB"/>
        </w:rPr>
      </w:pPr>
    </w:p>
    <w:p w14:paraId="6F65DE61" w14:textId="4F0DF44F" w:rsidR="00245464" w:rsidRPr="00191ACB"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 xml:space="preserve">The following are vision targets: </w:t>
      </w:r>
      <w:r w:rsidRPr="00191ACB">
        <w:rPr>
          <w:rFonts w:ascii="Times New Roman" w:eastAsia="Calibri" w:hAnsi="Times New Roman" w:cs="Times New Roman"/>
          <w:color w:val="000000" w:themeColor="text1"/>
          <w:sz w:val="24"/>
          <w:szCs w:val="24"/>
        </w:rPr>
        <w:t>Rehabilitation, re-construction of sewage treatment facilities in all major towns and cities; 80 % of waste collected and transported; Develop Integrated Licensing System; 90 % polluting industrial facilities comply with environmental legislation; and 80 % of unplanned settlements upgraded and the residents have access to clean drinking water and sanitation facilities.</w:t>
      </w:r>
    </w:p>
    <w:p w14:paraId="68DA7EC3" w14:textId="77777777" w:rsidR="000B24FB" w:rsidRPr="00191ACB" w:rsidRDefault="000B24FB" w:rsidP="000B24FB">
      <w:pPr>
        <w:spacing w:after="120" w:line="240" w:lineRule="auto"/>
        <w:contextualSpacing/>
        <w:jc w:val="both"/>
        <w:rPr>
          <w:rFonts w:ascii="Times New Roman" w:eastAsia="Calibri" w:hAnsi="Times New Roman" w:cs="Times New Roman"/>
          <w:color w:val="000000" w:themeColor="text1"/>
          <w:sz w:val="24"/>
          <w:szCs w:val="24"/>
          <w:lang w:val="en-GB"/>
        </w:rPr>
      </w:pPr>
    </w:p>
    <w:p w14:paraId="6B2136B8" w14:textId="77777777" w:rsidR="000B24FB" w:rsidRPr="00191ACB" w:rsidRDefault="00245464" w:rsidP="00E435F6">
      <w:pPr>
        <w:numPr>
          <w:ilvl w:val="0"/>
          <w:numId w:val="28"/>
        </w:numPr>
        <w:spacing w:after="120" w:line="240"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b/>
          <w:color w:val="000000" w:themeColor="text1"/>
          <w:sz w:val="24"/>
          <w:szCs w:val="24"/>
          <w:lang w:val="en-GB"/>
        </w:rPr>
        <w:t xml:space="preserve">Environmental Management Act, 2011 </w:t>
      </w:r>
    </w:p>
    <w:p w14:paraId="1C39F0A0" w14:textId="77777777" w:rsidR="00A13A2D" w:rsidRPr="00191ACB" w:rsidRDefault="00A13A2D" w:rsidP="000B24FB">
      <w:pPr>
        <w:spacing w:after="120" w:line="240" w:lineRule="auto"/>
        <w:contextualSpacing/>
        <w:jc w:val="both"/>
        <w:rPr>
          <w:rFonts w:ascii="Times New Roman" w:eastAsia="Calibri" w:hAnsi="Times New Roman" w:cs="Times New Roman"/>
          <w:color w:val="000000" w:themeColor="text1"/>
          <w:sz w:val="24"/>
          <w:szCs w:val="24"/>
          <w:lang w:val="en-GB"/>
        </w:rPr>
      </w:pPr>
    </w:p>
    <w:p w14:paraId="32113091" w14:textId="081156C1" w:rsidR="00245464" w:rsidRPr="00191ACB"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 xml:space="preserve">The Act provides a legal framework for coordinated management of the environment and natural resources. In Part IV division 4, it gives legal guidelines for waste management including setting of standards, waste disposal sites licenses and control of various types of wastes. It gives powers to the Zambia Environmental Management Agency (ZEMA) to regulate solid waste. The Act gives the roles of Local Authorities and it requires them to report their plans and performance on solid waste management to ZEMA. </w:t>
      </w:r>
      <w:r w:rsidRPr="00191ACB">
        <w:rPr>
          <w:rFonts w:ascii="Times New Roman" w:eastAsia="Calibri" w:hAnsi="Times New Roman" w:cs="Times New Roman"/>
          <w:color w:val="000000" w:themeColor="text1"/>
          <w:sz w:val="24"/>
          <w:szCs w:val="24"/>
        </w:rPr>
        <w:t>The Act requires that any major project in the country must undergo Environmental Impact Assessment (EIA). Wastes generation and management is a key component of EIA.</w:t>
      </w:r>
    </w:p>
    <w:p w14:paraId="69B6EA73" w14:textId="2C2C8ED5" w:rsidR="000B24FB" w:rsidRDefault="000B24FB" w:rsidP="000B24FB">
      <w:pPr>
        <w:spacing w:after="120" w:line="240" w:lineRule="auto"/>
        <w:contextualSpacing/>
        <w:jc w:val="both"/>
        <w:rPr>
          <w:rFonts w:ascii="Times New Roman" w:eastAsia="Calibri" w:hAnsi="Times New Roman" w:cs="Times New Roman"/>
          <w:color w:val="000000" w:themeColor="text1"/>
          <w:sz w:val="24"/>
          <w:szCs w:val="24"/>
        </w:rPr>
      </w:pPr>
    </w:p>
    <w:p w14:paraId="79D2537A" w14:textId="77777777" w:rsidR="007D3D9E" w:rsidRPr="00191ACB" w:rsidRDefault="007D3D9E" w:rsidP="000B24FB">
      <w:pPr>
        <w:spacing w:after="120" w:line="240" w:lineRule="auto"/>
        <w:contextualSpacing/>
        <w:jc w:val="both"/>
        <w:rPr>
          <w:rFonts w:ascii="Times New Roman" w:eastAsia="Calibri" w:hAnsi="Times New Roman" w:cs="Times New Roman"/>
          <w:color w:val="000000" w:themeColor="text1"/>
          <w:sz w:val="24"/>
          <w:szCs w:val="24"/>
        </w:rPr>
      </w:pPr>
    </w:p>
    <w:p w14:paraId="0DBEEB6C" w14:textId="705A35A5" w:rsidR="000B24FB" w:rsidRPr="00191ACB" w:rsidRDefault="00245464" w:rsidP="00FD215F">
      <w:pPr>
        <w:numPr>
          <w:ilvl w:val="0"/>
          <w:numId w:val="28"/>
        </w:numPr>
        <w:autoSpaceDE w:val="0"/>
        <w:autoSpaceDN w:val="0"/>
        <w:adjustRightInd w:val="0"/>
        <w:spacing w:after="120" w:line="240" w:lineRule="auto"/>
        <w:ind w:left="567" w:hanging="567"/>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b/>
          <w:color w:val="000000" w:themeColor="text1"/>
          <w:sz w:val="24"/>
          <w:szCs w:val="24"/>
          <w:lang w:val="en-GB"/>
        </w:rPr>
        <w:t>The Water Supply and Sanitation Act, 2007</w:t>
      </w:r>
      <w:r w:rsidRPr="00191ACB">
        <w:rPr>
          <w:rFonts w:ascii="Times New Roman" w:eastAsia="Calibri" w:hAnsi="Times New Roman" w:cs="Times New Roman"/>
          <w:color w:val="000000" w:themeColor="text1"/>
          <w:sz w:val="24"/>
          <w:szCs w:val="24"/>
          <w:lang w:val="en-GB"/>
        </w:rPr>
        <w:t xml:space="preserve"> </w:t>
      </w:r>
    </w:p>
    <w:p w14:paraId="686213A9" w14:textId="77777777" w:rsidR="00A13A2D" w:rsidRPr="00191ACB" w:rsidRDefault="00A13A2D"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65CE2DB2" w14:textId="75D0DAAD" w:rsidR="00245464" w:rsidRPr="00191ACB"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 xml:space="preserve">The Act obliges a Local Authority to provide water supply and sanitation services to the area falling under its jurisdiction, except in an area where a person provides such services solely for that person’s own benefit or a utility or a service provider is providing such services. The Act further gives powers to the Local Authority to establish a water supply and sanitation utility as a company under the Companies Act as a public or private company or as a joint venture but the majority shareholding should be with the Local Authority. A utility or service provider contracted to provide services under the Act has power to enforce by-laws relating to the provision of water supply and sanitation services as may be issued by the local authority. </w:t>
      </w:r>
      <w:r w:rsidRPr="00191ACB">
        <w:rPr>
          <w:rFonts w:ascii="Times New Roman" w:eastAsia="Calibri" w:hAnsi="Times New Roman" w:cs="Times New Roman"/>
          <w:color w:val="000000" w:themeColor="text1"/>
          <w:sz w:val="24"/>
          <w:szCs w:val="24"/>
        </w:rPr>
        <w:t>The general provisions of the act including licensing, developing and enforcing standards are regulated by NWASCO which was established by the act.</w:t>
      </w:r>
    </w:p>
    <w:p w14:paraId="492DE297" w14:textId="15991B21" w:rsidR="000B24FB" w:rsidRPr="00191ACB" w:rsidRDefault="000B24FB"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rPr>
      </w:pPr>
    </w:p>
    <w:p w14:paraId="2DB28792" w14:textId="77777777" w:rsidR="00A13A2D" w:rsidRPr="00191ACB" w:rsidRDefault="00A13A2D"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rPr>
      </w:pPr>
    </w:p>
    <w:p w14:paraId="0F5325C5" w14:textId="44295185" w:rsidR="000B24FB" w:rsidRPr="00191ACB" w:rsidRDefault="00245464" w:rsidP="00FD215F">
      <w:pPr>
        <w:numPr>
          <w:ilvl w:val="0"/>
          <w:numId w:val="28"/>
        </w:numPr>
        <w:autoSpaceDE w:val="0"/>
        <w:autoSpaceDN w:val="0"/>
        <w:adjustRightInd w:val="0"/>
        <w:spacing w:after="120" w:line="240" w:lineRule="auto"/>
        <w:ind w:left="567" w:hanging="567"/>
        <w:contextualSpacing/>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b/>
          <w:color w:val="000000" w:themeColor="text1"/>
          <w:sz w:val="24"/>
          <w:szCs w:val="24"/>
          <w:lang w:val="en-GB"/>
        </w:rPr>
        <w:t>Local Government Act 2, 2019</w:t>
      </w:r>
    </w:p>
    <w:p w14:paraId="06DA536E" w14:textId="77777777" w:rsidR="00A13A2D" w:rsidRPr="00191ACB" w:rsidRDefault="00A13A2D"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112976F5" w14:textId="3507C9ED" w:rsidR="00245464" w:rsidRPr="00191ACB"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7173A7">
        <w:rPr>
          <w:rFonts w:ascii="Times New Roman" w:eastAsia="Calibri" w:hAnsi="Times New Roman" w:cs="Times New Roman"/>
          <w:iCs/>
          <w:color w:val="000000" w:themeColor="text1"/>
          <w:sz w:val="24"/>
          <w:szCs w:val="24"/>
        </w:rPr>
        <w:t>The Act gives powers to a Local Authority to make bye-laws for purposes of controlling, prohibiting,</w:t>
      </w:r>
      <w:r w:rsidRPr="00191ACB">
        <w:rPr>
          <w:rFonts w:ascii="Times New Roman" w:eastAsia="Calibri" w:hAnsi="Times New Roman" w:cs="Times New Roman"/>
          <w:color w:val="000000" w:themeColor="text1"/>
          <w:sz w:val="24"/>
          <w:szCs w:val="24"/>
          <w:lang w:val="en-GB"/>
        </w:rPr>
        <w:t xml:space="preserve"> for requiring or compelling the doing of any of the things which it is empowered under the act. A Local Authority can make bye laws to deal with waste. </w:t>
      </w:r>
    </w:p>
    <w:p w14:paraId="601527DA" w14:textId="77777777" w:rsidR="000B24FB" w:rsidRPr="00191ACB" w:rsidRDefault="000B24FB"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39AE8CDC" w14:textId="77777777" w:rsidR="000B24FB" w:rsidRPr="00191ACB" w:rsidRDefault="00245464" w:rsidP="00FD215F">
      <w:pPr>
        <w:numPr>
          <w:ilvl w:val="0"/>
          <w:numId w:val="28"/>
        </w:numPr>
        <w:autoSpaceDE w:val="0"/>
        <w:autoSpaceDN w:val="0"/>
        <w:adjustRightInd w:val="0"/>
        <w:spacing w:after="120" w:line="240" w:lineRule="auto"/>
        <w:ind w:left="567" w:hanging="567"/>
        <w:contextualSpacing/>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b/>
          <w:color w:val="000000" w:themeColor="text1"/>
          <w:sz w:val="24"/>
          <w:szCs w:val="24"/>
          <w:lang w:val="en-GB"/>
        </w:rPr>
        <w:t>The Solid Waste Regulation and Management Act, 2018</w:t>
      </w:r>
    </w:p>
    <w:p w14:paraId="50879AFB" w14:textId="77777777" w:rsidR="00D7105F" w:rsidRPr="00191ACB" w:rsidRDefault="00D7105F"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709192D4" w14:textId="3C597FC6" w:rsidR="00245464" w:rsidRPr="00191ACB"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 xml:space="preserve">The Act places the management of solid waste on a local authority. It makes provision for the local authority to enter into partnerships. </w:t>
      </w:r>
    </w:p>
    <w:p w14:paraId="72050EFD" w14:textId="77777777" w:rsidR="000B24FB" w:rsidRPr="00191ACB" w:rsidRDefault="000B24FB"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7D34E606" w14:textId="77777777" w:rsidR="000B24FB" w:rsidRPr="00191ACB" w:rsidRDefault="00245464" w:rsidP="00FD215F">
      <w:pPr>
        <w:numPr>
          <w:ilvl w:val="0"/>
          <w:numId w:val="28"/>
        </w:numPr>
        <w:autoSpaceDE w:val="0"/>
        <w:autoSpaceDN w:val="0"/>
        <w:adjustRightInd w:val="0"/>
        <w:spacing w:after="120" w:line="240" w:lineRule="auto"/>
        <w:ind w:left="567" w:hanging="567"/>
        <w:contextualSpacing/>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b/>
          <w:color w:val="000000" w:themeColor="text1"/>
          <w:sz w:val="24"/>
          <w:szCs w:val="24"/>
          <w:lang w:val="en-GB"/>
        </w:rPr>
        <w:t>Public Health Act</w:t>
      </w:r>
    </w:p>
    <w:p w14:paraId="395064AB" w14:textId="77777777" w:rsidR="00D7105F" w:rsidRPr="00191ACB" w:rsidRDefault="00D7105F"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1BBAC362" w14:textId="7D517708" w:rsidR="00245464" w:rsidRPr="00191ACB"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The Act provides for prohibition of nuisances and confers the duty of maintaining cleanliness and preventing nuisances to local authorities. Garbage and waste water not well managed are listed as nuisances</w:t>
      </w:r>
    </w:p>
    <w:p w14:paraId="79534B36" w14:textId="77777777" w:rsidR="000B24FB" w:rsidRPr="00191ACB" w:rsidRDefault="000B24FB"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31A41552" w14:textId="77777777" w:rsidR="000B24FB" w:rsidRPr="00191ACB" w:rsidRDefault="00245464" w:rsidP="00E435F6">
      <w:pPr>
        <w:numPr>
          <w:ilvl w:val="0"/>
          <w:numId w:val="28"/>
        </w:numPr>
        <w:autoSpaceDE w:val="0"/>
        <w:autoSpaceDN w:val="0"/>
        <w:adjustRightInd w:val="0"/>
        <w:spacing w:after="120" w:line="240" w:lineRule="auto"/>
        <w:contextualSpacing/>
        <w:jc w:val="both"/>
        <w:rPr>
          <w:rFonts w:ascii="Times New Roman" w:eastAsia="Calibri" w:hAnsi="Times New Roman" w:cs="Times New Roman"/>
          <w:b/>
          <w:bCs/>
          <w:color w:val="000000" w:themeColor="text1"/>
          <w:sz w:val="24"/>
          <w:szCs w:val="24"/>
          <w:lang w:val="en-GB"/>
        </w:rPr>
      </w:pPr>
      <w:r w:rsidRPr="00191ACB">
        <w:rPr>
          <w:rFonts w:ascii="Times New Roman" w:eastAsia="Calibri" w:hAnsi="Times New Roman" w:cs="Times New Roman"/>
          <w:b/>
          <w:bCs/>
          <w:color w:val="000000" w:themeColor="text1"/>
          <w:sz w:val="24"/>
          <w:szCs w:val="24"/>
          <w:lang w:val="en-GB"/>
        </w:rPr>
        <w:t xml:space="preserve"> Water Resources Management Act, 2011</w:t>
      </w:r>
    </w:p>
    <w:p w14:paraId="23846E82" w14:textId="77777777" w:rsidR="00D7105F" w:rsidRPr="00191ACB" w:rsidRDefault="00D7105F"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29D31CFD" w14:textId="5C32CA36" w:rsidR="00245464" w:rsidRPr="00191ACB"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7173A7">
        <w:rPr>
          <w:rFonts w:ascii="Times New Roman" w:eastAsia="Calibri" w:hAnsi="Times New Roman" w:cs="Times New Roman"/>
          <w:iCs/>
          <w:color w:val="000000" w:themeColor="text1"/>
          <w:sz w:val="24"/>
          <w:szCs w:val="24"/>
        </w:rPr>
        <w:t>The</w:t>
      </w:r>
      <w:r w:rsidRPr="00191ACB">
        <w:rPr>
          <w:rFonts w:ascii="Times New Roman" w:eastAsia="Calibri" w:hAnsi="Times New Roman" w:cs="Times New Roman"/>
          <w:color w:val="000000" w:themeColor="text1"/>
          <w:sz w:val="24"/>
          <w:szCs w:val="24"/>
          <w:lang w:val="en-GB"/>
        </w:rPr>
        <w:t xml:space="preserve"> Act provides steps to take in order to prevent or control water pollution from waste and waste water</w:t>
      </w:r>
    </w:p>
    <w:p w14:paraId="44176594" w14:textId="77777777" w:rsidR="000B24FB" w:rsidRPr="00191ACB" w:rsidRDefault="000B24FB"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1E8AA89A" w14:textId="3DA7CFE1" w:rsidR="000B24FB" w:rsidRPr="00191ACB" w:rsidRDefault="00245464" w:rsidP="00E435F6">
      <w:pPr>
        <w:numPr>
          <w:ilvl w:val="0"/>
          <w:numId w:val="28"/>
        </w:numPr>
        <w:autoSpaceDE w:val="0"/>
        <w:autoSpaceDN w:val="0"/>
        <w:adjustRightInd w:val="0"/>
        <w:spacing w:after="120" w:line="240" w:lineRule="auto"/>
        <w:contextualSpacing/>
        <w:jc w:val="both"/>
        <w:rPr>
          <w:rFonts w:ascii="Times New Roman" w:eastAsia="Calibri" w:hAnsi="Times New Roman" w:cs="Times New Roman"/>
          <w:b/>
          <w:bCs/>
          <w:color w:val="000000" w:themeColor="text1"/>
          <w:sz w:val="24"/>
          <w:szCs w:val="24"/>
          <w:lang w:val="en-GB"/>
        </w:rPr>
      </w:pPr>
      <w:r w:rsidRPr="00191ACB">
        <w:rPr>
          <w:rFonts w:ascii="Times New Roman" w:eastAsia="Calibri" w:hAnsi="Times New Roman" w:cs="Times New Roman"/>
          <w:b/>
          <w:bCs/>
          <w:color w:val="000000" w:themeColor="text1"/>
          <w:sz w:val="24"/>
          <w:szCs w:val="24"/>
          <w:lang w:val="en-GB"/>
        </w:rPr>
        <w:t xml:space="preserve">Public Private Partnership Act, 2009 </w:t>
      </w:r>
    </w:p>
    <w:p w14:paraId="78EDC743" w14:textId="77777777" w:rsidR="00D7105F" w:rsidRPr="00191ACB" w:rsidRDefault="00D7105F"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1C3E6752" w14:textId="2A90327E" w:rsidR="00245464" w:rsidRPr="00191ACB"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The Act promotes and facilitates the implementation of privately financed infrastructure projects and effective delivery of social services by enhancing transparency, fairness and long</w:t>
      </w:r>
      <w:r w:rsidR="000B24FB" w:rsidRPr="00191ACB">
        <w:rPr>
          <w:rFonts w:ascii="Times New Roman" w:eastAsia="Calibri" w:hAnsi="Times New Roman" w:cs="Times New Roman"/>
          <w:color w:val="000000" w:themeColor="text1"/>
          <w:sz w:val="24"/>
          <w:szCs w:val="24"/>
          <w:lang w:val="en-GB"/>
        </w:rPr>
        <w:t>-</w:t>
      </w:r>
      <w:r w:rsidRPr="00191ACB">
        <w:rPr>
          <w:rFonts w:ascii="Times New Roman" w:eastAsia="Calibri" w:hAnsi="Times New Roman" w:cs="Times New Roman"/>
          <w:color w:val="000000" w:themeColor="text1"/>
          <w:sz w:val="24"/>
          <w:szCs w:val="24"/>
          <w:lang w:val="en-GB"/>
        </w:rPr>
        <w:t>term sustainability and removing undesirable restrictions on private sector participation in the provision of social sector services and the development and operation of public infrastructure</w:t>
      </w:r>
    </w:p>
    <w:p w14:paraId="75C87FA3" w14:textId="77777777" w:rsidR="000B24FB" w:rsidRPr="00191ACB" w:rsidRDefault="000B24FB"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27E587BD" w14:textId="19194A56" w:rsidR="000B24FB" w:rsidRPr="00191ACB" w:rsidRDefault="00245464" w:rsidP="00E435F6">
      <w:pPr>
        <w:numPr>
          <w:ilvl w:val="0"/>
          <w:numId w:val="28"/>
        </w:numPr>
        <w:autoSpaceDE w:val="0"/>
        <w:autoSpaceDN w:val="0"/>
        <w:adjustRightInd w:val="0"/>
        <w:spacing w:after="120" w:line="240" w:lineRule="auto"/>
        <w:contextualSpacing/>
        <w:jc w:val="both"/>
        <w:rPr>
          <w:rFonts w:ascii="Times New Roman" w:eastAsia="Calibri" w:hAnsi="Times New Roman" w:cs="Times New Roman"/>
          <w:b/>
          <w:bCs/>
          <w:color w:val="000000" w:themeColor="text1"/>
          <w:sz w:val="24"/>
          <w:szCs w:val="24"/>
          <w:lang w:val="en-GB"/>
        </w:rPr>
      </w:pPr>
      <w:r w:rsidRPr="00191ACB">
        <w:rPr>
          <w:rFonts w:ascii="Times New Roman" w:eastAsia="Calibri" w:hAnsi="Times New Roman" w:cs="Times New Roman"/>
          <w:b/>
          <w:bCs/>
          <w:color w:val="000000" w:themeColor="text1"/>
          <w:sz w:val="24"/>
          <w:szCs w:val="24"/>
          <w:lang w:val="en-GB"/>
        </w:rPr>
        <w:t xml:space="preserve"> The Investment Act</w:t>
      </w:r>
      <w:r w:rsidR="000B24FB" w:rsidRPr="00191ACB">
        <w:rPr>
          <w:rFonts w:ascii="Times New Roman" w:eastAsia="Calibri" w:hAnsi="Times New Roman" w:cs="Times New Roman"/>
          <w:b/>
          <w:bCs/>
          <w:color w:val="000000" w:themeColor="text1"/>
          <w:sz w:val="24"/>
          <w:szCs w:val="24"/>
          <w:lang w:val="en-GB"/>
        </w:rPr>
        <w:t>,</w:t>
      </w:r>
      <w:r w:rsidRPr="00191ACB">
        <w:rPr>
          <w:rFonts w:ascii="Times New Roman" w:eastAsia="Calibri" w:hAnsi="Times New Roman" w:cs="Times New Roman"/>
          <w:b/>
          <w:bCs/>
          <w:color w:val="000000" w:themeColor="text1"/>
          <w:sz w:val="24"/>
          <w:szCs w:val="24"/>
          <w:lang w:val="en-GB"/>
        </w:rPr>
        <w:t xml:space="preserve"> 1993 </w:t>
      </w:r>
    </w:p>
    <w:p w14:paraId="56E03880" w14:textId="77777777" w:rsidR="00D7105F" w:rsidRPr="00191ACB" w:rsidRDefault="00D7105F"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395F65D9" w14:textId="55025E15" w:rsidR="003D6C75" w:rsidRPr="00191ACB" w:rsidRDefault="0024546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The Act provides a comprehensive legal framework for investment in Zambia.</w:t>
      </w:r>
    </w:p>
    <w:p w14:paraId="74D67F5F" w14:textId="63E15047" w:rsidR="000B24FB" w:rsidRPr="00191ACB" w:rsidRDefault="000B24FB"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655578F3" w14:textId="0243BC4E" w:rsidR="000B24FB" w:rsidRPr="00350268" w:rsidRDefault="000B24FB" w:rsidP="00350268">
      <w:pPr>
        <w:pStyle w:val="Heading4"/>
        <w:numPr>
          <w:ilvl w:val="3"/>
          <w:numId w:val="36"/>
        </w:numPr>
        <w:ind w:left="851" w:hanging="851"/>
        <w:rPr>
          <w:rFonts w:cs="Times New Roman"/>
        </w:rPr>
      </w:pPr>
      <w:r w:rsidRPr="00350268">
        <w:rPr>
          <w:rFonts w:cs="Times New Roman"/>
        </w:rPr>
        <w:t xml:space="preserve">Mitigation Strategies and </w:t>
      </w:r>
      <w:r w:rsidR="00350268">
        <w:rPr>
          <w:rFonts w:cs="Times New Roman"/>
        </w:rPr>
        <w:t>P</w:t>
      </w:r>
      <w:r w:rsidRPr="00350268">
        <w:rPr>
          <w:rFonts w:cs="Times New Roman"/>
        </w:rPr>
        <w:t xml:space="preserve">rogrammes </w:t>
      </w:r>
    </w:p>
    <w:p w14:paraId="6EF7F9AA" w14:textId="77777777" w:rsidR="009830CB" w:rsidRPr="009830CB" w:rsidRDefault="009830CB" w:rsidP="009830CB">
      <w:pPr>
        <w:pStyle w:val="ListParagraph"/>
        <w:spacing w:after="120" w:line="240" w:lineRule="auto"/>
        <w:ind w:left="1134"/>
        <w:jc w:val="both"/>
        <w:rPr>
          <w:rFonts w:eastAsia="Arial"/>
          <w:b/>
        </w:rPr>
      </w:pPr>
    </w:p>
    <w:p w14:paraId="05992FFF" w14:textId="2E6297C3" w:rsidR="000B24FB" w:rsidRPr="00191ACB" w:rsidRDefault="000B24FB" w:rsidP="005D53F6">
      <w:pPr>
        <w:pStyle w:val="ListParagraph"/>
        <w:numPr>
          <w:ilvl w:val="5"/>
          <w:numId w:val="34"/>
        </w:numPr>
        <w:autoSpaceDE w:val="0"/>
        <w:autoSpaceDN w:val="0"/>
        <w:adjustRightInd w:val="0"/>
        <w:spacing w:after="120" w:line="240" w:lineRule="auto"/>
        <w:ind w:left="851" w:hanging="567"/>
        <w:jc w:val="both"/>
        <w:rPr>
          <w:rFonts w:eastAsia="Calibri"/>
          <w:color w:val="000000" w:themeColor="text1"/>
          <w:lang w:val="en-GB"/>
        </w:rPr>
      </w:pPr>
      <w:r w:rsidRPr="00191ACB">
        <w:rPr>
          <w:rFonts w:eastAsia="Calibri"/>
          <w:b/>
          <w:bCs/>
          <w:color w:val="000000" w:themeColor="text1"/>
          <w:lang w:val="en-GB"/>
        </w:rPr>
        <w:t>Solid Waste Management Strategy, 2004</w:t>
      </w:r>
      <w:r w:rsidRPr="00191ACB">
        <w:rPr>
          <w:rFonts w:eastAsia="Calibri"/>
          <w:color w:val="000000" w:themeColor="text1"/>
          <w:lang w:val="en-GB"/>
        </w:rPr>
        <w:t xml:space="preserve"> </w:t>
      </w:r>
    </w:p>
    <w:p w14:paraId="3DE0A052" w14:textId="77777777" w:rsidR="00D7105F" w:rsidRPr="00191ACB" w:rsidRDefault="00D7105F" w:rsidP="000B24FB">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60D2FD43" w14:textId="72E45D6A" w:rsidR="000B24FB" w:rsidRPr="00191ACB" w:rsidRDefault="000B24FB"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The strategy was formulated to enhance protection of the environment and control of pollution in the waste sector, promote sustainable waste management practices and to protect and preserve human health. The strategy was developed to address minimise generation of waste; maximise the collection efficiency of waste; reduce the volume of waste requiring disposal and maximise the economic value of waste; and Develop and adopt environmentally sound treatment and disposal methods/practices.</w:t>
      </w:r>
    </w:p>
    <w:p w14:paraId="3B2495F2" w14:textId="77777777" w:rsidR="000B24FB" w:rsidRPr="00191ACB" w:rsidRDefault="000B24FB" w:rsidP="000B24FB">
      <w:pPr>
        <w:spacing w:after="120" w:line="240" w:lineRule="auto"/>
        <w:jc w:val="both"/>
        <w:rPr>
          <w:rFonts w:ascii="Times New Roman" w:eastAsia="Calibri" w:hAnsi="Times New Roman" w:cs="Times New Roman"/>
          <w:b/>
          <w:bCs/>
          <w:iCs/>
          <w:color w:val="000000" w:themeColor="text1"/>
          <w:sz w:val="24"/>
          <w:szCs w:val="24"/>
        </w:rPr>
      </w:pPr>
    </w:p>
    <w:p w14:paraId="56EE25EA" w14:textId="6B79B46E" w:rsidR="000B24FB" w:rsidRPr="00191ACB" w:rsidRDefault="003D6C75" w:rsidP="005D53F6">
      <w:pPr>
        <w:pStyle w:val="ListParagraph"/>
        <w:numPr>
          <w:ilvl w:val="5"/>
          <w:numId w:val="34"/>
        </w:numPr>
        <w:autoSpaceDE w:val="0"/>
        <w:autoSpaceDN w:val="0"/>
        <w:adjustRightInd w:val="0"/>
        <w:spacing w:after="120" w:line="240" w:lineRule="auto"/>
        <w:ind w:left="851" w:hanging="567"/>
        <w:jc w:val="both"/>
        <w:rPr>
          <w:rFonts w:eastAsia="Calibri"/>
          <w:b/>
          <w:bCs/>
          <w:color w:val="000000" w:themeColor="text1"/>
          <w:lang w:val="en-GB"/>
        </w:rPr>
      </w:pPr>
      <w:r w:rsidRPr="00191ACB">
        <w:rPr>
          <w:rFonts w:eastAsia="Calibri"/>
          <w:b/>
          <w:bCs/>
          <w:color w:val="000000" w:themeColor="text1"/>
          <w:lang w:val="en-GB"/>
        </w:rPr>
        <w:t>Make Zambia Clean and Healthy Campaign Programme</w:t>
      </w:r>
    </w:p>
    <w:p w14:paraId="431E6F37" w14:textId="09315D46" w:rsidR="00245464" w:rsidRPr="00191ACB" w:rsidRDefault="003D6C75"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The Government has adopted a campaign programme dubbed “Make Zambia Clean and Healthy”. The programme is aimed at making Zambia’s cities, towns and villages clean in order to improve the health standards of people.</w:t>
      </w:r>
    </w:p>
    <w:p w14:paraId="6B4A8F1C" w14:textId="2BAD9C8A" w:rsidR="00D40D2F" w:rsidRPr="00191ACB" w:rsidRDefault="00D40D2F" w:rsidP="005D53F6">
      <w:pPr>
        <w:pStyle w:val="ListParagraph"/>
        <w:numPr>
          <w:ilvl w:val="5"/>
          <w:numId w:val="34"/>
        </w:numPr>
        <w:spacing w:before="40" w:line="240" w:lineRule="auto"/>
        <w:ind w:left="851" w:hanging="425"/>
        <w:jc w:val="both"/>
        <w:rPr>
          <w:rFonts w:eastAsia="Calibri"/>
          <w:b/>
          <w:bCs/>
          <w:color w:val="000000" w:themeColor="text1"/>
          <w:lang w:val="en-GB"/>
        </w:rPr>
      </w:pPr>
      <w:r w:rsidRPr="00191ACB">
        <w:rPr>
          <w:rFonts w:eastAsia="Calibri"/>
          <w:b/>
          <w:bCs/>
          <w:color w:val="000000" w:themeColor="text1"/>
          <w:lang w:val="en-GB"/>
        </w:rPr>
        <w:t>Lusaka Sanitation Programme</w:t>
      </w:r>
    </w:p>
    <w:p w14:paraId="266125FA" w14:textId="77777777" w:rsidR="00D40D2F" w:rsidRPr="00191ACB" w:rsidRDefault="00D40D2F"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The Lusaka Sanitation Programme (LSP) focused on:</w:t>
      </w:r>
    </w:p>
    <w:p w14:paraId="77FAA496" w14:textId="77777777" w:rsidR="00D40D2F" w:rsidRPr="00191ACB" w:rsidRDefault="00D40D2F" w:rsidP="007173A7">
      <w:pPr>
        <w:numPr>
          <w:ilvl w:val="0"/>
          <w:numId w:val="44"/>
        </w:numP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Construction and rehabilitation of sewer networks, pump stations and treatment plants;</w:t>
      </w:r>
    </w:p>
    <w:p w14:paraId="6588F43E" w14:textId="77777777" w:rsidR="00D40D2F" w:rsidRPr="00191ACB" w:rsidRDefault="00D40D2F" w:rsidP="007173A7">
      <w:pPr>
        <w:numPr>
          <w:ilvl w:val="0"/>
          <w:numId w:val="44"/>
        </w:numP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Provision of sanitation facilities in public institutions as well sanitation marketing hygiene education;</w:t>
      </w:r>
    </w:p>
    <w:p w14:paraId="520EE223" w14:textId="77777777" w:rsidR="00D40D2F" w:rsidRPr="00191ACB" w:rsidRDefault="00D40D2F" w:rsidP="007173A7">
      <w:pPr>
        <w:numPr>
          <w:ilvl w:val="0"/>
          <w:numId w:val="44"/>
        </w:numP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Construction of faecal sludge management systems;</w:t>
      </w:r>
    </w:p>
    <w:p w14:paraId="20063CF9" w14:textId="77777777" w:rsidR="00D40D2F" w:rsidRPr="00191ACB" w:rsidRDefault="00D40D2F" w:rsidP="00D40D2F">
      <w:pPr>
        <w:rPr>
          <w:rFonts w:ascii="Times New Roman" w:eastAsia="Calibri" w:hAnsi="Times New Roman" w:cs="Times New Roman"/>
          <w:color w:val="000000" w:themeColor="text1"/>
          <w:sz w:val="24"/>
          <w:szCs w:val="24"/>
          <w:lang w:val="en-GB"/>
        </w:rPr>
      </w:pPr>
    </w:p>
    <w:p w14:paraId="2A5DD148" w14:textId="688927D8" w:rsidR="00D40D2F" w:rsidRPr="00191ACB" w:rsidRDefault="00D40D2F" w:rsidP="005D53F6">
      <w:pPr>
        <w:pStyle w:val="ListParagraph"/>
        <w:numPr>
          <w:ilvl w:val="5"/>
          <w:numId w:val="34"/>
        </w:numPr>
        <w:spacing w:line="240" w:lineRule="auto"/>
        <w:ind w:left="851" w:hanging="425"/>
        <w:jc w:val="both"/>
        <w:rPr>
          <w:rFonts w:eastAsia="Calibri"/>
          <w:b/>
          <w:bCs/>
          <w:color w:val="000000" w:themeColor="text1"/>
          <w:lang w:val="en-GB"/>
        </w:rPr>
      </w:pPr>
      <w:r w:rsidRPr="00191ACB">
        <w:rPr>
          <w:rFonts w:eastAsia="Calibri"/>
          <w:b/>
          <w:bCs/>
          <w:color w:val="000000" w:themeColor="text1"/>
          <w:lang w:val="en-GB"/>
        </w:rPr>
        <w:t xml:space="preserve">Kafubu Sustainable Water and Sanitation Improvement Project </w:t>
      </w:r>
    </w:p>
    <w:p w14:paraId="70CA7211" w14:textId="77777777" w:rsidR="00AE1E0F" w:rsidRPr="00191ACB" w:rsidRDefault="00AE1E0F" w:rsidP="00AE1E0F">
      <w:pPr>
        <w:pStyle w:val="ListParagraph"/>
        <w:spacing w:line="240" w:lineRule="auto"/>
        <w:ind w:left="2127"/>
        <w:jc w:val="both"/>
        <w:rPr>
          <w:rFonts w:eastAsia="Calibri"/>
          <w:b/>
          <w:bCs/>
          <w:color w:val="000000" w:themeColor="text1"/>
          <w:lang w:val="en-GB"/>
        </w:rPr>
      </w:pPr>
    </w:p>
    <w:p w14:paraId="6B44B48E" w14:textId="77777777" w:rsidR="00D40D2F" w:rsidRPr="00191ACB" w:rsidRDefault="00D40D2F" w:rsidP="00D40D2F">
      <w:pPr>
        <w:spacing w:after="0" w:line="276" w:lineRule="auto"/>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 xml:space="preserve">The Kafubu Sustainable Water and Sanitation Improvement Project (KSWSIP) activities included; </w:t>
      </w:r>
    </w:p>
    <w:p w14:paraId="45CFA6FE" w14:textId="77777777" w:rsidR="00D40D2F" w:rsidRPr="00191ACB" w:rsidRDefault="00D40D2F" w:rsidP="007173A7">
      <w:pPr>
        <w:numPr>
          <w:ilvl w:val="0"/>
          <w:numId w:val="45"/>
        </w:numP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Rehabilitation of Kanini and Lubuto Sewage Treatment Plants. The plants were rehabilitated to its original capacity; however, the sludge digesters were not rehabilitated;</w:t>
      </w:r>
    </w:p>
    <w:p w14:paraId="4A463E68" w14:textId="77777777" w:rsidR="00D40D2F" w:rsidRPr="00191ACB" w:rsidRDefault="00D40D2F" w:rsidP="007173A7">
      <w:pPr>
        <w:numPr>
          <w:ilvl w:val="0"/>
          <w:numId w:val="45"/>
        </w:numP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 xml:space="preserve">Rehabilitation of re-pumping stations; and </w:t>
      </w:r>
    </w:p>
    <w:p w14:paraId="03D4F759" w14:textId="77777777" w:rsidR="00D40D2F" w:rsidRPr="00191ACB" w:rsidRDefault="00D40D2F" w:rsidP="007173A7">
      <w:pPr>
        <w:numPr>
          <w:ilvl w:val="0"/>
          <w:numId w:val="45"/>
        </w:numP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New sewerage network in Main and Mine Masala.</w:t>
      </w:r>
    </w:p>
    <w:p w14:paraId="73D727FE" w14:textId="5847E21D" w:rsidR="00D40D2F" w:rsidRDefault="00D40D2F" w:rsidP="00D40D2F">
      <w:pPr>
        <w:rPr>
          <w:rFonts w:ascii="Times New Roman" w:eastAsia="Calibri" w:hAnsi="Times New Roman" w:cs="Times New Roman"/>
          <w:color w:val="000000" w:themeColor="text1"/>
          <w:sz w:val="24"/>
          <w:szCs w:val="24"/>
          <w:lang w:val="en-GB"/>
        </w:rPr>
      </w:pPr>
    </w:p>
    <w:p w14:paraId="58BA53CA" w14:textId="77777777" w:rsidR="00350268" w:rsidRPr="00191ACB" w:rsidRDefault="00350268" w:rsidP="00D40D2F">
      <w:pPr>
        <w:rPr>
          <w:rFonts w:ascii="Times New Roman" w:eastAsia="Calibri" w:hAnsi="Times New Roman" w:cs="Times New Roman"/>
          <w:color w:val="000000" w:themeColor="text1"/>
          <w:sz w:val="24"/>
          <w:szCs w:val="24"/>
          <w:lang w:val="en-GB"/>
        </w:rPr>
      </w:pPr>
    </w:p>
    <w:p w14:paraId="20262034" w14:textId="46232C28" w:rsidR="00D40D2F" w:rsidRPr="00191ACB" w:rsidRDefault="00D40D2F" w:rsidP="00E435F6">
      <w:pPr>
        <w:pStyle w:val="ListParagraph"/>
        <w:numPr>
          <w:ilvl w:val="5"/>
          <w:numId w:val="34"/>
        </w:numPr>
        <w:spacing w:line="240" w:lineRule="auto"/>
        <w:ind w:left="709" w:hanging="425"/>
        <w:jc w:val="both"/>
        <w:rPr>
          <w:rFonts w:eastAsia="Calibri"/>
          <w:b/>
          <w:bCs/>
          <w:color w:val="000000" w:themeColor="text1"/>
          <w:lang w:val="en-GB"/>
        </w:rPr>
      </w:pPr>
      <w:r w:rsidRPr="00191ACB">
        <w:rPr>
          <w:rFonts w:eastAsia="Calibri"/>
          <w:b/>
          <w:bCs/>
          <w:color w:val="000000" w:themeColor="text1"/>
          <w:lang w:val="en-GB"/>
        </w:rPr>
        <w:lastRenderedPageBreak/>
        <w:t>Sewer Network Extension and Biogas Digesters</w:t>
      </w:r>
    </w:p>
    <w:p w14:paraId="022DF6A3" w14:textId="77777777" w:rsidR="00AE1E0F" w:rsidRPr="00191ACB" w:rsidRDefault="00AE1E0F" w:rsidP="00D40D2F">
      <w:pPr>
        <w:rPr>
          <w:rFonts w:ascii="Times New Roman" w:eastAsia="Calibri" w:hAnsi="Times New Roman" w:cs="Times New Roman"/>
          <w:color w:val="000000" w:themeColor="text1"/>
          <w:sz w:val="24"/>
          <w:szCs w:val="24"/>
          <w:lang w:val="en-GB"/>
        </w:rPr>
      </w:pPr>
    </w:p>
    <w:p w14:paraId="71AE3824" w14:textId="085363F2" w:rsidR="00D40D2F" w:rsidRPr="00191ACB" w:rsidRDefault="00D40D2F" w:rsidP="007173A7">
      <w:pPr>
        <w:spacing w:line="276" w:lineRule="auto"/>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This project was implemented to establish a sewerage network construction and other key infrastructure such as biogas digesters to capture methane which was used for cooking, heating and lighting. In addition, other facilities included Fecal Sludge Management (FSM).</w:t>
      </w:r>
    </w:p>
    <w:p w14:paraId="3B04D95D" w14:textId="77777777" w:rsidR="004678D3" w:rsidRPr="00191ACB" w:rsidRDefault="004678D3" w:rsidP="004678D3">
      <w:pPr>
        <w:autoSpaceDE w:val="0"/>
        <w:autoSpaceDN w:val="0"/>
        <w:adjustRightInd w:val="0"/>
        <w:spacing w:after="120" w:line="240" w:lineRule="auto"/>
        <w:contextualSpacing/>
        <w:jc w:val="both"/>
        <w:rPr>
          <w:rFonts w:ascii="Times New Roman" w:eastAsia="Calibri" w:hAnsi="Times New Roman" w:cs="Times New Roman"/>
          <w:color w:val="000000" w:themeColor="text1"/>
          <w:sz w:val="24"/>
          <w:szCs w:val="24"/>
          <w:lang w:val="en-GB"/>
        </w:rPr>
      </w:pPr>
    </w:p>
    <w:p w14:paraId="019D7B4F" w14:textId="77777777" w:rsidR="00245464" w:rsidRPr="00191ACB" w:rsidRDefault="00245464" w:rsidP="005E626A">
      <w:pPr>
        <w:autoSpaceDE w:val="0"/>
        <w:autoSpaceDN w:val="0"/>
        <w:adjustRightInd w:val="0"/>
        <w:spacing w:after="120" w:line="240" w:lineRule="auto"/>
        <w:ind w:left="630"/>
        <w:contextualSpacing/>
        <w:jc w:val="both"/>
        <w:rPr>
          <w:rFonts w:ascii="Times New Roman" w:eastAsia="Calibri" w:hAnsi="Times New Roman" w:cs="Times New Roman"/>
          <w:color w:val="000000" w:themeColor="text1"/>
          <w:sz w:val="24"/>
          <w:szCs w:val="24"/>
          <w:lang w:val="en-GB"/>
        </w:rPr>
      </w:pPr>
    </w:p>
    <w:p w14:paraId="744C05AD" w14:textId="3BA7F4A3" w:rsidR="00245464" w:rsidRPr="00191ACB" w:rsidRDefault="007D3D9E" w:rsidP="005D53F6">
      <w:pPr>
        <w:pStyle w:val="Heading2"/>
        <w:numPr>
          <w:ilvl w:val="1"/>
          <w:numId w:val="36"/>
        </w:numPr>
        <w:spacing w:after="120" w:line="240" w:lineRule="auto"/>
        <w:ind w:left="851" w:hanging="709"/>
        <w:rPr>
          <w:rFonts w:ascii="Times New Roman" w:eastAsia="Times New Roman" w:hAnsi="Times New Roman" w:cs="Times New Roman"/>
          <w:b/>
          <w:color w:val="000000" w:themeColor="text1"/>
          <w:sz w:val="24"/>
          <w:szCs w:val="24"/>
          <w:lang w:val="en-GB"/>
        </w:rPr>
      </w:pPr>
      <w:bookmarkStart w:id="315" w:name="_Toc26264913"/>
      <w:bookmarkStart w:id="316" w:name="_Toc57902868"/>
      <w:bookmarkStart w:id="317" w:name="_Toc13582205"/>
      <w:r w:rsidRPr="00191ACB">
        <w:rPr>
          <w:rFonts w:ascii="Times New Roman" w:eastAsia="Times New Roman" w:hAnsi="Times New Roman" w:cs="Times New Roman"/>
          <w:b/>
          <w:color w:val="000000" w:themeColor="text1"/>
          <w:sz w:val="24"/>
          <w:szCs w:val="24"/>
          <w:lang w:val="en-GB"/>
        </w:rPr>
        <w:t>MITIGATION ACTIONS</w:t>
      </w:r>
      <w:bookmarkEnd w:id="315"/>
      <w:bookmarkEnd w:id="316"/>
      <w:r w:rsidRPr="00191ACB">
        <w:rPr>
          <w:rFonts w:ascii="Times New Roman" w:eastAsia="Times New Roman" w:hAnsi="Times New Roman" w:cs="Times New Roman"/>
          <w:b/>
          <w:color w:val="000000" w:themeColor="text1"/>
          <w:sz w:val="24"/>
          <w:szCs w:val="24"/>
          <w:lang w:val="en-GB"/>
        </w:rPr>
        <w:t xml:space="preserve"> </w:t>
      </w:r>
      <w:bookmarkEnd w:id="317"/>
    </w:p>
    <w:p w14:paraId="7AFEBD42" w14:textId="77777777" w:rsidR="00D7105F" w:rsidRPr="00191ACB" w:rsidRDefault="00D7105F" w:rsidP="005E626A">
      <w:pPr>
        <w:autoSpaceDE w:val="0"/>
        <w:autoSpaceDN w:val="0"/>
        <w:adjustRightInd w:val="0"/>
        <w:spacing w:after="120" w:line="240" w:lineRule="auto"/>
        <w:jc w:val="both"/>
        <w:rPr>
          <w:rFonts w:ascii="Times New Roman" w:eastAsia="Calibri" w:hAnsi="Times New Roman" w:cs="Times New Roman"/>
          <w:bCs/>
          <w:color w:val="000000" w:themeColor="text1"/>
          <w:sz w:val="24"/>
          <w:szCs w:val="24"/>
        </w:rPr>
      </w:pPr>
    </w:p>
    <w:p w14:paraId="786672F6" w14:textId="6D734A85" w:rsidR="006E4714" w:rsidRPr="00191ACB" w:rsidRDefault="006E4714" w:rsidP="007173A7">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bCs/>
          <w:color w:val="000000" w:themeColor="text1"/>
          <w:sz w:val="24"/>
          <w:szCs w:val="24"/>
        </w:rPr>
        <w:t>Overall mitigation goal for Zambia is to reduce GHG emissions by 38,000 Gg CO</w:t>
      </w:r>
      <w:r w:rsidRPr="00191ACB">
        <w:rPr>
          <w:rFonts w:ascii="Times New Roman" w:eastAsia="Calibri" w:hAnsi="Times New Roman" w:cs="Times New Roman"/>
          <w:bCs/>
          <w:color w:val="000000" w:themeColor="text1"/>
          <w:sz w:val="24"/>
          <w:szCs w:val="24"/>
          <w:vertAlign w:val="subscript"/>
        </w:rPr>
        <w:t>2 eq</w:t>
      </w:r>
      <w:r w:rsidRPr="00191ACB">
        <w:rPr>
          <w:rFonts w:ascii="Times New Roman" w:eastAsia="Calibri" w:hAnsi="Times New Roman" w:cs="Times New Roman"/>
          <w:bCs/>
          <w:color w:val="000000" w:themeColor="text1"/>
          <w:sz w:val="24"/>
          <w:szCs w:val="24"/>
        </w:rPr>
        <w:t xml:space="preserve"> </w:t>
      </w:r>
      <w:r w:rsidR="00D40D2F" w:rsidRPr="00191ACB">
        <w:rPr>
          <w:rFonts w:ascii="Times New Roman" w:eastAsia="Calibri" w:hAnsi="Times New Roman" w:cs="Times New Roman"/>
          <w:bCs/>
          <w:color w:val="000000" w:themeColor="text1"/>
          <w:sz w:val="24"/>
          <w:szCs w:val="24"/>
        </w:rPr>
        <w:t>by</w:t>
      </w:r>
      <w:r w:rsidRPr="00191ACB">
        <w:rPr>
          <w:rFonts w:ascii="Times New Roman" w:eastAsia="Calibri" w:hAnsi="Times New Roman" w:cs="Times New Roman"/>
          <w:bCs/>
          <w:color w:val="000000" w:themeColor="text1"/>
          <w:sz w:val="24"/>
          <w:szCs w:val="24"/>
        </w:rPr>
        <w:t xml:space="preserve"> 2030 against the 2010 base year as part of Nationally Determined Contribution to the global temperature goal. This will be achieved through a</w:t>
      </w:r>
      <w:r w:rsidRPr="00191ACB">
        <w:rPr>
          <w:rFonts w:ascii="Times New Roman" w:eastAsia="Calibri" w:hAnsi="Times New Roman" w:cs="Times New Roman"/>
          <w:b/>
          <w:bCs/>
          <w:color w:val="000000" w:themeColor="text1"/>
          <w:sz w:val="24"/>
          <w:szCs w:val="24"/>
        </w:rPr>
        <w:t xml:space="preserve"> </w:t>
      </w:r>
      <w:r w:rsidRPr="00191ACB">
        <w:rPr>
          <w:rFonts w:ascii="Times New Roman" w:eastAsia="Calibri" w:hAnsi="Times New Roman" w:cs="Times New Roman"/>
          <w:bCs/>
          <w:color w:val="000000" w:themeColor="text1"/>
          <w:sz w:val="24"/>
          <w:szCs w:val="24"/>
        </w:rPr>
        <w:t xml:space="preserve">combination of climate focused and development focused mitigations actions. Climate focused </w:t>
      </w:r>
      <w:r w:rsidRPr="00191ACB">
        <w:rPr>
          <w:rFonts w:ascii="Times New Roman" w:eastAsia="Calibri" w:hAnsi="Times New Roman" w:cs="Times New Roman"/>
          <w:color w:val="000000" w:themeColor="text1"/>
          <w:sz w:val="24"/>
          <w:szCs w:val="24"/>
        </w:rPr>
        <w:t xml:space="preserve">Mitigation actions can have GHG reduction as the primary objective and sustainable development effects as co-benefits. On the other hand, </w:t>
      </w:r>
      <w:r w:rsidRPr="00191ACB">
        <w:rPr>
          <w:rFonts w:ascii="Times New Roman" w:eastAsia="Calibri" w:hAnsi="Times New Roman" w:cs="Times New Roman"/>
          <w:bCs/>
          <w:color w:val="000000" w:themeColor="text1"/>
          <w:sz w:val="24"/>
          <w:szCs w:val="24"/>
        </w:rPr>
        <w:t xml:space="preserve">Development focused </w:t>
      </w:r>
      <w:r w:rsidRPr="00191ACB">
        <w:rPr>
          <w:rFonts w:ascii="Times New Roman" w:eastAsia="Calibri" w:hAnsi="Times New Roman" w:cs="Times New Roman"/>
          <w:color w:val="000000" w:themeColor="text1"/>
          <w:sz w:val="24"/>
          <w:szCs w:val="24"/>
        </w:rPr>
        <w:t>Mitigation actions can also have sustainable development objectives as the primary objective, but also deliver GHG emission reductions. Mitigation actions were develop</w:t>
      </w:r>
      <w:r w:rsidR="00D40D2F" w:rsidRPr="00191ACB">
        <w:rPr>
          <w:rFonts w:ascii="Times New Roman" w:eastAsia="Calibri" w:hAnsi="Times New Roman" w:cs="Times New Roman"/>
          <w:color w:val="000000" w:themeColor="text1"/>
          <w:sz w:val="24"/>
          <w:szCs w:val="24"/>
        </w:rPr>
        <w:t>ed</w:t>
      </w:r>
      <w:r w:rsidRPr="00191ACB">
        <w:rPr>
          <w:rFonts w:ascii="Times New Roman" w:eastAsia="Calibri" w:hAnsi="Times New Roman" w:cs="Times New Roman"/>
          <w:color w:val="000000" w:themeColor="text1"/>
          <w:sz w:val="24"/>
          <w:szCs w:val="24"/>
        </w:rPr>
        <w:t xml:space="preserve"> in the context of existing policy and regulatory framework. The current framework in the energy sector has helped to spur implementation of mitigation actions. The IPPU, AFOLU, and waste has seen limited interventions that can be termed as contributing to emission reduction due to some barriers to effective deployment of low carbon technologies and practices. This section of the report provides mitigation pathways, key assumptions, mitigation actions.</w:t>
      </w:r>
    </w:p>
    <w:p w14:paraId="0D5533B8" w14:textId="056B2808" w:rsidR="006E4714" w:rsidRPr="00191ACB" w:rsidRDefault="006E4714" w:rsidP="007173A7">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FrutigerLTPro-BoldCn" w:hAnsi="Times New Roman" w:cs="Times New Roman"/>
          <w:bCs/>
          <w:color w:val="000000" w:themeColor="text1"/>
          <w:sz w:val="24"/>
          <w:szCs w:val="24"/>
        </w:rPr>
        <w:t xml:space="preserve">Mitigation analysis reveals that there are multiple mitigation pathways that are </w:t>
      </w:r>
      <w:r w:rsidRPr="00191ACB">
        <w:rPr>
          <w:rFonts w:ascii="Times New Roman" w:eastAsia="FrutigerLTPro-BoldCn" w:hAnsi="Times New Roman" w:cs="Times New Roman"/>
          <w:bCs/>
          <w:iCs/>
          <w:color w:val="000000" w:themeColor="text1"/>
          <w:sz w:val="24"/>
          <w:szCs w:val="24"/>
        </w:rPr>
        <w:t xml:space="preserve">likely </w:t>
      </w:r>
      <w:r w:rsidRPr="00191ACB">
        <w:rPr>
          <w:rFonts w:ascii="Times New Roman" w:eastAsia="FrutigerLTPro-BoldCn" w:hAnsi="Times New Roman" w:cs="Times New Roman"/>
          <w:bCs/>
          <w:color w:val="000000" w:themeColor="text1"/>
          <w:sz w:val="24"/>
          <w:szCs w:val="24"/>
        </w:rPr>
        <w:t xml:space="preserve">to contribute to GHG emission reduction and consequently limiting warming to below 2°C relative to pre-industrial levels. Implementing such reductions poses substantial technological, economic, social and institutional challenges, which increase with delays in additional mitigation and if key technologies are not available. </w:t>
      </w:r>
      <w:r w:rsidRPr="00191ACB">
        <w:rPr>
          <w:rFonts w:ascii="Times New Roman" w:eastAsia="Calibri" w:hAnsi="Times New Roman" w:cs="Times New Roman"/>
          <w:color w:val="000000" w:themeColor="text1"/>
          <w:sz w:val="24"/>
          <w:szCs w:val="24"/>
        </w:rPr>
        <w:t>The mitigation analysis has identified plausible pathways that Zambia could traverse in contribution to the global emission reduction. The mitigation pathways were formulated based on policy context and review and consideration of the mitigation scenarios contained in Zambia’s NDC and aspirations of the Nationally Appropriate Mitigation Actions (NAMAs).</w:t>
      </w:r>
    </w:p>
    <w:p w14:paraId="5CB0AB39" w14:textId="106AE11F" w:rsidR="006E4714" w:rsidRPr="00191ACB" w:rsidRDefault="006E4714" w:rsidP="007173A7">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Actions to mitigat</w:t>
      </w:r>
      <w:r w:rsidR="00D40D2F" w:rsidRPr="00191ACB">
        <w:rPr>
          <w:rFonts w:ascii="Times New Roman" w:eastAsia="Calibri" w:hAnsi="Times New Roman" w:cs="Times New Roman"/>
          <w:color w:val="000000" w:themeColor="text1"/>
          <w:sz w:val="24"/>
          <w:szCs w:val="24"/>
        </w:rPr>
        <w:t>e</w:t>
      </w:r>
      <w:r w:rsidRPr="00191ACB">
        <w:rPr>
          <w:rFonts w:ascii="Times New Roman" w:eastAsia="Calibri" w:hAnsi="Times New Roman" w:cs="Times New Roman"/>
          <w:color w:val="000000" w:themeColor="text1"/>
          <w:sz w:val="24"/>
          <w:szCs w:val="24"/>
        </w:rPr>
        <w:t xml:space="preserve"> GHG emissions in the energy sector include; rural and urban electrification, </w:t>
      </w:r>
      <w:r w:rsidRPr="00191ACB">
        <w:rPr>
          <w:rFonts w:ascii="Times New Roman" w:eastAsia="Times New Roman" w:hAnsi="Times New Roman" w:cs="Times New Roman"/>
          <w:color w:val="000000" w:themeColor="text1"/>
          <w:sz w:val="24"/>
          <w:szCs w:val="24"/>
        </w:rPr>
        <w:t>solar home systems, electricity generation (i.e. from</w:t>
      </w:r>
      <w:r w:rsidRPr="00191ACB">
        <w:rPr>
          <w:rFonts w:ascii="Times New Roman" w:eastAsia="Calibri" w:hAnsi="Times New Roman" w:cs="Times New Roman"/>
          <w:color w:val="000000" w:themeColor="text1"/>
          <w:sz w:val="24"/>
          <w:szCs w:val="24"/>
        </w:rPr>
        <w:t xml:space="preserve"> on-grid </w:t>
      </w:r>
      <w:r w:rsidRPr="00191ACB">
        <w:rPr>
          <w:rFonts w:ascii="Times New Roman" w:eastAsia="Times New Roman" w:hAnsi="Times New Roman" w:cs="Times New Roman"/>
          <w:color w:val="000000" w:themeColor="text1"/>
          <w:sz w:val="24"/>
          <w:szCs w:val="24"/>
        </w:rPr>
        <w:t xml:space="preserve">Solar PV utility scale, hydro, biomass, wind, geothermal) and energy efficiency, efficient cook-stoves. </w:t>
      </w:r>
      <w:r w:rsidRPr="00191ACB">
        <w:rPr>
          <w:rFonts w:ascii="Times New Roman" w:eastAsia="Calibri" w:hAnsi="Times New Roman" w:cs="Times New Roman"/>
          <w:color w:val="000000" w:themeColor="text1"/>
          <w:sz w:val="24"/>
          <w:szCs w:val="24"/>
        </w:rPr>
        <w:t xml:space="preserve">Some initiatives that could potentially contribute to emissions reduction in the IPPU sector include; clinker substitutes in the cement production and use of electric furnaces in the steel factories. Recently completed, planned or ongoing interventions identified in the agriculture sector with potential to contribute to climate change mitigation are sustainable agriculture Nationally Appropriate Mitigation Actions (NAMA), and </w:t>
      </w:r>
      <w:r w:rsidRPr="00191ACB">
        <w:rPr>
          <w:rFonts w:ascii="Times New Roman" w:eastAsia="Times New Roman" w:hAnsi="Times New Roman" w:cs="Times New Roman"/>
          <w:color w:val="000000" w:themeColor="text1"/>
          <w:sz w:val="24"/>
          <w:szCs w:val="24"/>
        </w:rPr>
        <w:t>conservation agriculture scaling up project.</w:t>
      </w:r>
    </w:p>
    <w:p w14:paraId="68192A83" w14:textId="2EC742BF" w:rsidR="006E4714" w:rsidRPr="00191ACB" w:rsidRDefault="006E4714" w:rsidP="007173A7">
      <w:pPr>
        <w:spacing w:after="120" w:line="276"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mitigation actions in the forest sector are those arising from recently completed, planned and ongoing initiatives with potential to contribute to emission reductions in the forestry sector in Zambia. Under the waste sector, mitigation actions cover country wide solid waste and liquid waste handling facilities and these will involve </w:t>
      </w:r>
      <w:r w:rsidRPr="00191ACB">
        <w:rPr>
          <w:rFonts w:ascii="Times New Roman" w:eastAsia="Times New Roman" w:hAnsi="Times New Roman" w:cs="Times New Roman"/>
          <w:color w:val="000000" w:themeColor="text1"/>
          <w:kern w:val="24"/>
          <w:sz w:val="24"/>
          <w:szCs w:val="24"/>
        </w:rPr>
        <w:t>construction and installation of Mechanical Biological Treatment (MBT) plants, corresponding anaerobic digesters and gas engines in Lusaka, Kitwe, Ndola and Livingstone cities.</w:t>
      </w:r>
    </w:p>
    <w:p w14:paraId="2880DBB4" w14:textId="77777777" w:rsidR="006E4714" w:rsidRPr="00191ACB" w:rsidRDefault="006E4714" w:rsidP="005E626A">
      <w:pPr>
        <w:keepNext/>
        <w:keepLines/>
        <w:spacing w:before="40" w:after="120" w:line="240" w:lineRule="auto"/>
        <w:outlineLvl w:val="1"/>
        <w:rPr>
          <w:rFonts w:ascii="Times New Roman" w:eastAsia="Times New Roman" w:hAnsi="Times New Roman" w:cs="Times New Roman"/>
          <w:color w:val="000000" w:themeColor="text1"/>
          <w:sz w:val="24"/>
          <w:szCs w:val="24"/>
        </w:rPr>
      </w:pPr>
      <w:bookmarkStart w:id="318" w:name="_Toc13582206"/>
      <w:bookmarkStart w:id="319" w:name="_Toc26264914"/>
    </w:p>
    <w:p w14:paraId="72794DD9" w14:textId="7AF8CCE9" w:rsidR="006E4714" w:rsidRPr="00191ACB" w:rsidRDefault="006E4714" w:rsidP="005D53F6">
      <w:pPr>
        <w:pStyle w:val="Heading3"/>
        <w:numPr>
          <w:ilvl w:val="2"/>
          <w:numId w:val="36"/>
        </w:numPr>
        <w:ind w:left="851" w:hanging="709"/>
      </w:pPr>
      <w:bookmarkStart w:id="320" w:name="_Toc57902869"/>
      <w:r w:rsidRPr="00191ACB">
        <w:t xml:space="preserve">Mitigation </w:t>
      </w:r>
      <w:r w:rsidR="00350268">
        <w:t>P</w:t>
      </w:r>
      <w:r w:rsidRPr="00191ACB">
        <w:t>athways</w:t>
      </w:r>
      <w:bookmarkEnd w:id="318"/>
      <w:bookmarkEnd w:id="319"/>
      <w:bookmarkEnd w:id="320"/>
    </w:p>
    <w:p w14:paraId="32AC6649" w14:textId="34635417" w:rsidR="006E4714" w:rsidRPr="00191ACB" w:rsidRDefault="006E4714" w:rsidP="007173A7">
      <w:pPr>
        <w:autoSpaceDE w:val="0"/>
        <w:autoSpaceDN w:val="0"/>
        <w:adjustRightInd w:val="0"/>
        <w:spacing w:after="120" w:line="276" w:lineRule="auto"/>
        <w:jc w:val="both"/>
        <w:rPr>
          <w:rFonts w:ascii="Times New Roman" w:eastAsia="FrutigerLTPro-BoldCn" w:hAnsi="Times New Roman" w:cs="Times New Roman"/>
          <w:bCs/>
          <w:color w:val="000000" w:themeColor="text1"/>
          <w:sz w:val="24"/>
          <w:szCs w:val="24"/>
        </w:rPr>
      </w:pPr>
      <w:r w:rsidRPr="00191ACB">
        <w:rPr>
          <w:rFonts w:ascii="Times New Roman" w:eastAsia="FrutigerLTPro-BoldCn" w:hAnsi="Times New Roman" w:cs="Times New Roman"/>
          <w:bCs/>
          <w:color w:val="000000" w:themeColor="text1"/>
          <w:sz w:val="24"/>
          <w:szCs w:val="24"/>
        </w:rPr>
        <w:t xml:space="preserve">There are multiple mitigation pathways that are </w:t>
      </w:r>
      <w:r w:rsidRPr="00191ACB">
        <w:rPr>
          <w:rFonts w:ascii="Times New Roman" w:eastAsia="FrutigerLTPro-BoldCn" w:hAnsi="Times New Roman" w:cs="Times New Roman"/>
          <w:bCs/>
          <w:iCs/>
          <w:color w:val="000000" w:themeColor="text1"/>
          <w:sz w:val="24"/>
          <w:szCs w:val="24"/>
        </w:rPr>
        <w:t xml:space="preserve">likely </w:t>
      </w:r>
      <w:r w:rsidRPr="00191ACB">
        <w:rPr>
          <w:rFonts w:ascii="Times New Roman" w:eastAsia="FrutigerLTPro-BoldCn" w:hAnsi="Times New Roman" w:cs="Times New Roman"/>
          <w:bCs/>
          <w:color w:val="000000" w:themeColor="text1"/>
          <w:sz w:val="24"/>
          <w:szCs w:val="24"/>
        </w:rPr>
        <w:t>to contribute to GHG emission reduction and consequently limiting warming to below 2°C relative to pre-industrial levels. These pathways would require substantial emissions reductions over the next few decades and other long-lived greenhouse gases by the end of the century. Implementing of such emission reductions poses substantial technological, economic, social and institutional challenges (IPCC</w:t>
      </w:r>
      <w:r w:rsidR="009D55B5" w:rsidRPr="00191ACB">
        <w:rPr>
          <w:rFonts w:ascii="Times New Roman" w:eastAsia="FrutigerLTPro-BoldCn" w:hAnsi="Times New Roman" w:cs="Times New Roman"/>
          <w:bCs/>
          <w:color w:val="000000" w:themeColor="text1"/>
          <w:sz w:val="24"/>
          <w:szCs w:val="24"/>
        </w:rPr>
        <w:t>, 2014</w:t>
      </w:r>
      <w:r w:rsidRPr="00191ACB">
        <w:rPr>
          <w:rFonts w:ascii="Times New Roman" w:eastAsia="FrutigerLTPro-BoldCn" w:hAnsi="Times New Roman" w:cs="Times New Roman"/>
          <w:bCs/>
          <w:color w:val="000000" w:themeColor="text1"/>
          <w:sz w:val="24"/>
          <w:szCs w:val="24"/>
        </w:rPr>
        <w:t>).</w:t>
      </w:r>
    </w:p>
    <w:p w14:paraId="20DBC758" w14:textId="15BE3C6D" w:rsidR="006E4714" w:rsidRPr="00191ACB" w:rsidRDefault="006E4714" w:rsidP="007173A7">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mitigation analysis has identified plausible pathways that Zambia could traverse in contribution to the global emissio</w:t>
      </w:r>
      <w:r w:rsidR="00D40D2F" w:rsidRPr="00191ACB">
        <w:rPr>
          <w:rFonts w:ascii="Times New Roman" w:eastAsia="Calibri" w:hAnsi="Times New Roman" w:cs="Times New Roman"/>
          <w:color w:val="000000" w:themeColor="text1"/>
          <w:sz w:val="24"/>
          <w:szCs w:val="24"/>
        </w:rPr>
        <w:t>n</w:t>
      </w:r>
      <w:r w:rsidRPr="00191ACB">
        <w:rPr>
          <w:rFonts w:ascii="Times New Roman" w:eastAsia="Calibri" w:hAnsi="Times New Roman" w:cs="Times New Roman"/>
          <w:color w:val="000000" w:themeColor="text1"/>
          <w:sz w:val="24"/>
          <w:szCs w:val="24"/>
        </w:rPr>
        <w:t xml:space="preserve"> reduction. The mitigation pathways were formulated based on policy context and review and consideration of the mitigation scenarios contained in the Zambia’s NDC and aspirations of the NAMAs. The consideration of scenarios contained in other national documents ensures consistency and compatibility among the documents. The mitigation pathways as part of mitigation analysis are provided as follows:</w:t>
      </w:r>
    </w:p>
    <w:p w14:paraId="2A7B3D48" w14:textId="0E7AC187" w:rsidR="006E4714" w:rsidRPr="00191ACB" w:rsidRDefault="006E4714" w:rsidP="007173A7">
      <w:pPr>
        <w:numPr>
          <w:ilvl w:val="0"/>
          <w:numId w:val="24"/>
        </w:num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Baseline pathway assumes that Zambia’s total emissions will continue to grow from 2010 if measures are not put in place to reduce the emissions. The timeline for baseline emissions projection</w:t>
      </w:r>
      <w:r w:rsidR="00FF7F2D" w:rsidRPr="00191ACB">
        <w:rPr>
          <w:rFonts w:ascii="Times New Roman" w:eastAsia="Calibri" w:hAnsi="Times New Roman" w:cs="Times New Roman"/>
          <w:color w:val="000000" w:themeColor="text1"/>
          <w:sz w:val="24"/>
          <w:szCs w:val="24"/>
        </w:rPr>
        <w:t xml:space="preserve"> is </w:t>
      </w:r>
      <w:r w:rsidRPr="00191ACB">
        <w:rPr>
          <w:rFonts w:ascii="Times New Roman" w:eastAsia="Calibri" w:hAnsi="Times New Roman" w:cs="Times New Roman"/>
          <w:color w:val="000000" w:themeColor="text1"/>
          <w:sz w:val="24"/>
          <w:szCs w:val="24"/>
        </w:rPr>
        <w:t xml:space="preserve">from 2010 to 2050; </w:t>
      </w:r>
    </w:p>
    <w:p w14:paraId="54EAC37A" w14:textId="165F1DE1" w:rsidR="006E4714" w:rsidRPr="00191ACB" w:rsidRDefault="006E4714" w:rsidP="007173A7">
      <w:pPr>
        <w:numPr>
          <w:ilvl w:val="0"/>
          <w:numId w:val="24"/>
        </w:num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Scenario 1 assumes implementation of current technologies and measures that are being implemented by 2030; </w:t>
      </w:r>
    </w:p>
    <w:p w14:paraId="4D5A14BC" w14:textId="29600AF0" w:rsidR="006E4714" w:rsidRPr="00191ACB" w:rsidRDefault="006E4714" w:rsidP="002A4DFC">
      <w:pPr>
        <w:numPr>
          <w:ilvl w:val="0"/>
          <w:numId w:val="24"/>
        </w:num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Scenario</w:t>
      </w:r>
      <w:r w:rsidR="00FF7F2D"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2 assumes implementation of current technologies and measures being implemented by 2030 with part of the measures from the NDC </w:t>
      </w:r>
      <w:r w:rsidR="00FF7F2D" w:rsidRPr="00191ACB">
        <w:rPr>
          <w:rFonts w:ascii="Times New Roman" w:eastAsia="Calibri" w:hAnsi="Times New Roman" w:cs="Times New Roman"/>
          <w:color w:val="000000" w:themeColor="text1"/>
          <w:sz w:val="24"/>
          <w:szCs w:val="24"/>
        </w:rPr>
        <w:t>and</w:t>
      </w:r>
      <w:r w:rsidRPr="00191ACB">
        <w:rPr>
          <w:rFonts w:ascii="Times New Roman" w:eastAsia="Calibri" w:hAnsi="Times New Roman" w:cs="Times New Roman"/>
          <w:color w:val="000000" w:themeColor="text1"/>
          <w:sz w:val="24"/>
          <w:szCs w:val="24"/>
        </w:rPr>
        <w:t xml:space="preserve"> NAMA</w:t>
      </w:r>
      <w:r w:rsidR="00FF7F2D" w:rsidRPr="00191ACB">
        <w:rPr>
          <w:rFonts w:ascii="Times New Roman" w:eastAsia="Calibri" w:hAnsi="Times New Roman" w:cs="Times New Roman"/>
          <w:color w:val="000000" w:themeColor="text1"/>
          <w:sz w:val="24"/>
          <w:szCs w:val="24"/>
        </w:rPr>
        <w:t>s</w:t>
      </w:r>
      <w:r w:rsidRPr="00191ACB">
        <w:rPr>
          <w:rFonts w:ascii="Times New Roman" w:eastAsia="Calibri" w:hAnsi="Times New Roman" w:cs="Times New Roman"/>
          <w:color w:val="000000" w:themeColor="text1"/>
          <w:sz w:val="24"/>
          <w:szCs w:val="24"/>
        </w:rPr>
        <w:t>;</w:t>
      </w:r>
    </w:p>
    <w:p w14:paraId="13DA3BFA" w14:textId="510A6CD9" w:rsidR="006E4714" w:rsidRPr="00191ACB" w:rsidRDefault="006E4714" w:rsidP="002A4DFC">
      <w:pPr>
        <w:numPr>
          <w:ilvl w:val="0"/>
          <w:numId w:val="24"/>
        </w:num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Scenario 3 assumes emission reduction from current technologies and measures that are being implemented by 2030 and NDC mitigation actions through </w:t>
      </w:r>
      <w:r w:rsidR="00FF7F2D" w:rsidRPr="00191ACB">
        <w:rPr>
          <w:rFonts w:ascii="Times New Roman" w:eastAsia="Calibri" w:hAnsi="Times New Roman" w:cs="Times New Roman"/>
          <w:color w:val="000000" w:themeColor="text1"/>
          <w:sz w:val="24"/>
          <w:szCs w:val="24"/>
        </w:rPr>
        <w:t xml:space="preserve">both </w:t>
      </w:r>
      <w:r w:rsidRPr="00191ACB">
        <w:rPr>
          <w:rFonts w:ascii="Times New Roman" w:eastAsia="Calibri" w:hAnsi="Times New Roman" w:cs="Times New Roman"/>
          <w:color w:val="000000" w:themeColor="text1"/>
          <w:sz w:val="24"/>
          <w:szCs w:val="24"/>
        </w:rPr>
        <w:t xml:space="preserve">domestic </w:t>
      </w:r>
      <w:r w:rsidR="00FF7F2D" w:rsidRPr="00191ACB">
        <w:rPr>
          <w:rFonts w:ascii="Times New Roman" w:eastAsia="Calibri" w:hAnsi="Times New Roman" w:cs="Times New Roman"/>
          <w:color w:val="000000" w:themeColor="text1"/>
          <w:sz w:val="24"/>
          <w:szCs w:val="24"/>
        </w:rPr>
        <w:t xml:space="preserve">and </w:t>
      </w:r>
      <w:r w:rsidRPr="00191ACB">
        <w:rPr>
          <w:rFonts w:ascii="Times New Roman" w:eastAsia="Calibri" w:hAnsi="Times New Roman" w:cs="Times New Roman"/>
          <w:color w:val="000000" w:themeColor="text1"/>
          <w:sz w:val="24"/>
          <w:szCs w:val="24"/>
        </w:rPr>
        <w:t>substantial international</w:t>
      </w:r>
      <w:r w:rsidR="00FF7F2D" w:rsidRPr="00191ACB">
        <w:rPr>
          <w:rFonts w:ascii="Times New Roman" w:eastAsia="Calibri" w:hAnsi="Times New Roman" w:cs="Times New Roman"/>
          <w:color w:val="000000" w:themeColor="text1"/>
          <w:sz w:val="24"/>
          <w:szCs w:val="24"/>
        </w:rPr>
        <w:t xml:space="preserve"> support</w:t>
      </w:r>
      <w:r w:rsidRPr="00191ACB">
        <w:rPr>
          <w:rFonts w:ascii="Times New Roman" w:eastAsia="Calibri" w:hAnsi="Times New Roman" w:cs="Times New Roman"/>
          <w:color w:val="000000" w:themeColor="text1"/>
          <w:sz w:val="24"/>
          <w:szCs w:val="24"/>
        </w:rPr>
        <w:t xml:space="preserve"> including emissions reductions under NAMAs.</w:t>
      </w:r>
    </w:p>
    <w:p w14:paraId="2A156C05" w14:textId="49337AB6"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Projections were made for the period 2010 to 2050 for the sectors to include; Energy; Transport; Industry; Agriculture, Forestry and Other Land Use; and Waste. The future GHG emission projections were undertaken through use of models and spreadsheets for energy, </w:t>
      </w:r>
      <w:r w:rsidR="0003347E" w:rsidRPr="00191ACB">
        <w:rPr>
          <w:rFonts w:ascii="Times New Roman" w:eastAsia="Calibri" w:hAnsi="Times New Roman" w:cs="Times New Roman"/>
          <w:color w:val="000000" w:themeColor="text1"/>
          <w:sz w:val="24"/>
          <w:szCs w:val="24"/>
        </w:rPr>
        <w:t>IPPU</w:t>
      </w:r>
      <w:r w:rsidRPr="00191ACB">
        <w:rPr>
          <w:rFonts w:ascii="Times New Roman" w:eastAsia="Calibri" w:hAnsi="Times New Roman" w:cs="Times New Roman"/>
          <w:color w:val="000000" w:themeColor="text1"/>
          <w:sz w:val="24"/>
          <w:szCs w:val="24"/>
        </w:rPr>
        <w:t xml:space="preserve">, AFOLU and Waste. Key input parameters for emissions projections included; historical GHG emissions, projected future economic growth, population growth, and deforestation rates. </w:t>
      </w:r>
    </w:p>
    <w:p w14:paraId="12DDCFF7"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p>
    <w:p w14:paraId="627FE988" w14:textId="3D458B09" w:rsidR="006E4714" w:rsidRPr="001B2AEB" w:rsidRDefault="006E4714" w:rsidP="005D53F6">
      <w:pPr>
        <w:pStyle w:val="Heading3"/>
        <w:numPr>
          <w:ilvl w:val="2"/>
          <w:numId w:val="36"/>
        </w:numPr>
        <w:ind w:left="851" w:hanging="851"/>
        <w:rPr>
          <w:color w:val="auto"/>
        </w:rPr>
      </w:pPr>
      <w:bookmarkStart w:id="321" w:name="_Toc13582207"/>
      <w:bookmarkStart w:id="322" w:name="_Toc26264915"/>
      <w:bookmarkStart w:id="323" w:name="_Toc57902870"/>
      <w:r w:rsidRPr="001B2AEB">
        <w:rPr>
          <w:color w:val="auto"/>
        </w:rPr>
        <w:t xml:space="preserve">Key </w:t>
      </w:r>
      <w:r w:rsidR="00350268" w:rsidRPr="001B2AEB">
        <w:rPr>
          <w:color w:val="auto"/>
        </w:rPr>
        <w:t xml:space="preserve">Assumptions </w:t>
      </w:r>
      <w:r w:rsidR="00350268">
        <w:rPr>
          <w:color w:val="auto"/>
        </w:rPr>
        <w:t>f</w:t>
      </w:r>
      <w:r w:rsidR="00350268" w:rsidRPr="001B2AEB">
        <w:rPr>
          <w:color w:val="auto"/>
        </w:rPr>
        <w:t>or Baseline Emissions Projection</w:t>
      </w:r>
      <w:bookmarkEnd w:id="321"/>
      <w:bookmarkEnd w:id="322"/>
      <w:bookmarkEnd w:id="323"/>
    </w:p>
    <w:p w14:paraId="61ED3D49" w14:textId="77777777" w:rsidR="00AE1E0F" w:rsidRPr="00191ACB" w:rsidRDefault="00AE1E0F" w:rsidP="00AE1E0F">
      <w:pPr>
        <w:pStyle w:val="ListParagraph"/>
        <w:keepNext/>
        <w:keepLines/>
        <w:spacing w:before="40" w:after="120" w:line="240" w:lineRule="auto"/>
        <w:ind w:left="1440"/>
        <w:outlineLvl w:val="1"/>
        <w:rPr>
          <w:b/>
          <w:color w:val="000000" w:themeColor="text1"/>
        </w:rPr>
      </w:pPr>
    </w:p>
    <w:p w14:paraId="602EE617" w14:textId="33AE4637" w:rsidR="006E4714" w:rsidRPr="00191ACB" w:rsidRDefault="006E4714" w:rsidP="005D53F6">
      <w:pPr>
        <w:pStyle w:val="Heading4"/>
        <w:numPr>
          <w:ilvl w:val="3"/>
          <w:numId w:val="36"/>
        </w:numPr>
        <w:ind w:left="851" w:hanging="851"/>
      </w:pPr>
      <w:bookmarkStart w:id="324" w:name="_Toc13582209"/>
      <w:bookmarkStart w:id="325" w:name="_Toc26264917"/>
      <w:r w:rsidRPr="00191ACB">
        <w:t xml:space="preserve">Key </w:t>
      </w:r>
      <w:r w:rsidR="007D3D9E">
        <w:t>A</w:t>
      </w:r>
      <w:r w:rsidRPr="00191ACB">
        <w:t>ssumptions for Energy</w:t>
      </w:r>
      <w:bookmarkEnd w:id="324"/>
      <w:bookmarkEnd w:id="325"/>
      <w:r w:rsidRPr="00191ACB">
        <w:t xml:space="preserve"> </w:t>
      </w:r>
      <w:r w:rsidR="00350268">
        <w:t>S</w:t>
      </w:r>
      <w:r w:rsidRPr="00191ACB">
        <w:t>ector</w:t>
      </w:r>
    </w:p>
    <w:p w14:paraId="023DD87A" w14:textId="53C58B98" w:rsidR="006E4714" w:rsidRPr="002A4DFC" w:rsidRDefault="006E4714" w:rsidP="002A4DFC">
      <w:pPr>
        <w:spacing w:after="120" w:line="276" w:lineRule="auto"/>
        <w:jc w:val="both"/>
        <w:rPr>
          <w:rFonts w:ascii="Times New Roman" w:eastAsia="Calibri" w:hAnsi="Times New Roman" w:cs="Times New Roman"/>
          <w:color w:val="000000" w:themeColor="text1"/>
          <w:sz w:val="24"/>
          <w:szCs w:val="24"/>
        </w:rPr>
      </w:pPr>
      <w:r w:rsidRPr="002A4DFC">
        <w:rPr>
          <w:rFonts w:ascii="Times New Roman" w:eastAsia="Calibri" w:hAnsi="Times New Roman" w:cs="Times New Roman"/>
          <w:color w:val="000000" w:themeColor="text1"/>
          <w:sz w:val="24"/>
          <w:szCs w:val="24"/>
        </w:rPr>
        <w:t xml:space="preserve">The baseline greenhouse gas emission projections for the energy sector involved analysis on evolvement of energy demand trends and GHG emissions during the period 2010-2050. In undertaking the analysis, the Long-range Energy Alternatives Planning System (LEAP) </w:t>
      </w:r>
      <w:r w:rsidR="0003347E" w:rsidRPr="002A4DFC">
        <w:rPr>
          <w:rFonts w:ascii="Times New Roman" w:eastAsia="Calibri" w:hAnsi="Times New Roman" w:cs="Times New Roman"/>
          <w:color w:val="000000" w:themeColor="text1"/>
          <w:sz w:val="24"/>
          <w:szCs w:val="24"/>
        </w:rPr>
        <w:t>was</w:t>
      </w:r>
      <w:r w:rsidRPr="002A4DFC">
        <w:rPr>
          <w:rFonts w:ascii="Times New Roman" w:eastAsia="Calibri" w:hAnsi="Times New Roman" w:cs="Times New Roman"/>
          <w:color w:val="000000" w:themeColor="text1"/>
          <w:sz w:val="24"/>
          <w:szCs w:val="24"/>
        </w:rPr>
        <w:t xml:space="preserve"> used for assessment of the projected energy demand as well as the GHG emissions. LEAP is an integrated, scenario-based modelling tool that is used to track energy consumption, production and resource extraction in all sectors of an economy. It can be used to account for both energy sector and non-energy sector GHG emission sources and sinks. In addition to tracking GHGs, LEAP can also be used to analyse emissions </w:t>
      </w:r>
      <w:r w:rsidRPr="002A4DFC">
        <w:rPr>
          <w:rFonts w:ascii="Times New Roman" w:eastAsia="Calibri" w:hAnsi="Times New Roman" w:cs="Times New Roman"/>
          <w:color w:val="000000" w:themeColor="text1"/>
          <w:sz w:val="24"/>
          <w:szCs w:val="24"/>
        </w:rPr>
        <w:lastRenderedPageBreak/>
        <w:t xml:space="preserve">of local and regional air pollutants, and short-lived climate pollutants (SLCPs) making it well-suited for this particular analysis which has climate change connotations. </w:t>
      </w:r>
    </w:p>
    <w:p w14:paraId="1F7644A7" w14:textId="38B4DAD1" w:rsidR="006E4714" w:rsidRPr="002A4DFC" w:rsidRDefault="006E4714" w:rsidP="002A4DFC">
      <w:pPr>
        <w:spacing w:after="120" w:line="276" w:lineRule="auto"/>
        <w:jc w:val="both"/>
        <w:rPr>
          <w:rFonts w:ascii="Times New Roman" w:eastAsia="Calibri" w:hAnsi="Times New Roman" w:cs="Times New Roman"/>
          <w:color w:val="000000" w:themeColor="text1"/>
          <w:sz w:val="24"/>
          <w:szCs w:val="24"/>
        </w:rPr>
      </w:pPr>
      <w:r w:rsidRPr="002A4DFC">
        <w:rPr>
          <w:rFonts w:ascii="Times New Roman" w:eastAsia="Calibri" w:hAnsi="Times New Roman" w:cs="Times New Roman"/>
          <w:color w:val="000000" w:themeColor="text1"/>
          <w:sz w:val="24"/>
          <w:szCs w:val="24"/>
        </w:rPr>
        <w:t xml:space="preserve">Based on the available data provided, the base year for this analysis was 2010. </w:t>
      </w:r>
      <w:r w:rsidR="0003347E" w:rsidRPr="002A4DFC">
        <w:rPr>
          <w:rFonts w:ascii="Times New Roman" w:eastAsia="Calibri" w:hAnsi="Times New Roman" w:cs="Times New Roman"/>
          <w:color w:val="000000" w:themeColor="text1"/>
          <w:sz w:val="24"/>
          <w:szCs w:val="24"/>
        </w:rPr>
        <w:t>T</w:t>
      </w:r>
      <w:r w:rsidRPr="002A4DFC">
        <w:rPr>
          <w:rFonts w:ascii="Times New Roman" w:eastAsia="Calibri" w:hAnsi="Times New Roman" w:cs="Times New Roman"/>
          <w:color w:val="000000" w:themeColor="text1"/>
          <w:sz w:val="24"/>
          <w:szCs w:val="24"/>
        </w:rPr>
        <w:t xml:space="preserve">he baseline was determined using two key drivers as the determinants of the projected energy demand and GHG emissions up to the year 2050. The two key drivers of the projections in the trends are the Population growth rate and </w:t>
      </w:r>
      <w:r w:rsidR="0003347E" w:rsidRPr="002A4DFC">
        <w:rPr>
          <w:rFonts w:ascii="Times New Roman" w:eastAsia="Calibri" w:hAnsi="Times New Roman" w:cs="Times New Roman"/>
          <w:color w:val="000000" w:themeColor="text1"/>
          <w:sz w:val="24"/>
          <w:szCs w:val="24"/>
        </w:rPr>
        <w:t>r</w:t>
      </w:r>
      <w:r w:rsidRPr="002A4DFC">
        <w:rPr>
          <w:rFonts w:ascii="Times New Roman" w:eastAsia="Calibri" w:hAnsi="Times New Roman" w:cs="Times New Roman"/>
          <w:color w:val="000000" w:themeColor="text1"/>
          <w:sz w:val="24"/>
          <w:szCs w:val="24"/>
        </w:rPr>
        <w:t xml:space="preserve">eal GDP.  It should be noted that LEAP being a modelling tool, the availability of authenticated and indeed verified data based on empirical studies is key for any analysis. </w:t>
      </w:r>
    </w:p>
    <w:p w14:paraId="51DCAE54" w14:textId="0146C28F"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lang w:val="en"/>
        </w:rPr>
      </w:pPr>
      <w:r w:rsidRPr="00191ACB">
        <w:rPr>
          <w:rFonts w:ascii="Times New Roman" w:eastAsia="Arial" w:hAnsi="Times New Roman" w:cs="Times New Roman"/>
          <w:color w:val="000000" w:themeColor="text1"/>
          <w:sz w:val="24"/>
          <w:szCs w:val="24"/>
          <w:lang w:val="en"/>
        </w:rPr>
        <w:t xml:space="preserve">Based on consultations with various </w:t>
      </w:r>
      <w:r w:rsidR="0003347E" w:rsidRPr="00191ACB">
        <w:rPr>
          <w:rFonts w:ascii="Times New Roman" w:eastAsia="Arial" w:hAnsi="Times New Roman" w:cs="Times New Roman"/>
          <w:color w:val="000000" w:themeColor="text1"/>
          <w:sz w:val="24"/>
          <w:szCs w:val="24"/>
          <w:lang w:val="en"/>
        </w:rPr>
        <w:t>e</w:t>
      </w:r>
      <w:r w:rsidRPr="00191ACB">
        <w:rPr>
          <w:rFonts w:ascii="Times New Roman" w:eastAsia="Arial" w:hAnsi="Times New Roman" w:cs="Times New Roman"/>
          <w:color w:val="000000" w:themeColor="text1"/>
          <w:sz w:val="24"/>
          <w:szCs w:val="24"/>
          <w:lang w:val="en"/>
        </w:rPr>
        <w:t xml:space="preserve">xperts in the fields under consideration, it was determined to use the real GDP and population growth rates as drivers for projected growth in energy demand and subsequently GHG emissions. Therefore, the real GDP of </w:t>
      </w:r>
      <w:r w:rsidRPr="00191ACB">
        <w:rPr>
          <w:rFonts w:ascii="Times New Roman" w:eastAsia="Arial" w:hAnsi="Times New Roman" w:cs="Times New Roman"/>
          <w:bCs/>
          <w:color w:val="000000" w:themeColor="text1"/>
          <w:sz w:val="24"/>
          <w:szCs w:val="24"/>
          <w:lang w:val="en"/>
        </w:rPr>
        <w:t>5.53</w:t>
      </w:r>
      <w:r w:rsidR="0003347E" w:rsidRPr="00191ACB">
        <w:rPr>
          <w:rFonts w:ascii="Times New Roman" w:eastAsia="Arial" w:hAnsi="Times New Roman" w:cs="Times New Roman"/>
          <w:bCs/>
          <w:color w:val="000000" w:themeColor="text1"/>
          <w:sz w:val="24"/>
          <w:szCs w:val="24"/>
          <w:lang w:val="en"/>
        </w:rPr>
        <w:t xml:space="preserve"> percent</w:t>
      </w:r>
      <w:r w:rsidRPr="00191ACB">
        <w:rPr>
          <w:rFonts w:ascii="Times New Roman" w:eastAsia="Arial" w:hAnsi="Times New Roman" w:cs="Times New Roman"/>
          <w:bCs/>
          <w:color w:val="000000" w:themeColor="text1"/>
          <w:sz w:val="24"/>
          <w:szCs w:val="24"/>
          <w:lang w:val="en"/>
        </w:rPr>
        <w:t xml:space="preserve"> </w:t>
      </w:r>
      <w:r w:rsidRPr="00191ACB">
        <w:rPr>
          <w:rFonts w:ascii="Times New Roman" w:eastAsia="Arial" w:hAnsi="Times New Roman" w:cs="Times New Roman"/>
          <w:color w:val="000000" w:themeColor="text1"/>
          <w:sz w:val="24"/>
          <w:szCs w:val="24"/>
          <w:lang w:val="en"/>
        </w:rPr>
        <w:t>used on this analysis was based on the estimated average for the period 2010 to 2017 as published in the Bank of Zambia Annual Reports of 2012, 2014, 2016 and 2017. As for the population growth rate of 3.0</w:t>
      </w:r>
      <w:r w:rsidR="0003347E" w:rsidRPr="00191ACB">
        <w:rPr>
          <w:rFonts w:ascii="Times New Roman" w:eastAsia="Arial" w:hAnsi="Times New Roman" w:cs="Times New Roman"/>
          <w:bCs/>
          <w:color w:val="000000" w:themeColor="text1"/>
          <w:sz w:val="24"/>
          <w:szCs w:val="24"/>
          <w:lang w:val="en"/>
        </w:rPr>
        <w:t xml:space="preserve"> percent</w:t>
      </w:r>
      <w:r w:rsidRPr="00191ACB">
        <w:rPr>
          <w:rFonts w:ascii="Times New Roman" w:eastAsia="Arial" w:hAnsi="Times New Roman" w:cs="Times New Roman"/>
          <w:color w:val="000000" w:themeColor="text1"/>
          <w:sz w:val="24"/>
          <w:szCs w:val="24"/>
          <w:lang w:val="en"/>
        </w:rPr>
        <w:t xml:space="preserve"> per annum, this was based on </w:t>
      </w:r>
      <w:r w:rsidR="000F44A6" w:rsidRPr="00191ACB">
        <w:rPr>
          <w:rFonts w:ascii="Times New Roman" w:eastAsia="Arial" w:hAnsi="Times New Roman" w:cs="Times New Roman"/>
          <w:color w:val="000000" w:themeColor="text1"/>
          <w:sz w:val="24"/>
          <w:szCs w:val="24"/>
          <w:lang w:val="en"/>
        </w:rPr>
        <w:t>ZAMSTATS</w:t>
      </w:r>
      <w:r w:rsidRPr="00191ACB">
        <w:rPr>
          <w:rFonts w:ascii="Times New Roman" w:eastAsia="Arial" w:hAnsi="Times New Roman" w:cs="Times New Roman"/>
          <w:color w:val="000000" w:themeColor="text1"/>
          <w:sz w:val="24"/>
          <w:szCs w:val="24"/>
          <w:lang w:val="en"/>
        </w:rPr>
        <w:t xml:space="preserve"> estimates. The population growth rate was therefore used to estimate energy demand forecast for the residential sector whereas the other economic sectors’ demand was forecast using the real GDP. In terms of emission factor determination, due to the absence of country specific data, this analysis used the IPCC Tier 1 Default Emissions Factors embedded in the LEAP Model. </w:t>
      </w:r>
      <w:r w:rsidRPr="00191ACB">
        <w:rPr>
          <w:rFonts w:ascii="Times New Roman" w:eastAsia="Calibri" w:hAnsi="Times New Roman" w:cs="Times New Roman"/>
          <w:color w:val="000000" w:themeColor="text1"/>
          <w:sz w:val="24"/>
          <w:szCs w:val="24"/>
          <w:lang w:val="en"/>
        </w:rPr>
        <w:t xml:space="preserve">The associated calorific values for the conversion of energy use from metric tons to Tera Joules were also derived from the 2006 IPCC Guidelines. </w:t>
      </w:r>
    </w:p>
    <w:p w14:paraId="3EC6E1D3"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p>
    <w:p w14:paraId="6ED23E8E" w14:textId="171E8FE8" w:rsidR="006E4714" w:rsidRPr="00191ACB" w:rsidRDefault="006E4714" w:rsidP="005D53F6">
      <w:pPr>
        <w:pStyle w:val="Heading4"/>
        <w:numPr>
          <w:ilvl w:val="3"/>
          <w:numId w:val="36"/>
        </w:numPr>
        <w:ind w:left="851" w:hanging="851"/>
      </w:pPr>
      <w:bookmarkStart w:id="326" w:name="_Toc13582210"/>
      <w:bookmarkStart w:id="327" w:name="_Toc26264918"/>
      <w:r w:rsidRPr="00176B46">
        <w:t xml:space="preserve">Key </w:t>
      </w:r>
      <w:r w:rsidR="00176B46">
        <w:t>A</w:t>
      </w:r>
      <w:r w:rsidRPr="00176B46">
        <w:t xml:space="preserve">ssumptions for </w:t>
      </w:r>
      <w:r w:rsidRPr="00191ACB">
        <w:t>Industrial Processes and Product Use</w:t>
      </w:r>
      <w:bookmarkEnd w:id="326"/>
      <w:bookmarkEnd w:id="327"/>
      <w:r w:rsidRPr="00191ACB">
        <w:t xml:space="preserve">   </w:t>
      </w:r>
    </w:p>
    <w:p w14:paraId="62CEA000" w14:textId="70FFEB9A"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Greenhouse gas emission projections for Industrial Processes and Product Use sector were determined using carbon intensity derived from historical emissions. Carbon intensity was adopted from the World Resource Institute (WRI) approach and IPCC WG3 chapter 7 Energy System. Carbon intensity</w:t>
      </w:r>
      <w:r w:rsidR="0003347E"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per 2011 PPP million </w:t>
      </w:r>
      <w:r w:rsidR="0003347E" w:rsidRPr="00191ACB">
        <w:rPr>
          <w:rFonts w:ascii="Times New Roman" w:eastAsia="Calibri" w:hAnsi="Times New Roman" w:cs="Times New Roman"/>
          <w:color w:val="000000" w:themeColor="text1"/>
          <w:sz w:val="24"/>
          <w:szCs w:val="24"/>
        </w:rPr>
        <w:t>dollar</w:t>
      </w:r>
      <w:r w:rsidRPr="00191ACB">
        <w:rPr>
          <w:rFonts w:ascii="Times New Roman" w:eastAsia="Calibri" w:hAnsi="Times New Roman" w:cs="Times New Roman"/>
          <w:color w:val="000000" w:themeColor="text1"/>
          <w:sz w:val="24"/>
          <w:szCs w:val="24"/>
        </w:rPr>
        <w:t xml:space="preserve"> GDP</w:t>
      </w:r>
      <w:r w:rsidR="0003347E"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is the level of GHG emissions per unit of economic activity, usually measured at the national level as GDP</w:t>
      </w:r>
      <w:r w:rsidR="00E22E05" w:rsidRPr="00191ACB">
        <w:rPr>
          <w:rFonts w:ascii="Times New Roman" w:eastAsia="Calibri" w:hAnsi="Times New Roman" w:cs="Times New Roman"/>
          <w:color w:val="000000" w:themeColor="text1"/>
          <w:sz w:val="24"/>
          <w:szCs w:val="24"/>
        </w:rPr>
        <w:t>, and</w:t>
      </w:r>
      <w:r w:rsidRPr="00191ACB">
        <w:rPr>
          <w:rFonts w:ascii="Times New Roman" w:eastAsia="Calibri" w:hAnsi="Times New Roman" w:cs="Times New Roman"/>
          <w:color w:val="000000" w:themeColor="text1"/>
          <w:sz w:val="24"/>
          <w:szCs w:val="24"/>
        </w:rPr>
        <w:t xml:space="preserve"> is a factor of GDP and historical emissions.  GDP is expressed in a national currency or U.S. dollars. For future emission projection</w:t>
      </w:r>
      <w:r w:rsidR="00E22E05" w:rsidRPr="00191ACB">
        <w:rPr>
          <w:rFonts w:ascii="Times New Roman" w:eastAsia="Calibri" w:hAnsi="Times New Roman" w:cs="Times New Roman"/>
          <w:color w:val="000000" w:themeColor="text1"/>
          <w:sz w:val="24"/>
          <w:szCs w:val="24"/>
        </w:rPr>
        <w:t>s</w:t>
      </w:r>
      <w:r w:rsidRPr="00191ACB">
        <w:rPr>
          <w:rFonts w:ascii="Times New Roman" w:eastAsia="Calibri" w:hAnsi="Times New Roman" w:cs="Times New Roman"/>
          <w:color w:val="000000" w:themeColor="text1"/>
          <w:sz w:val="24"/>
          <w:szCs w:val="24"/>
        </w:rPr>
        <w:t>, the carbon intensity was multiplied by the future GDP purchasing power parity expressed in constant 2011 international dollars to facilitate international comparisons.  The GDP at constant prices for Zambia in 2014 stood at US$ Million 19,733.1 while in 2018 it was US$ 13,290.1</w:t>
      </w:r>
      <w:r w:rsidR="00826F26"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(Table </w:t>
      </w:r>
      <w:r w:rsidR="0049124E" w:rsidRPr="00191ACB">
        <w:rPr>
          <w:rFonts w:ascii="Times New Roman" w:eastAsia="Calibri" w:hAnsi="Times New Roman" w:cs="Times New Roman"/>
          <w:color w:val="000000" w:themeColor="text1"/>
          <w:sz w:val="24"/>
          <w:szCs w:val="24"/>
        </w:rPr>
        <w:t>4.1)</w:t>
      </w:r>
      <w:r w:rsidRPr="00191ACB">
        <w:rPr>
          <w:rFonts w:ascii="Times New Roman" w:eastAsia="Calibri" w:hAnsi="Times New Roman" w:cs="Times New Roman"/>
          <w:color w:val="000000" w:themeColor="text1"/>
          <w:sz w:val="24"/>
          <w:szCs w:val="24"/>
        </w:rPr>
        <w:t xml:space="preserve">. </w:t>
      </w:r>
    </w:p>
    <w:p w14:paraId="7E6F6EB7" w14:textId="028B6A7D" w:rsidR="008C6773" w:rsidRDefault="008C6773" w:rsidP="008C6773">
      <w:pPr>
        <w:spacing w:after="120" w:line="240" w:lineRule="auto"/>
        <w:jc w:val="both"/>
        <w:rPr>
          <w:rFonts w:ascii="Times New Roman" w:eastAsia="Calibri" w:hAnsi="Times New Roman" w:cs="Times New Roman"/>
          <w:color w:val="000000" w:themeColor="text1"/>
          <w:sz w:val="24"/>
          <w:szCs w:val="24"/>
        </w:rPr>
      </w:pPr>
      <w:bookmarkStart w:id="328" w:name="_Toc13582269"/>
      <w:bookmarkStart w:id="329" w:name="_Toc19705945"/>
    </w:p>
    <w:p w14:paraId="06F3B2A8" w14:textId="77777777" w:rsidR="00176B46" w:rsidRPr="00191ACB" w:rsidRDefault="00176B46" w:rsidP="008C6773">
      <w:pPr>
        <w:spacing w:after="120" w:line="240" w:lineRule="auto"/>
        <w:jc w:val="both"/>
        <w:rPr>
          <w:rFonts w:ascii="Times New Roman" w:eastAsia="Calibri" w:hAnsi="Times New Roman" w:cs="Times New Roman"/>
          <w:color w:val="000000" w:themeColor="text1"/>
          <w:sz w:val="24"/>
          <w:szCs w:val="24"/>
        </w:rPr>
      </w:pPr>
    </w:p>
    <w:p w14:paraId="5A8B7AB2" w14:textId="39E80E8E" w:rsidR="006E4714" w:rsidRPr="00191ACB" w:rsidRDefault="0049124E" w:rsidP="0049124E">
      <w:pPr>
        <w:pStyle w:val="Caption"/>
        <w:rPr>
          <w:rFonts w:eastAsia="Calibri"/>
          <w:color w:val="000000" w:themeColor="text1"/>
          <w:sz w:val="24"/>
          <w:szCs w:val="24"/>
        </w:rPr>
      </w:pPr>
      <w:bookmarkStart w:id="330" w:name="_Toc56583777"/>
      <w:bookmarkEnd w:id="328"/>
      <w:bookmarkEnd w:id="329"/>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w:t>
      </w:r>
      <w:r w:rsidR="00875942">
        <w:rPr>
          <w:sz w:val="24"/>
          <w:szCs w:val="24"/>
        </w:rPr>
        <w:fldChar w:fldCharType="end"/>
      </w:r>
      <w:r w:rsidRPr="00191ACB">
        <w:rPr>
          <w:sz w:val="24"/>
          <w:szCs w:val="24"/>
        </w:rPr>
        <w:t>:GDP for Zambia</w:t>
      </w:r>
      <w:bookmarkEnd w:id="330"/>
    </w:p>
    <w:tbl>
      <w:tblPr>
        <w:tblW w:w="5000" w:type="pct"/>
        <w:tblLayout w:type="fixed"/>
        <w:tblLook w:val="04A0" w:firstRow="1" w:lastRow="0" w:firstColumn="1" w:lastColumn="0" w:noHBand="0" w:noVBand="1"/>
      </w:tblPr>
      <w:tblGrid>
        <w:gridCol w:w="1768"/>
        <w:gridCol w:w="1035"/>
        <w:gridCol w:w="1035"/>
        <w:gridCol w:w="1035"/>
        <w:gridCol w:w="1032"/>
        <w:gridCol w:w="886"/>
        <w:gridCol w:w="1034"/>
        <w:gridCol w:w="886"/>
        <w:gridCol w:w="1028"/>
      </w:tblGrid>
      <w:tr w:rsidR="006E4714" w:rsidRPr="00191ACB" w14:paraId="7A7C3432" w14:textId="77777777" w:rsidTr="002C5967">
        <w:trPr>
          <w:trHeight w:val="300"/>
          <w:tblHeader/>
        </w:trPr>
        <w:tc>
          <w:tcPr>
            <w:tcW w:w="90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EED92E"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 </w:t>
            </w:r>
          </w:p>
        </w:tc>
        <w:tc>
          <w:tcPr>
            <w:tcW w:w="531" w:type="pct"/>
            <w:tcBorders>
              <w:top w:val="single" w:sz="4" w:space="0" w:color="auto"/>
              <w:left w:val="nil"/>
              <w:bottom w:val="single" w:sz="4" w:space="0" w:color="auto"/>
              <w:right w:val="single" w:sz="4" w:space="0" w:color="auto"/>
            </w:tcBorders>
            <w:shd w:val="clear" w:color="auto" w:fill="auto"/>
            <w:noWrap/>
            <w:vAlign w:val="bottom"/>
            <w:hideMark/>
          </w:tcPr>
          <w:p w14:paraId="6D0E7D5E"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2011</w:t>
            </w:r>
          </w:p>
        </w:tc>
        <w:tc>
          <w:tcPr>
            <w:tcW w:w="531" w:type="pct"/>
            <w:tcBorders>
              <w:top w:val="single" w:sz="4" w:space="0" w:color="auto"/>
              <w:left w:val="nil"/>
              <w:bottom w:val="single" w:sz="4" w:space="0" w:color="auto"/>
              <w:right w:val="single" w:sz="4" w:space="0" w:color="auto"/>
            </w:tcBorders>
            <w:shd w:val="clear" w:color="auto" w:fill="auto"/>
            <w:noWrap/>
            <w:vAlign w:val="bottom"/>
            <w:hideMark/>
          </w:tcPr>
          <w:p w14:paraId="5FEC802C"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2012</w:t>
            </w:r>
          </w:p>
        </w:tc>
        <w:tc>
          <w:tcPr>
            <w:tcW w:w="531" w:type="pct"/>
            <w:tcBorders>
              <w:top w:val="single" w:sz="4" w:space="0" w:color="auto"/>
              <w:left w:val="nil"/>
              <w:bottom w:val="single" w:sz="4" w:space="0" w:color="auto"/>
              <w:right w:val="single" w:sz="4" w:space="0" w:color="auto"/>
            </w:tcBorders>
            <w:shd w:val="clear" w:color="auto" w:fill="auto"/>
            <w:noWrap/>
            <w:vAlign w:val="bottom"/>
            <w:hideMark/>
          </w:tcPr>
          <w:p w14:paraId="0EFE1019"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2013</w:t>
            </w:r>
          </w:p>
        </w:tc>
        <w:tc>
          <w:tcPr>
            <w:tcW w:w="530" w:type="pct"/>
            <w:tcBorders>
              <w:top w:val="single" w:sz="4" w:space="0" w:color="auto"/>
              <w:left w:val="nil"/>
              <w:bottom w:val="single" w:sz="4" w:space="0" w:color="auto"/>
              <w:right w:val="single" w:sz="4" w:space="0" w:color="auto"/>
            </w:tcBorders>
            <w:shd w:val="clear" w:color="auto" w:fill="auto"/>
            <w:noWrap/>
            <w:vAlign w:val="bottom"/>
            <w:hideMark/>
          </w:tcPr>
          <w:p w14:paraId="43BC4914"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2014</w:t>
            </w:r>
          </w:p>
        </w:tc>
        <w:tc>
          <w:tcPr>
            <w:tcW w:w="455" w:type="pct"/>
            <w:tcBorders>
              <w:top w:val="single" w:sz="4" w:space="0" w:color="auto"/>
              <w:left w:val="nil"/>
              <w:bottom w:val="single" w:sz="4" w:space="0" w:color="auto"/>
              <w:right w:val="single" w:sz="4" w:space="0" w:color="auto"/>
            </w:tcBorders>
            <w:shd w:val="clear" w:color="auto" w:fill="auto"/>
            <w:noWrap/>
            <w:vAlign w:val="bottom"/>
            <w:hideMark/>
          </w:tcPr>
          <w:p w14:paraId="294C4E5F"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2015</w:t>
            </w:r>
          </w:p>
        </w:tc>
        <w:tc>
          <w:tcPr>
            <w:tcW w:w="531" w:type="pct"/>
            <w:tcBorders>
              <w:top w:val="single" w:sz="4" w:space="0" w:color="auto"/>
              <w:left w:val="nil"/>
              <w:bottom w:val="single" w:sz="4" w:space="0" w:color="auto"/>
              <w:right w:val="single" w:sz="4" w:space="0" w:color="auto"/>
            </w:tcBorders>
            <w:shd w:val="clear" w:color="auto" w:fill="auto"/>
            <w:noWrap/>
            <w:vAlign w:val="bottom"/>
            <w:hideMark/>
          </w:tcPr>
          <w:p w14:paraId="6F675EA3"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2016</w:t>
            </w:r>
          </w:p>
        </w:tc>
        <w:tc>
          <w:tcPr>
            <w:tcW w:w="455" w:type="pct"/>
            <w:tcBorders>
              <w:top w:val="single" w:sz="4" w:space="0" w:color="auto"/>
              <w:left w:val="nil"/>
              <w:bottom w:val="single" w:sz="4" w:space="0" w:color="auto"/>
              <w:right w:val="single" w:sz="4" w:space="0" w:color="auto"/>
            </w:tcBorders>
            <w:shd w:val="clear" w:color="auto" w:fill="auto"/>
            <w:noWrap/>
            <w:vAlign w:val="bottom"/>
            <w:hideMark/>
          </w:tcPr>
          <w:p w14:paraId="6BA68208"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2017</w:t>
            </w:r>
          </w:p>
        </w:tc>
        <w:tc>
          <w:tcPr>
            <w:tcW w:w="528" w:type="pct"/>
            <w:tcBorders>
              <w:top w:val="single" w:sz="4" w:space="0" w:color="auto"/>
              <w:left w:val="nil"/>
              <w:bottom w:val="single" w:sz="4" w:space="0" w:color="auto"/>
              <w:right w:val="single" w:sz="4" w:space="0" w:color="auto"/>
            </w:tcBorders>
            <w:shd w:val="clear" w:color="auto" w:fill="auto"/>
            <w:noWrap/>
            <w:vAlign w:val="bottom"/>
            <w:hideMark/>
          </w:tcPr>
          <w:p w14:paraId="6DD75F9E"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2018</w:t>
            </w:r>
          </w:p>
        </w:tc>
      </w:tr>
      <w:tr w:rsidR="006E4714" w:rsidRPr="00191ACB" w14:paraId="02FECA93" w14:textId="77777777" w:rsidTr="002C5967">
        <w:trPr>
          <w:trHeight w:val="300"/>
        </w:trPr>
        <w:tc>
          <w:tcPr>
            <w:tcW w:w="907" w:type="pct"/>
            <w:tcBorders>
              <w:top w:val="nil"/>
              <w:left w:val="single" w:sz="4" w:space="0" w:color="auto"/>
              <w:bottom w:val="single" w:sz="4" w:space="0" w:color="auto"/>
              <w:right w:val="single" w:sz="4" w:space="0" w:color="auto"/>
            </w:tcBorders>
            <w:shd w:val="clear" w:color="auto" w:fill="auto"/>
            <w:noWrap/>
            <w:vAlign w:val="bottom"/>
            <w:hideMark/>
          </w:tcPr>
          <w:p w14:paraId="09EB4F7D"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GDP Constant 2010 Prices (US$)</w:t>
            </w:r>
          </w:p>
        </w:tc>
        <w:tc>
          <w:tcPr>
            <w:tcW w:w="531" w:type="pct"/>
            <w:tcBorders>
              <w:top w:val="nil"/>
              <w:left w:val="nil"/>
              <w:bottom w:val="single" w:sz="4" w:space="0" w:color="auto"/>
              <w:right w:val="single" w:sz="4" w:space="0" w:color="auto"/>
            </w:tcBorders>
            <w:shd w:val="clear" w:color="auto" w:fill="auto"/>
            <w:noWrap/>
            <w:vAlign w:val="bottom"/>
            <w:hideMark/>
          </w:tcPr>
          <w:p w14:paraId="2355227D"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21114.1</w:t>
            </w:r>
          </w:p>
        </w:tc>
        <w:tc>
          <w:tcPr>
            <w:tcW w:w="531" w:type="pct"/>
            <w:tcBorders>
              <w:top w:val="nil"/>
              <w:left w:val="nil"/>
              <w:bottom w:val="single" w:sz="4" w:space="0" w:color="auto"/>
              <w:right w:val="single" w:sz="4" w:space="0" w:color="auto"/>
            </w:tcBorders>
            <w:shd w:val="clear" w:color="auto" w:fill="auto"/>
            <w:noWrap/>
            <w:vAlign w:val="bottom"/>
            <w:hideMark/>
          </w:tcPr>
          <w:p w14:paraId="1418D21B"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21476.7</w:t>
            </w:r>
          </w:p>
        </w:tc>
        <w:tc>
          <w:tcPr>
            <w:tcW w:w="531" w:type="pct"/>
            <w:tcBorders>
              <w:top w:val="nil"/>
              <w:left w:val="nil"/>
              <w:bottom w:val="single" w:sz="4" w:space="0" w:color="auto"/>
              <w:right w:val="single" w:sz="4" w:space="0" w:color="auto"/>
            </w:tcBorders>
            <w:shd w:val="clear" w:color="auto" w:fill="auto"/>
            <w:noWrap/>
            <w:vAlign w:val="bottom"/>
            <w:hideMark/>
          </w:tcPr>
          <w:p w14:paraId="17410E3B"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21517.1</w:t>
            </w:r>
          </w:p>
        </w:tc>
        <w:tc>
          <w:tcPr>
            <w:tcW w:w="530" w:type="pct"/>
            <w:tcBorders>
              <w:top w:val="nil"/>
              <w:left w:val="nil"/>
              <w:bottom w:val="single" w:sz="4" w:space="0" w:color="auto"/>
              <w:right w:val="single" w:sz="4" w:space="0" w:color="auto"/>
            </w:tcBorders>
            <w:shd w:val="clear" w:color="auto" w:fill="auto"/>
            <w:noWrap/>
            <w:vAlign w:val="bottom"/>
            <w:hideMark/>
          </w:tcPr>
          <w:p w14:paraId="35CBBEA8"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19733.1</w:t>
            </w:r>
          </w:p>
        </w:tc>
        <w:tc>
          <w:tcPr>
            <w:tcW w:w="455" w:type="pct"/>
            <w:tcBorders>
              <w:top w:val="nil"/>
              <w:left w:val="nil"/>
              <w:bottom w:val="single" w:sz="4" w:space="0" w:color="auto"/>
              <w:right w:val="single" w:sz="4" w:space="0" w:color="auto"/>
            </w:tcBorders>
            <w:shd w:val="clear" w:color="auto" w:fill="auto"/>
            <w:noWrap/>
            <w:vAlign w:val="bottom"/>
            <w:hideMark/>
          </w:tcPr>
          <w:p w14:paraId="645E08F9"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14484.8</w:t>
            </w:r>
          </w:p>
        </w:tc>
        <w:tc>
          <w:tcPr>
            <w:tcW w:w="531" w:type="pct"/>
            <w:tcBorders>
              <w:top w:val="nil"/>
              <w:left w:val="nil"/>
              <w:bottom w:val="single" w:sz="4" w:space="0" w:color="auto"/>
              <w:right w:val="single" w:sz="4" w:space="0" w:color="auto"/>
            </w:tcBorders>
            <w:shd w:val="clear" w:color="auto" w:fill="auto"/>
            <w:noWrap/>
            <w:vAlign w:val="bottom"/>
            <w:hideMark/>
          </w:tcPr>
          <w:p w14:paraId="068B1F6A"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12579.6</w:t>
            </w:r>
          </w:p>
        </w:tc>
        <w:tc>
          <w:tcPr>
            <w:tcW w:w="455" w:type="pct"/>
            <w:tcBorders>
              <w:top w:val="nil"/>
              <w:left w:val="nil"/>
              <w:bottom w:val="single" w:sz="4" w:space="0" w:color="auto"/>
              <w:right w:val="single" w:sz="4" w:space="0" w:color="auto"/>
            </w:tcBorders>
            <w:shd w:val="clear" w:color="auto" w:fill="auto"/>
            <w:noWrap/>
            <w:vAlign w:val="bottom"/>
            <w:hideMark/>
          </w:tcPr>
          <w:p w14:paraId="2240C8A7"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14133.7</w:t>
            </w:r>
          </w:p>
        </w:tc>
        <w:tc>
          <w:tcPr>
            <w:tcW w:w="528" w:type="pct"/>
            <w:tcBorders>
              <w:top w:val="nil"/>
              <w:left w:val="nil"/>
              <w:bottom w:val="single" w:sz="4" w:space="0" w:color="auto"/>
              <w:right w:val="single" w:sz="4" w:space="0" w:color="auto"/>
            </w:tcBorders>
            <w:shd w:val="clear" w:color="auto" w:fill="auto"/>
            <w:noWrap/>
            <w:vAlign w:val="bottom"/>
            <w:hideMark/>
          </w:tcPr>
          <w:p w14:paraId="2A5E696A"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13290.1</w:t>
            </w:r>
          </w:p>
        </w:tc>
      </w:tr>
      <w:tr w:rsidR="006E4714" w:rsidRPr="00191ACB" w14:paraId="75186979" w14:textId="77777777" w:rsidTr="002C5967">
        <w:trPr>
          <w:trHeight w:val="300"/>
        </w:trPr>
        <w:tc>
          <w:tcPr>
            <w:tcW w:w="907" w:type="pct"/>
            <w:tcBorders>
              <w:top w:val="nil"/>
              <w:left w:val="single" w:sz="4" w:space="0" w:color="auto"/>
              <w:bottom w:val="single" w:sz="4" w:space="0" w:color="auto"/>
              <w:right w:val="single" w:sz="4" w:space="0" w:color="auto"/>
            </w:tcBorders>
            <w:shd w:val="clear" w:color="auto" w:fill="auto"/>
            <w:noWrap/>
            <w:vAlign w:val="bottom"/>
            <w:hideMark/>
          </w:tcPr>
          <w:p w14:paraId="03AE0C53"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Real GDP Growth (%)</w:t>
            </w:r>
          </w:p>
        </w:tc>
        <w:tc>
          <w:tcPr>
            <w:tcW w:w="531" w:type="pct"/>
            <w:tcBorders>
              <w:top w:val="nil"/>
              <w:left w:val="nil"/>
              <w:bottom w:val="single" w:sz="4" w:space="0" w:color="auto"/>
              <w:right w:val="single" w:sz="4" w:space="0" w:color="auto"/>
            </w:tcBorders>
            <w:shd w:val="clear" w:color="auto" w:fill="auto"/>
            <w:noWrap/>
            <w:vAlign w:val="bottom"/>
            <w:hideMark/>
          </w:tcPr>
          <w:p w14:paraId="471B71FE"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531" w:type="pct"/>
            <w:tcBorders>
              <w:top w:val="nil"/>
              <w:left w:val="nil"/>
              <w:bottom w:val="single" w:sz="4" w:space="0" w:color="auto"/>
              <w:right w:val="single" w:sz="4" w:space="0" w:color="auto"/>
            </w:tcBorders>
            <w:shd w:val="clear" w:color="auto" w:fill="auto"/>
            <w:noWrap/>
            <w:vAlign w:val="bottom"/>
            <w:hideMark/>
          </w:tcPr>
          <w:p w14:paraId="02F103B2"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7.6</w:t>
            </w:r>
          </w:p>
        </w:tc>
        <w:tc>
          <w:tcPr>
            <w:tcW w:w="531" w:type="pct"/>
            <w:tcBorders>
              <w:top w:val="nil"/>
              <w:left w:val="nil"/>
              <w:bottom w:val="single" w:sz="4" w:space="0" w:color="auto"/>
              <w:right w:val="single" w:sz="4" w:space="0" w:color="auto"/>
            </w:tcBorders>
            <w:shd w:val="clear" w:color="auto" w:fill="auto"/>
            <w:noWrap/>
            <w:vAlign w:val="bottom"/>
            <w:hideMark/>
          </w:tcPr>
          <w:p w14:paraId="73277377"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5.1</w:t>
            </w:r>
          </w:p>
        </w:tc>
        <w:tc>
          <w:tcPr>
            <w:tcW w:w="530" w:type="pct"/>
            <w:tcBorders>
              <w:top w:val="nil"/>
              <w:left w:val="nil"/>
              <w:bottom w:val="single" w:sz="4" w:space="0" w:color="auto"/>
              <w:right w:val="single" w:sz="4" w:space="0" w:color="auto"/>
            </w:tcBorders>
            <w:shd w:val="clear" w:color="auto" w:fill="auto"/>
            <w:noWrap/>
            <w:vAlign w:val="bottom"/>
            <w:hideMark/>
          </w:tcPr>
          <w:p w14:paraId="4B859817"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4.7</w:t>
            </w:r>
          </w:p>
        </w:tc>
        <w:tc>
          <w:tcPr>
            <w:tcW w:w="455" w:type="pct"/>
            <w:tcBorders>
              <w:top w:val="nil"/>
              <w:left w:val="nil"/>
              <w:bottom w:val="single" w:sz="4" w:space="0" w:color="auto"/>
              <w:right w:val="single" w:sz="4" w:space="0" w:color="auto"/>
            </w:tcBorders>
            <w:shd w:val="clear" w:color="auto" w:fill="auto"/>
            <w:noWrap/>
            <w:vAlign w:val="bottom"/>
            <w:hideMark/>
          </w:tcPr>
          <w:p w14:paraId="5F287E80"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2.9</w:t>
            </w:r>
          </w:p>
        </w:tc>
        <w:tc>
          <w:tcPr>
            <w:tcW w:w="531" w:type="pct"/>
            <w:tcBorders>
              <w:top w:val="nil"/>
              <w:left w:val="nil"/>
              <w:bottom w:val="single" w:sz="4" w:space="0" w:color="auto"/>
              <w:right w:val="single" w:sz="4" w:space="0" w:color="auto"/>
            </w:tcBorders>
            <w:shd w:val="clear" w:color="auto" w:fill="auto"/>
            <w:noWrap/>
            <w:vAlign w:val="bottom"/>
            <w:hideMark/>
          </w:tcPr>
          <w:p w14:paraId="2F89CDAA"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3.8</w:t>
            </w:r>
          </w:p>
        </w:tc>
        <w:tc>
          <w:tcPr>
            <w:tcW w:w="455" w:type="pct"/>
            <w:tcBorders>
              <w:top w:val="nil"/>
              <w:left w:val="nil"/>
              <w:bottom w:val="single" w:sz="4" w:space="0" w:color="auto"/>
              <w:right w:val="single" w:sz="4" w:space="0" w:color="auto"/>
            </w:tcBorders>
            <w:shd w:val="clear" w:color="auto" w:fill="auto"/>
            <w:noWrap/>
            <w:vAlign w:val="bottom"/>
            <w:hideMark/>
          </w:tcPr>
          <w:p w14:paraId="54A3D271"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3.5</w:t>
            </w:r>
          </w:p>
        </w:tc>
        <w:tc>
          <w:tcPr>
            <w:tcW w:w="528" w:type="pct"/>
            <w:tcBorders>
              <w:top w:val="nil"/>
              <w:left w:val="nil"/>
              <w:bottom w:val="single" w:sz="4" w:space="0" w:color="auto"/>
              <w:right w:val="single" w:sz="4" w:space="0" w:color="auto"/>
            </w:tcBorders>
            <w:shd w:val="clear" w:color="auto" w:fill="auto"/>
            <w:noWrap/>
            <w:vAlign w:val="bottom"/>
            <w:hideMark/>
          </w:tcPr>
          <w:p w14:paraId="2BCD112B"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3.7</w:t>
            </w:r>
          </w:p>
        </w:tc>
      </w:tr>
      <w:tr w:rsidR="006E4714" w:rsidRPr="00191ACB" w14:paraId="45608445" w14:textId="77777777" w:rsidTr="002C5967">
        <w:trPr>
          <w:trHeight w:val="300"/>
        </w:trPr>
        <w:tc>
          <w:tcPr>
            <w:tcW w:w="907" w:type="pct"/>
            <w:tcBorders>
              <w:top w:val="nil"/>
              <w:left w:val="single" w:sz="4" w:space="0" w:color="auto"/>
              <w:bottom w:val="single" w:sz="4" w:space="0" w:color="auto"/>
              <w:right w:val="single" w:sz="4" w:space="0" w:color="auto"/>
            </w:tcBorders>
            <w:shd w:val="clear" w:color="auto" w:fill="auto"/>
            <w:noWrap/>
            <w:vAlign w:val="bottom"/>
            <w:hideMark/>
          </w:tcPr>
          <w:p w14:paraId="44933267"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Nominal GDP (Million ZMW)</w:t>
            </w:r>
          </w:p>
        </w:tc>
        <w:tc>
          <w:tcPr>
            <w:tcW w:w="531" w:type="pct"/>
            <w:tcBorders>
              <w:top w:val="nil"/>
              <w:left w:val="nil"/>
              <w:bottom w:val="single" w:sz="4" w:space="0" w:color="auto"/>
              <w:right w:val="single" w:sz="4" w:space="0" w:color="auto"/>
            </w:tcBorders>
            <w:shd w:val="clear" w:color="auto" w:fill="auto"/>
            <w:noWrap/>
            <w:vAlign w:val="bottom"/>
            <w:hideMark/>
          </w:tcPr>
          <w:p w14:paraId="5E01858A"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114029.7</w:t>
            </w:r>
          </w:p>
        </w:tc>
        <w:tc>
          <w:tcPr>
            <w:tcW w:w="531" w:type="pct"/>
            <w:tcBorders>
              <w:top w:val="nil"/>
              <w:left w:val="nil"/>
              <w:bottom w:val="single" w:sz="4" w:space="0" w:color="auto"/>
              <w:right w:val="single" w:sz="4" w:space="0" w:color="auto"/>
            </w:tcBorders>
            <w:shd w:val="clear" w:color="auto" w:fill="auto"/>
            <w:noWrap/>
            <w:vAlign w:val="bottom"/>
            <w:hideMark/>
          </w:tcPr>
          <w:p w14:paraId="7B6CDD17"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131271.9</w:t>
            </w:r>
          </w:p>
        </w:tc>
        <w:tc>
          <w:tcPr>
            <w:tcW w:w="531" w:type="pct"/>
            <w:tcBorders>
              <w:top w:val="nil"/>
              <w:left w:val="nil"/>
              <w:bottom w:val="single" w:sz="4" w:space="0" w:color="auto"/>
              <w:right w:val="single" w:sz="4" w:space="0" w:color="auto"/>
            </w:tcBorders>
            <w:shd w:val="clear" w:color="auto" w:fill="auto"/>
            <w:noWrap/>
            <w:vAlign w:val="bottom"/>
            <w:hideMark/>
          </w:tcPr>
          <w:p w14:paraId="1A6AB305"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151330.8</w:t>
            </w:r>
          </w:p>
        </w:tc>
        <w:tc>
          <w:tcPr>
            <w:tcW w:w="530" w:type="pct"/>
            <w:tcBorders>
              <w:top w:val="nil"/>
              <w:left w:val="nil"/>
              <w:bottom w:val="single" w:sz="4" w:space="0" w:color="auto"/>
              <w:right w:val="single" w:sz="4" w:space="0" w:color="auto"/>
            </w:tcBorders>
            <w:shd w:val="clear" w:color="auto" w:fill="auto"/>
            <w:noWrap/>
            <w:vAlign w:val="bottom"/>
            <w:hideMark/>
          </w:tcPr>
          <w:p w14:paraId="0A627D71"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167052.5</w:t>
            </w:r>
          </w:p>
        </w:tc>
        <w:tc>
          <w:tcPr>
            <w:tcW w:w="455" w:type="pct"/>
            <w:tcBorders>
              <w:top w:val="nil"/>
              <w:left w:val="nil"/>
              <w:bottom w:val="single" w:sz="4" w:space="0" w:color="auto"/>
              <w:right w:val="single" w:sz="4" w:space="0" w:color="auto"/>
            </w:tcBorders>
            <w:shd w:val="clear" w:color="auto" w:fill="auto"/>
            <w:noWrap/>
            <w:vAlign w:val="bottom"/>
            <w:hideMark/>
          </w:tcPr>
          <w:p w14:paraId="7F731B7C"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183381.1</w:t>
            </w:r>
          </w:p>
        </w:tc>
        <w:tc>
          <w:tcPr>
            <w:tcW w:w="531" w:type="pct"/>
            <w:tcBorders>
              <w:top w:val="nil"/>
              <w:left w:val="nil"/>
              <w:bottom w:val="single" w:sz="4" w:space="0" w:color="auto"/>
              <w:right w:val="single" w:sz="4" w:space="0" w:color="auto"/>
            </w:tcBorders>
            <w:shd w:val="clear" w:color="auto" w:fill="auto"/>
            <w:noWrap/>
            <w:vAlign w:val="bottom"/>
            <w:hideMark/>
          </w:tcPr>
          <w:p w14:paraId="7DF2502A"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216098.1</w:t>
            </w:r>
          </w:p>
        </w:tc>
        <w:tc>
          <w:tcPr>
            <w:tcW w:w="455" w:type="pct"/>
            <w:tcBorders>
              <w:top w:val="nil"/>
              <w:left w:val="nil"/>
              <w:bottom w:val="single" w:sz="4" w:space="0" w:color="auto"/>
              <w:right w:val="single" w:sz="4" w:space="0" w:color="auto"/>
            </w:tcBorders>
            <w:shd w:val="clear" w:color="auto" w:fill="auto"/>
            <w:noWrap/>
            <w:vAlign w:val="bottom"/>
            <w:hideMark/>
          </w:tcPr>
          <w:p w14:paraId="53FA5FA8"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246251.8</w:t>
            </w:r>
          </w:p>
        </w:tc>
        <w:tc>
          <w:tcPr>
            <w:tcW w:w="528" w:type="pct"/>
            <w:tcBorders>
              <w:top w:val="nil"/>
              <w:left w:val="nil"/>
              <w:bottom w:val="single" w:sz="4" w:space="0" w:color="auto"/>
              <w:right w:val="single" w:sz="4" w:space="0" w:color="auto"/>
            </w:tcBorders>
            <w:shd w:val="clear" w:color="auto" w:fill="auto"/>
            <w:noWrap/>
            <w:vAlign w:val="bottom"/>
            <w:hideMark/>
          </w:tcPr>
          <w:p w14:paraId="4734885F"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279441.2</w:t>
            </w:r>
          </w:p>
        </w:tc>
      </w:tr>
      <w:tr w:rsidR="006E4714" w:rsidRPr="00191ACB" w14:paraId="6E3B890C" w14:textId="77777777" w:rsidTr="002C5967">
        <w:trPr>
          <w:trHeight w:val="300"/>
        </w:trPr>
        <w:tc>
          <w:tcPr>
            <w:tcW w:w="907" w:type="pct"/>
            <w:tcBorders>
              <w:top w:val="nil"/>
              <w:left w:val="single" w:sz="4" w:space="0" w:color="auto"/>
              <w:bottom w:val="single" w:sz="4" w:space="0" w:color="auto"/>
              <w:right w:val="single" w:sz="4" w:space="0" w:color="auto"/>
            </w:tcBorders>
            <w:shd w:val="clear" w:color="auto" w:fill="auto"/>
            <w:noWrap/>
            <w:vAlign w:val="bottom"/>
            <w:hideMark/>
          </w:tcPr>
          <w:p w14:paraId="22BF2A27"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lastRenderedPageBreak/>
              <w:t>Nominal GDP (Million $US)</w:t>
            </w:r>
          </w:p>
        </w:tc>
        <w:tc>
          <w:tcPr>
            <w:tcW w:w="531" w:type="pct"/>
            <w:tcBorders>
              <w:top w:val="nil"/>
              <w:left w:val="nil"/>
              <w:bottom w:val="single" w:sz="4" w:space="0" w:color="auto"/>
              <w:right w:val="single" w:sz="4" w:space="0" w:color="auto"/>
            </w:tcBorders>
            <w:shd w:val="clear" w:color="auto" w:fill="auto"/>
            <w:noWrap/>
            <w:vAlign w:val="bottom"/>
            <w:hideMark/>
          </w:tcPr>
          <w:p w14:paraId="1AC0E0E7"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23460.4</w:t>
            </w:r>
          </w:p>
        </w:tc>
        <w:tc>
          <w:tcPr>
            <w:tcW w:w="531" w:type="pct"/>
            <w:tcBorders>
              <w:top w:val="nil"/>
              <w:left w:val="nil"/>
              <w:bottom w:val="single" w:sz="4" w:space="0" w:color="auto"/>
              <w:right w:val="single" w:sz="4" w:space="0" w:color="auto"/>
            </w:tcBorders>
            <w:shd w:val="clear" w:color="auto" w:fill="auto"/>
            <w:noWrap/>
            <w:vAlign w:val="bottom"/>
            <w:hideMark/>
          </w:tcPr>
          <w:p w14:paraId="7480C360"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25531.8</w:t>
            </w:r>
          </w:p>
        </w:tc>
        <w:tc>
          <w:tcPr>
            <w:tcW w:w="531" w:type="pct"/>
            <w:tcBorders>
              <w:top w:val="nil"/>
              <w:left w:val="nil"/>
              <w:bottom w:val="single" w:sz="4" w:space="0" w:color="auto"/>
              <w:right w:val="single" w:sz="4" w:space="0" w:color="auto"/>
            </w:tcBorders>
            <w:shd w:val="clear" w:color="auto" w:fill="auto"/>
            <w:noWrap/>
            <w:vAlign w:val="bottom"/>
            <w:hideMark/>
          </w:tcPr>
          <w:p w14:paraId="0AD42254"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28068.9</w:t>
            </w:r>
          </w:p>
        </w:tc>
        <w:tc>
          <w:tcPr>
            <w:tcW w:w="530" w:type="pct"/>
            <w:tcBorders>
              <w:top w:val="nil"/>
              <w:left w:val="nil"/>
              <w:bottom w:val="single" w:sz="4" w:space="0" w:color="auto"/>
              <w:right w:val="single" w:sz="4" w:space="0" w:color="auto"/>
            </w:tcBorders>
            <w:shd w:val="clear" w:color="auto" w:fill="auto"/>
            <w:noWrap/>
            <w:vAlign w:val="bottom"/>
            <w:hideMark/>
          </w:tcPr>
          <w:p w14:paraId="0735AC16"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27140.9</w:t>
            </w:r>
          </w:p>
        </w:tc>
        <w:tc>
          <w:tcPr>
            <w:tcW w:w="455" w:type="pct"/>
            <w:tcBorders>
              <w:top w:val="nil"/>
              <w:left w:val="nil"/>
              <w:bottom w:val="single" w:sz="4" w:space="0" w:color="auto"/>
              <w:right w:val="single" w:sz="4" w:space="0" w:color="auto"/>
            </w:tcBorders>
            <w:shd w:val="clear" w:color="auto" w:fill="auto"/>
            <w:noWrap/>
            <w:vAlign w:val="bottom"/>
            <w:hideMark/>
          </w:tcPr>
          <w:p w14:paraId="31178AFB"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21249.3</w:t>
            </w:r>
          </w:p>
        </w:tc>
        <w:tc>
          <w:tcPr>
            <w:tcW w:w="531" w:type="pct"/>
            <w:tcBorders>
              <w:top w:val="nil"/>
              <w:left w:val="nil"/>
              <w:bottom w:val="single" w:sz="4" w:space="0" w:color="auto"/>
              <w:right w:val="single" w:sz="4" w:space="0" w:color="auto"/>
            </w:tcBorders>
            <w:shd w:val="clear" w:color="auto" w:fill="auto"/>
            <w:noWrap/>
            <w:vAlign w:val="bottom"/>
            <w:hideMark/>
          </w:tcPr>
          <w:p w14:paraId="6F3B817E"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20960.0</w:t>
            </w:r>
          </w:p>
        </w:tc>
        <w:tc>
          <w:tcPr>
            <w:tcW w:w="455" w:type="pct"/>
            <w:tcBorders>
              <w:top w:val="nil"/>
              <w:left w:val="nil"/>
              <w:bottom w:val="single" w:sz="4" w:space="0" w:color="auto"/>
              <w:right w:val="single" w:sz="4" w:space="0" w:color="auto"/>
            </w:tcBorders>
            <w:shd w:val="clear" w:color="auto" w:fill="auto"/>
            <w:noWrap/>
            <w:vAlign w:val="bottom"/>
            <w:hideMark/>
          </w:tcPr>
          <w:p w14:paraId="58E3B575"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25921.2</w:t>
            </w:r>
          </w:p>
        </w:tc>
        <w:tc>
          <w:tcPr>
            <w:tcW w:w="528" w:type="pct"/>
            <w:tcBorders>
              <w:top w:val="nil"/>
              <w:left w:val="nil"/>
              <w:bottom w:val="single" w:sz="4" w:space="0" w:color="auto"/>
              <w:right w:val="single" w:sz="4" w:space="0" w:color="auto"/>
            </w:tcBorders>
            <w:shd w:val="clear" w:color="auto" w:fill="auto"/>
            <w:noWrap/>
            <w:vAlign w:val="bottom"/>
            <w:hideMark/>
          </w:tcPr>
          <w:p w14:paraId="32B53EEB"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26679.8</w:t>
            </w:r>
          </w:p>
        </w:tc>
      </w:tr>
      <w:tr w:rsidR="006E4714" w:rsidRPr="00191ACB" w14:paraId="78306E9E" w14:textId="77777777" w:rsidTr="002C5967">
        <w:trPr>
          <w:trHeight w:val="300"/>
        </w:trPr>
        <w:tc>
          <w:tcPr>
            <w:tcW w:w="907" w:type="pct"/>
            <w:tcBorders>
              <w:top w:val="nil"/>
              <w:left w:val="single" w:sz="4" w:space="0" w:color="auto"/>
              <w:bottom w:val="single" w:sz="4" w:space="0" w:color="auto"/>
              <w:right w:val="single" w:sz="4" w:space="0" w:color="auto"/>
            </w:tcBorders>
            <w:shd w:val="clear" w:color="auto" w:fill="auto"/>
            <w:noWrap/>
            <w:vAlign w:val="bottom"/>
            <w:hideMark/>
          </w:tcPr>
          <w:p w14:paraId="7D057CBA"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GDP Per Capita (US$)</w:t>
            </w:r>
          </w:p>
        </w:tc>
        <w:tc>
          <w:tcPr>
            <w:tcW w:w="531" w:type="pct"/>
            <w:tcBorders>
              <w:top w:val="nil"/>
              <w:left w:val="nil"/>
              <w:bottom w:val="single" w:sz="4" w:space="0" w:color="auto"/>
              <w:right w:val="single" w:sz="4" w:space="0" w:color="auto"/>
            </w:tcBorders>
            <w:shd w:val="clear" w:color="auto" w:fill="auto"/>
            <w:noWrap/>
            <w:vAlign w:val="bottom"/>
            <w:hideMark/>
          </w:tcPr>
          <w:p w14:paraId="568EF703"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1710.1</w:t>
            </w:r>
          </w:p>
        </w:tc>
        <w:tc>
          <w:tcPr>
            <w:tcW w:w="531" w:type="pct"/>
            <w:tcBorders>
              <w:top w:val="nil"/>
              <w:left w:val="nil"/>
              <w:bottom w:val="single" w:sz="4" w:space="0" w:color="auto"/>
              <w:right w:val="single" w:sz="4" w:space="0" w:color="auto"/>
            </w:tcBorders>
            <w:shd w:val="clear" w:color="auto" w:fill="auto"/>
            <w:noWrap/>
            <w:vAlign w:val="bottom"/>
            <w:hideMark/>
          </w:tcPr>
          <w:p w14:paraId="45A70947"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1805.0</w:t>
            </w:r>
          </w:p>
        </w:tc>
        <w:tc>
          <w:tcPr>
            <w:tcW w:w="531" w:type="pct"/>
            <w:tcBorders>
              <w:top w:val="nil"/>
              <w:left w:val="nil"/>
              <w:bottom w:val="single" w:sz="4" w:space="0" w:color="auto"/>
              <w:right w:val="single" w:sz="4" w:space="0" w:color="auto"/>
            </w:tcBorders>
            <w:shd w:val="clear" w:color="auto" w:fill="auto"/>
            <w:noWrap/>
            <w:vAlign w:val="bottom"/>
            <w:hideMark/>
          </w:tcPr>
          <w:p w14:paraId="341BC4CE"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1925.1</w:t>
            </w:r>
          </w:p>
        </w:tc>
        <w:tc>
          <w:tcPr>
            <w:tcW w:w="530" w:type="pct"/>
            <w:tcBorders>
              <w:top w:val="nil"/>
              <w:left w:val="nil"/>
              <w:bottom w:val="single" w:sz="4" w:space="0" w:color="auto"/>
              <w:right w:val="single" w:sz="4" w:space="0" w:color="auto"/>
            </w:tcBorders>
            <w:shd w:val="clear" w:color="auto" w:fill="auto"/>
            <w:noWrap/>
            <w:vAlign w:val="bottom"/>
            <w:hideMark/>
          </w:tcPr>
          <w:p w14:paraId="2859EEC6"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1806.6</w:t>
            </w:r>
          </w:p>
        </w:tc>
        <w:tc>
          <w:tcPr>
            <w:tcW w:w="455" w:type="pct"/>
            <w:tcBorders>
              <w:top w:val="nil"/>
              <w:left w:val="nil"/>
              <w:bottom w:val="single" w:sz="4" w:space="0" w:color="auto"/>
              <w:right w:val="single" w:sz="4" w:space="0" w:color="auto"/>
            </w:tcBorders>
            <w:shd w:val="clear" w:color="auto" w:fill="auto"/>
            <w:noWrap/>
            <w:vAlign w:val="bottom"/>
            <w:hideMark/>
          </w:tcPr>
          <w:p w14:paraId="1D29F6E7"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1373.2</w:t>
            </w:r>
          </w:p>
        </w:tc>
        <w:tc>
          <w:tcPr>
            <w:tcW w:w="531" w:type="pct"/>
            <w:tcBorders>
              <w:top w:val="nil"/>
              <w:left w:val="nil"/>
              <w:bottom w:val="single" w:sz="4" w:space="0" w:color="auto"/>
              <w:right w:val="single" w:sz="4" w:space="0" w:color="auto"/>
            </w:tcBorders>
            <w:shd w:val="clear" w:color="auto" w:fill="auto"/>
            <w:noWrap/>
            <w:vAlign w:val="bottom"/>
            <w:hideMark/>
          </w:tcPr>
          <w:p w14:paraId="6DF1AEA4"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1315.4</w:t>
            </w:r>
          </w:p>
        </w:tc>
        <w:tc>
          <w:tcPr>
            <w:tcW w:w="455" w:type="pct"/>
            <w:tcBorders>
              <w:top w:val="nil"/>
              <w:left w:val="nil"/>
              <w:bottom w:val="single" w:sz="4" w:space="0" w:color="auto"/>
              <w:right w:val="single" w:sz="4" w:space="0" w:color="auto"/>
            </w:tcBorders>
            <w:shd w:val="clear" w:color="auto" w:fill="auto"/>
            <w:noWrap/>
            <w:vAlign w:val="bottom"/>
            <w:hideMark/>
          </w:tcPr>
          <w:p w14:paraId="6BC5C8A7"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1580.1</w:t>
            </w:r>
          </w:p>
        </w:tc>
        <w:tc>
          <w:tcPr>
            <w:tcW w:w="528" w:type="pct"/>
            <w:tcBorders>
              <w:top w:val="nil"/>
              <w:left w:val="nil"/>
              <w:bottom w:val="single" w:sz="4" w:space="0" w:color="auto"/>
              <w:right w:val="single" w:sz="4" w:space="0" w:color="auto"/>
            </w:tcBorders>
            <w:shd w:val="clear" w:color="auto" w:fill="auto"/>
            <w:noWrap/>
            <w:vAlign w:val="bottom"/>
            <w:hideMark/>
          </w:tcPr>
          <w:p w14:paraId="1DAFB145"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1579.8</w:t>
            </w:r>
          </w:p>
        </w:tc>
      </w:tr>
      <w:tr w:rsidR="006E4714" w:rsidRPr="00191ACB" w14:paraId="08A8B243" w14:textId="77777777" w:rsidTr="002C5967">
        <w:trPr>
          <w:trHeight w:val="300"/>
        </w:trPr>
        <w:tc>
          <w:tcPr>
            <w:tcW w:w="907" w:type="pct"/>
            <w:tcBorders>
              <w:top w:val="nil"/>
              <w:left w:val="single" w:sz="4" w:space="0" w:color="auto"/>
              <w:bottom w:val="single" w:sz="4" w:space="0" w:color="auto"/>
              <w:right w:val="single" w:sz="4" w:space="0" w:color="auto"/>
            </w:tcBorders>
            <w:shd w:val="clear" w:color="auto" w:fill="auto"/>
            <w:noWrap/>
            <w:vAlign w:val="bottom"/>
            <w:hideMark/>
          </w:tcPr>
          <w:p w14:paraId="75109955"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Exchange rate(US$ to ZMW)</w:t>
            </w:r>
          </w:p>
        </w:tc>
        <w:tc>
          <w:tcPr>
            <w:tcW w:w="531" w:type="pct"/>
            <w:tcBorders>
              <w:top w:val="nil"/>
              <w:left w:val="nil"/>
              <w:bottom w:val="single" w:sz="4" w:space="0" w:color="auto"/>
              <w:right w:val="single" w:sz="4" w:space="0" w:color="auto"/>
            </w:tcBorders>
            <w:shd w:val="clear" w:color="auto" w:fill="auto"/>
            <w:noWrap/>
            <w:vAlign w:val="bottom"/>
            <w:hideMark/>
          </w:tcPr>
          <w:p w14:paraId="18D74E7D"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4.9</w:t>
            </w:r>
          </w:p>
        </w:tc>
        <w:tc>
          <w:tcPr>
            <w:tcW w:w="531" w:type="pct"/>
            <w:tcBorders>
              <w:top w:val="nil"/>
              <w:left w:val="nil"/>
              <w:bottom w:val="single" w:sz="4" w:space="0" w:color="auto"/>
              <w:right w:val="single" w:sz="4" w:space="0" w:color="auto"/>
            </w:tcBorders>
            <w:shd w:val="clear" w:color="auto" w:fill="auto"/>
            <w:noWrap/>
            <w:vAlign w:val="bottom"/>
            <w:hideMark/>
          </w:tcPr>
          <w:p w14:paraId="16EAC796"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5.1</w:t>
            </w:r>
          </w:p>
        </w:tc>
        <w:tc>
          <w:tcPr>
            <w:tcW w:w="531" w:type="pct"/>
            <w:tcBorders>
              <w:top w:val="nil"/>
              <w:left w:val="nil"/>
              <w:bottom w:val="single" w:sz="4" w:space="0" w:color="auto"/>
              <w:right w:val="single" w:sz="4" w:space="0" w:color="auto"/>
            </w:tcBorders>
            <w:shd w:val="clear" w:color="auto" w:fill="auto"/>
            <w:noWrap/>
            <w:vAlign w:val="bottom"/>
            <w:hideMark/>
          </w:tcPr>
          <w:p w14:paraId="47F7857B"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5.4</w:t>
            </w:r>
          </w:p>
        </w:tc>
        <w:tc>
          <w:tcPr>
            <w:tcW w:w="530" w:type="pct"/>
            <w:tcBorders>
              <w:top w:val="nil"/>
              <w:left w:val="nil"/>
              <w:bottom w:val="single" w:sz="4" w:space="0" w:color="auto"/>
              <w:right w:val="single" w:sz="4" w:space="0" w:color="auto"/>
            </w:tcBorders>
            <w:shd w:val="clear" w:color="auto" w:fill="auto"/>
            <w:noWrap/>
            <w:vAlign w:val="bottom"/>
            <w:hideMark/>
          </w:tcPr>
          <w:p w14:paraId="7DC89E2A"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6.2</w:t>
            </w:r>
          </w:p>
        </w:tc>
        <w:tc>
          <w:tcPr>
            <w:tcW w:w="455" w:type="pct"/>
            <w:tcBorders>
              <w:top w:val="nil"/>
              <w:left w:val="nil"/>
              <w:bottom w:val="single" w:sz="4" w:space="0" w:color="auto"/>
              <w:right w:val="single" w:sz="4" w:space="0" w:color="auto"/>
            </w:tcBorders>
            <w:shd w:val="clear" w:color="auto" w:fill="auto"/>
            <w:noWrap/>
            <w:vAlign w:val="bottom"/>
            <w:hideMark/>
          </w:tcPr>
          <w:p w14:paraId="1468B356"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8.6</w:t>
            </w:r>
          </w:p>
        </w:tc>
        <w:tc>
          <w:tcPr>
            <w:tcW w:w="531" w:type="pct"/>
            <w:tcBorders>
              <w:top w:val="nil"/>
              <w:left w:val="nil"/>
              <w:bottom w:val="single" w:sz="4" w:space="0" w:color="auto"/>
              <w:right w:val="single" w:sz="4" w:space="0" w:color="auto"/>
            </w:tcBorders>
            <w:shd w:val="clear" w:color="auto" w:fill="auto"/>
            <w:noWrap/>
            <w:vAlign w:val="bottom"/>
            <w:hideMark/>
          </w:tcPr>
          <w:p w14:paraId="0FB4AA4F"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10.3</w:t>
            </w:r>
          </w:p>
        </w:tc>
        <w:tc>
          <w:tcPr>
            <w:tcW w:w="455" w:type="pct"/>
            <w:tcBorders>
              <w:top w:val="nil"/>
              <w:left w:val="nil"/>
              <w:bottom w:val="single" w:sz="4" w:space="0" w:color="auto"/>
              <w:right w:val="single" w:sz="4" w:space="0" w:color="auto"/>
            </w:tcBorders>
            <w:shd w:val="clear" w:color="auto" w:fill="auto"/>
            <w:noWrap/>
            <w:vAlign w:val="bottom"/>
            <w:hideMark/>
          </w:tcPr>
          <w:p w14:paraId="20F657CB"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9.5</w:t>
            </w:r>
          </w:p>
        </w:tc>
        <w:tc>
          <w:tcPr>
            <w:tcW w:w="528" w:type="pct"/>
            <w:tcBorders>
              <w:top w:val="nil"/>
              <w:left w:val="nil"/>
              <w:bottom w:val="single" w:sz="4" w:space="0" w:color="auto"/>
              <w:right w:val="single" w:sz="4" w:space="0" w:color="auto"/>
            </w:tcBorders>
            <w:shd w:val="clear" w:color="auto" w:fill="auto"/>
            <w:noWrap/>
            <w:vAlign w:val="bottom"/>
            <w:hideMark/>
          </w:tcPr>
          <w:p w14:paraId="2592B7FA"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10.5</w:t>
            </w:r>
          </w:p>
        </w:tc>
      </w:tr>
    </w:tbl>
    <w:p w14:paraId="4ACB6FE8" w14:textId="6E2F3F09"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Source: Ministry of Finance; </w:t>
      </w:r>
      <w:r w:rsidR="000F44A6" w:rsidRPr="00191ACB">
        <w:rPr>
          <w:rFonts w:ascii="Times New Roman" w:eastAsia="Calibri" w:hAnsi="Times New Roman" w:cs="Times New Roman"/>
          <w:color w:val="000000" w:themeColor="text1"/>
          <w:sz w:val="24"/>
          <w:szCs w:val="24"/>
        </w:rPr>
        <w:t>ZAMSTATS</w:t>
      </w:r>
      <w:r w:rsidRPr="00191ACB">
        <w:rPr>
          <w:rFonts w:ascii="Times New Roman" w:eastAsia="Calibri" w:hAnsi="Times New Roman" w:cs="Times New Roman"/>
          <w:color w:val="000000" w:themeColor="text1"/>
          <w:sz w:val="24"/>
          <w:szCs w:val="24"/>
        </w:rPr>
        <w:t>, 2018: Zambia in Figures 2018</w:t>
      </w:r>
    </w:p>
    <w:p w14:paraId="799100A1" w14:textId="71903F46"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Provided in Table</w:t>
      </w:r>
      <w:r w:rsidR="0049124E" w:rsidRPr="00191ACB">
        <w:rPr>
          <w:rFonts w:ascii="Times New Roman" w:eastAsia="Calibri" w:hAnsi="Times New Roman" w:cs="Times New Roman"/>
          <w:color w:val="000000" w:themeColor="text1"/>
          <w:sz w:val="24"/>
          <w:szCs w:val="24"/>
        </w:rPr>
        <w:t xml:space="preserve"> 4.2</w:t>
      </w:r>
      <w:r w:rsidRPr="00191ACB">
        <w:rPr>
          <w:rFonts w:ascii="Times New Roman" w:eastAsia="Calibri" w:hAnsi="Times New Roman" w:cs="Times New Roman"/>
          <w:color w:val="000000" w:themeColor="text1"/>
          <w:sz w:val="24"/>
          <w:szCs w:val="24"/>
        </w:rPr>
        <w:t xml:space="preserve"> are carbon intensity factors for Energy and Industrial Processes and Product Use (IPPU)</w:t>
      </w:r>
    </w:p>
    <w:p w14:paraId="45D85997" w14:textId="77777777" w:rsidR="0049124E" w:rsidRPr="00191ACB" w:rsidRDefault="0049124E" w:rsidP="005E626A">
      <w:pPr>
        <w:spacing w:after="120" w:line="240" w:lineRule="auto"/>
        <w:jc w:val="both"/>
        <w:rPr>
          <w:rFonts w:ascii="Times New Roman" w:eastAsia="Calibri" w:hAnsi="Times New Roman" w:cs="Times New Roman"/>
          <w:color w:val="000000" w:themeColor="text1"/>
          <w:sz w:val="24"/>
          <w:szCs w:val="24"/>
        </w:rPr>
      </w:pPr>
    </w:p>
    <w:p w14:paraId="4AD2092A" w14:textId="435B440A" w:rsidR="006E4714" w:rsidRPr="00191ACB" w:rsidRDefault="0049124E" w:rsidP="0049124E">
      <w:pPr>
        <w:pStyle w:val="Caption"/>
        <w:rPr>
          <w:rFonts w:eastAsia="Calibri"/>
          <w:color w:val="000000" w:themeColor="text1"/>
          <w:sz w:val="24"/>
          <w:szCs w:val="24"/>
        </w:rPr>
      </w:pPr>
      <w:bookmarkStart w:id="331" w:name="_Toc56583778"/>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w:t>
      </w:r>
      <w:r w:rsidR="00875942">
        <w:rPr>
          <w:sz w:val="24"/>
          <w:szCs w:val="24"/>
        </w:rPr>
        <w:fldChar w:fldCharType="end"/>
      </w:r>
      <w:r w:rsidRPr="00191ACB">
        <w:rPr>
          <w:sz w:val="24"/>
          <w:szCs w:val="24"/>
        </w:rPr>
        <w:t>:Carbon Intensity for IPPU Gg CO2 eq per 2011 PPP million $ GDP</w:t>
      </w:r>
      <w:bookmarkEnd w:id="331"/>
    </w:p>
    <w:tbl>
      <w:tblPr>
        <w:tblW w:w="5000" w:type="pct"/>
        <w:tblLayout w:type="fixed"/>
        <w:tblLook w:val="04A0" w:firstRow="1" w:lastRow="0" w:firstColumn="1" w:lastColumn="0" w:noHBand="0" w:noVBand="1"/>
      </w:tblPr>
      <w:tblGrid>
        <w:gridCol w:w="1985"/>
        <w:gridCol w:w="705"/>
        <w:gridCol w:w="709"/>
        <w:gridCol w:w="707"/>
        <w:gridCol w:w="711"/>
        <w:gridCol w:w="709"/>
        <w:gridCol w:w="707"/>
        <w:gridCol w:w="709"/>
        <w:gridCol w:w="709"/>
        <w:gridCol w:w="849"/>
        <w:gridCol w:w="1239"/>
      </w:tblGrid>
      <w:tr w:rsidR="006E4714" w:rsidRPr="00191ACB" w14:paraId="464CD828" w14:textId="77777777" w:rsidTr="002C5967">
        <w:trPr>
          <w:trHeight w:val="300"/>
        </w:trPr>
        <w:tc>
          <w:tcPr>
            <w:tcW w:w="10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B660A7" w14:textId="77777777" w:rsidR="006E4714" w:rsidRPr="00191ACB" w:rsidRDefault="006E4714" w:rsidP="008C6773">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Year</w:t>
            </w:r>
          </w:p>
        </w:tc>
        <w:tc>
          <w:tcPr>
            <w:tcW w:w="362" w:type="pct"/>
            <w:tcBorders>
              <w:top w:val="single" w:sz="4" w:space="0" w:color="auto"/>
              <w:left w:val="nil"/>
              <w:bottom w:val="single" w:sz="4" w:space="0" w:color="auto"/>
              <w:right w:val="single" w:sz="4" w:space="0" w:color="auto"/>
            </w:tcBorders>
            <w:shd w:val="clear" w:color="auto" w:fill="auto"/>
            <w:noWrap/>
            <w:vAlign w:val="center"/>
            <w:hideMark/>
          </w:tcPr>
          <w:p w14:paraId="4DA6E30C" w14:textId="77777777" w:rsidR="006E4714" w:rsidRPr="00191ACB" w:rsidRDefault="006E4714" w:rsidP="008C6773">
            <w:pPr>
              <w:spacing w:after="120"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1994</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16613148" w14:textId="77777777" w:rsidR="006E4714" w:rsidRPr="00191ACB" w:rsidRDefault="006E4714" w:rsidP="008C6773">
            <w:pPr>
              <w:spacing w:after="120"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2000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14:paraId="29AC5C8B" w14:textId="77777777" w:rsidR="006E4714" w:rsidRPr="00191ACB" w:rsidRDefault="006E4714" w:rsidP="008C6773">
            <w:pPr>
              <w:spacing w:after="120"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2005</w:t>
            </w:r>
          </w:p>
        </w:tc>
        <w:tc>
          <w:tcPr>
            <w:tcW w:w="365" w:type="pct"/>
            <w:tcBorders>
              <w:top w:val="single" w:sz="4" w:space="0" w:color="auto"/>
              <w:left w:val="nil"/>
              <w:bottom w:val="single" w:sz="4" w:space="0" w:color="auto"/>
              <w:right w:val="single" w:sz="4" w:space="0" w:color="auto"/>
            </w:tcBorders>
            <w:shd w:val="clear" w:color="auto" w:fill="auto"/>
            <w:noWrap/>
            <w:vAlign w:val="center"/>
            <w:hideMark/>
          </w:tcPr>
          <w:p w14:paraId="5466FB9D" w14:textId="77777777" w:rsidR="006E4714" w:rsidRPr="00191ACB" w:rsidRDefault="006E4714" w:rsidP="008C6773">
            <w:pPr>
              <w:spacing w:after="120"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2010</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0DCF9BF1" w14:textId="77777777" w:rsidR="006E4714" w:rsidRPr="00191ACB" w:rsidRDefault="006E4714" w:rsidP="008C6773">
            <w:pPr>
              <w:spacing w:after="120"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2011</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14:paraId="709E2139"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2012</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7D6D7C24"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2013</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6C407BC5"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2014</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00D916CD"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636" w:type="pct"/>
            <w:tcBorders>
              <w:top w:val="single" w:sz="4" w:space="0" w:color="auto"/>
              <w:left w:val="nil"/>
              <w:bottom w:val="single" w:sz="4" w:space="0" w:color="auto"/>
              <w:right w:val="single" w:sz="4" w:space="0" w:color="auto"/>
            </w:tcBorders>
            <w:shd w:val="clear" w:color="auto" w:fill="auto"/>
            <w:noWrap/>
            <w:vAlign w:val="center"/>
            <w:hideMark/>
          </w:tcPr>
          <w:p w14:paraId="234C6F0C"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2016</w:t>
            </w:r>
          </w:p>
        </w:tc>
      </w:tr>
      <w:tr w:rsidR="006E4714" w:rsidRPr="00191ACB" w14:paraId="72EB5146" w14:textId="77777777" w:rsidTr="002C5967">
        <w:trPr>
          <w:trHeight w:val="588"/>
        </w:trPr>
        <w:tc>
          <w:tcPr>
            <w:tcW w:w="1019" w:type="pct"/>
            <w:tcBorders>
              <w:top w:val="nil"/>
              <w:left w:val="single" w:sz="4" w:space="0" w:color="auto"/>
              <w:bottom w:val="single" w:sz="4" w:space="0" w:color="auto"/>
              <w:right w:val="single" w:sz="4" w:space="0" w:color="auto"/>
            </w:tcBorders>
            <w:shd w:val="clear" w:color="auto" w:fill="auto"/>
            <w:noWrap/>
            <w:vAlign w:val="center"/>
            <w:hideMark/>
          </w:tcPr>
          <w:p w14:paraId="0D0D4FBD"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Carbon Intensity</w:t>
            </w:r>
          </w:p>
        </w:tc>
        <w:tc>
          <w:tcPr>
            <w:tcW w:w="362" w:type="pct"/>
            <w:tcBorders>
              <w:top w:val="nil"/>
              <w:left w:val="nil"/>
              <w:bottom w:val="single" w:sz="4" w:space="0" w:color="auto"/>
              <w:right w:val="single" w:sz="4" w:space="0" w:color="auto"/>
            </w:tcBorders>
            <w:shd w:val="clear" w:color="auto" w:fill="auto"/>
            <w:noWrap/>
            <w:vAlign w:val="center"/>
            <w:hideMark/>
          </w:tcPr>
          <w:p w14:paraId="52B8AF52" w14:textId="77777777" w:rsidR="006E4714" w:rsidRPr="00191ACB" w:rsidRDefault="006E471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0.024</w:t>
            </w:r>
          </w:p>
        </w:tc>
        <w:tc>
          <w:tcPr>
            <w:tcW w:w="364" w:type="pct"/>
            <w:tcBorders>
              <w:top w:val="nil"/>
              <w:left w:val="nil"/>
              <w:bottom w:val="single" w:sz="4" w:space="0" w:color="auto"/>
              <w:right w:val="single" w:sz="4" w:space="0" w:color="auto"/>
            </w:tcBorders>
            <w:shd w:val="clear" w:color="auto" w:fill="auto"/>
            <w:noWrap/>
            <w:vAlign w:val="center"/>
            <w:hideMark/>
          </w:tcPr>
          <w:p w14:paraId="122AB655" w14:textId="77777777" w:rsidR="006E4714" w:rsidRPr="00191ACB" w:rsidRDefault="006E471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0.049</w:t>
            </w:r>
          </w:p>
        </w:tc>
        <w:tc>
          <w:tcPr>
            <w:tcW w:w="363" w:type="pct"/>
            <w:tcBorders>
              <w:top w:val="nil"/>
              <w:left w:val="nil"/>
              <w:bottom w:val="single" w:sz="4" w:space="0" w:color="auto"/>
              <w:right w:val="single" w:sz="4" w:space="0" w:color="auto"/>
            </w:tcBorders>
            <w:shd w:val="clear" w:color="auto" w:fill="auto"/>
            <w:noWrap/>
            <w:vAlign w:val="center"/>
            <w:hideMark/>
          </w:tcPr>
          <w:p w14:paraId="0BA190AE" w14:textId="77777777" w:rsidR="006E4714" w:rsidRPr="00191ACB" w:rsidRDefault="006E471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0.046</w:t>
            </w:r>
          </w:p>
        </w:tc>
        <w:tc>
          <w:tcPr>
            <w:tcW w:w="365" w:type="pct"/>
            <w:tcBorders>
              <w:top w:val="nil"/>
              <w:left w:val="nil"/>
              <w:bottom w:val="single" w:sz="4" w:space="0" w:color="auto"/>
              <w:right w:val="single" w:sz="4" w:space="0" w:color="auto"/>
            </w:tcBorders>
            <w:shd w:val="clear" w:color="auto" w:fill="auto"/>
            <w:noWrap/>
            <w:vAlign w:val="center"/>
            <w:hideMark/>
          </w:tcPr>
          <w:p w14:paraId="503826B8" w14:textId="77777777" w:rsidR="006E4714" w:rsidRPr="00191ACB" w:rsidRDefault="006E471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0.035</w:t>
            </w:r>
          </w:p>
        </w:tc>
        <w:tc>
          <w:tcPr>
            <w:tcW w:w="364" w:type="pct"/>
            <w:tcBorders>
              <w:top w:val="nil"/>
              <w:left w:val="nil"/>
              <w:bottom w:val="single" w:sz="4" w:space="0" w:color="auto"/>
              <w:right w:val="single" w:sz="4" w:space="0" w:color="auto"/>
            </w:tcBorders>
            <w:shd w:val="clear" w:color="auto" w:fill="auto"/>
            <w:noWrap/>
            <w:vAlign w:val="center"/>
            <w:hideMark/>
          </w:tcPr>
          <w:p w14:paraId="153253F0" w14:textId="77777777" w:rsidR="006E4714" w:rsidRPr="00191ACB" w:rsidRDefault="006E471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0.032</w:t>
            </w:r>
          </w:p>
        </w:tc>
        <w:tc>
          <w:tcPr>
            <w:tcW w:w="363" w:type="pct"/>
            <w:tcBorders>
              <w:top w:val="nil"/>
              <w:left w:val="nil"/>
              <w:bottom w:val="single" w:sz="4" w:space="0" w:color="auto"/>
              <w:right w:val="single" w:sz="4" w:space="0" w:color="auto"/>
            </w:tcBorders>
            <w:shd w:val="clear" w:color="auto" w:fill="auto"/>
            <w:noWrap/>
            <w:vAlign w:val="center"/>
            <w:hideMark/>
          </w:tcPr>
          <w:p w14:paraId="46CAD1AA" w14:textId="77777777" w:rsidR="006E4714" w:rsidRPr="00191ACB" w:rsidRDefault="006E471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0.032</w:t>
            </w:r>
          </w:p>
        </w:tc>
        <w:tc>
          <w:tcPr>
            <w:tcW w:w="364" w:type="pct"/>
            <w:tcBorders>
              <w:top w:val="nil"/>
              <w:left w:val="nil"/>
              <w:bottom w:val="single" w:sz="4" w:space="0" w:color="auto"/>
              <w:right w:val="single" w:sz="4" w:space="0" w:color="auto"/>
            </w:tcBorders>
            <w:shd w:val="clear" w:color="auto" w:fill="auto"/>
            <w:noWrap/>
            <w:vAlign w:val="center"/>
            <w:hideMark/>
          </w:tcPr>
          <w:p w14:paraId="6DDA386D" w14:textId="77777777" w:rsidR="006E4714" w:rsidRPr="00191ACB" w:rsidRDefault="006E471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0.032</w:t>
            </w:r>
          </w:p>
        </w:tc>
        <w:tc>
          <w:tcPr>
            <w:tcW w:w="364" w:type="pct"/>
            <w:tcBorders>
              <w:top w:val="nil"/>
              <w:left w:val="nil"/>
              <w:bottom w:val="single" w:sz="4" w:space="0" w:color="auto"/>
              <w:right w:val="single" w:sz="4" w:space="0" w:color="auto"/>
            </w:tcBorders>
            <w:shd w:val="clear" w:color="auto" w:fill="auto"/>
            <w:noWrap/>
            <w:vAlign w:val="center"/>
            <w:hideMark/>
          </w:tcPr>
          <w:p w14:paraId="67B3AD59" w14:textId="77777777" w:rsidR="006E4714" w:rsidRPr="00191ACB" w:rsidRDefault="006E471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0.028</w:t>
            </w:r>
          </w:p>
        </w:tc>
        <w:tc>
          <w:tcPr>
            <w:tcW w:w="436" w:type="pct"/>
            <w:tcBorders>
              <w:top w:val="nil"/>
              <w:left w:val="nil"/>
              <w:bottom w:val="single" w:sz="4" w:space="0" w:color="auto"/>
              <w:right w:val="single" w:sz="4" w:space="0" w:color="auto"/>
            </w:tcBorders>
            <w:shd w:val="clear" w:color="auto" w:fill="auto"/>
            <w:noWrap/>
            <w:vAlign w:val="center"/>
            <w:hideMark/>
          </w:tcPr>
          <w:p w14:paraId="730E23FE" w14:textId="77777777" w:rsidR="006E4714" w:rsidRPr="00191ACB" w:rsidRDefault="006E471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0.033</w:t>
            </w:r>
          </w:p>
        </w:tc>
        <w:tc>
          <w:tcPr>
            <w:tcW w:w="636" w:type="pct"/>
            <w:tcBorders>
              <w:top w:val="nil"/>
              <w:left w:val="nil"/>
              <w:bottom w:val="single" w:sz="4" w:space="0" w:color="auto"/>
              <w:right w:val="single" w:sz="4" w:space="0" w:color="auto"/>
            </w:tcBorders>
            <w:shd w:val="clear" w:color="auto" w:fill="auto"/>
            <w:noWrap/>
            <w:vAlign w:val="center"/>
            <w:hideMark/>
          </w:tcPr>
          <w:p w14:paraId="0087C05D" w14:textId="77777777" w:rsidR="006E4714" w:rsidRPr="00191ACB" w:rsidRDefault="006E471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0.035</w:t>
            </w:r>
          </w:p>
        </w:tc>
      </w:tr>
    </w:tbl>
    <w:p w14:paraId="27A77684" w14:textId="77777777" w:rsidR="00C27BFD" w:rsidRPr="00191ACB" w:rsidRDefault="00C27BFD" w:rsidP="005E626A">
      <w:pPr>
        <w:spacing w:after="120" w:line="240" w:lineRule="auto"/>
        <w:jc w:val="both"/>
        <w:rPr>
          <w:rFonts w:ascii="Times New Roman" w:eastAsia="Calibri" w:hAnsi="Times New Roman" w:cs="Times New Roman"/>
          <w:color w:val="000000" w:themeColor="text1"/>
          <w:sz w:val="24"/>
          <w:szCs w:val="24"/>
        </w:rPr>
      </w:pPr>
    </w:p>
    <w:p w14:paraId="050723FF" w14:textId="5B2ECD80" w:rsidR="006E4714" w:rsidRPr="00191ACB" w:rsidRDefault="006E4714" w:rsidP="005D53F6">
      <w:pPr>
        <w:pStyle w:val="Heading4"/>
        <w:numPr>
          <w:ilvl w:val="3"/>
          <w:numId w:val="36"/>
        </w:numPr>
        <w:ind w:left="851" w:hanging="851"/>
      </w:pPr>
      <w:bookmarkStart w:id="332" w:name="_Toc13582211"/>
      <w:bookmarkStart w:id="333" w:name="_Toc26264919"/>
      <w:r w:rsidRPr="00191ACB">
        <w:t xml:space="preserve">Key </w:t>
      </w:r>
      <w:r w:rsidR="00350268">
        <w:t>A</w:t>
      </w:r>
      <w:r w:rsidRPr="00191ACB">
        <w:t>ssumptions for AFOLU</w:t>
      </w:r>
      <w:bookmarkEnd w:id="332"/>
      <w:bookmarkEnd w:id="333"/>
    </w:p>
    <w:p w14:paraId="7DFCB052" w14:textId="6A5973AB" w:rsidR="006E4714" w:rsidRPr="00191ACB" w:rsidRDefault="006E4714" w:rsidP="005E626A">
      <w:pPr>
        <w:spacing w:after="120" w:line="240" w:lineRule="auto"/>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(i)</w:t>
      </w:r>
      <w:r w:rsidRPr="00191ACB">
        <w:rPr>
          <w:rFonts w:ascii="Times New Roman" w:eastAsia="Calibri" w:hAnsi="Times New Roman" w:cs="Times New Roman"/>
          <w:b/>
          <w:color w:val="000000" w:themeColor="text1"/>
          <w:sz w:val="24"/>
          <w:szCs w:val="24"/>
        </w:rPr>
        <w:tab/>
        <w:t>Livestock and aggregate sources and non</w:t>
      </w:r>
      <w:r w:rsidR="00E22E05" w:rsidRPr="00191ACB">
        <w:rPr>
          <w:rFonts w:ascii="Times New Roman" w:eastAsia="Calibri" w:hAnsi="Times New Roman" w:cs="Times New Roman"/>
          <w:b/>
          <w:color w:val="000000" w:themeColor="text1"/>
          <w:sz w:val="24"/>
          <w:szCs w:val="24"/>
        </w:rPr>
        <w:t>-</w:t>
      </w:r>
      <w:r w:rsidRPr="00191ACB">
        <w:rPr>
          <w:rFonts w:ascii="Times New Roman" w:eastAsia="Calibri" w:hAnsi="Times New Roman" w:cs="Times New Roman"/>
          <w:b/>
          <w:color w:val="000000" w:themeColor="text1"/>
          <w:sz w:val="24"/>
          <w:szCs w:val="24"/>
        </w:rPr>
        <w:t>CO</w:t>
      </w:r>
      <w:r w:rsidRPr="00191ACB">
        <w:rPr>
          <w:rFonts w:ascii="Times New Roman" w:eastAsia="Calibri" w:hAnsi="Times New Roman" w:cs="Times New Roman"/>
          <w:b/>
          <w:color w:val="000000" w:themeColor="text1"/>
          <w:sz w:val="24"/>
          <w:szCs w:val="24"/>
          <w:vertAlign w:val="subscript"/>
        </w:rPr>
        <w:t>2</w:t>
      </w:r>
      <w:r w:rsidRPr="00191ACB">
        <w:rPr>
          <w:rFonts w:ascii="Times New Roman" w:eastAsia="Calibri" w:hAnsi="Times New Roman" w:cs="Times New Roman"/>
          <w:b/>
          <w:color w:val="000000" w:themeColor="text1"/>
          <w:sz w:val="24"/>
          <w:szCs w:val="24"/>
        </w:rPr>
        <w:t xml:space="preserve"> emissions sources on land</w:t>
      </w:r>
    </w:p>
    <w:p w14:paraId="213D55C1" w14:textId="4C036214"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Emission projections for Livestock and aggregate sources and non</w:t>
      </w:r>
      <w:r w:rsidR="00E22E05"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emission sources on land categories were undertaken based on emissions per capita. The projected emissions were calculated as a product of per capita emissions and projected human population (Table </w:t>
      </w:r>
      <w:r w:rsidR="0049124E" w:rsidRPr="00191ACB">
        <w:rPr>
          <w:rFonts w:ascii="Times New Roman" w:eastAsia="Calibri" w:hAnsi="Times New Roman" w:cs="Times New Roman"/>
          <w:color w:val="000000" w:themeColor="text1"/>
          <w:sz w:val="24"/>
          <w:szCs w:val="24"/>
        </w:rPr>
        <w:t>4. 3)</w:t>
      </w:r>
      <w:r w:rsidRPr="00191ACB">
        <w:rPr>
          <w:rFonts w:ascii="Times New Roman" w:eastAsia="Calibri" w:hAnsi="Times New Roman" w:cs="Times New Roman"/>
          <w:color w:val="000000" w:themeColor="text1"/>
          <w:sz w:val="24"/>
          <w:szCs w:val="24"/>
        </w:rPr>
        <w:t xml:space="preserve">. </w:t>
      </w:r>
    </w:p>
    <w:p w14:paraId="490F8E87" w14:textId="5A8BB06A" w:rsidR="006E4714" w:rsidRPr="00191ACB" w:rsidRDefault="006E4714" w:rsidP="008C6773">
      <w:pPr>
        <w:spacing w:after="120" w:line="240" w:lineRule="auto"/>
        <w:jc w:val="both"/>
        <w:rPr>
          <w:rFonts w:ascii="Times New Roman" w:eastAsia="Calibri" w:hAnsi="Times New Roman" w:cs="Times New Roman"/>
          <w:color w:val="000000" w:themeColor="text1"/>
          <w:sz w:val="24"/>
          <w:szCs w:val="24"/>
        </w:rPr>
      </w:pPr>
    </w:p>
    <w:p w14:paraId="3BFBBFE7" w14:textId="39EA0CE2" w:rsidR="0049124E" w:rsidRPr="00191ACB" w:rsidRDefault="0049124E" w:rsidP="0049124E">
      <w:pPr>
        <w:pStyle w:val="Caption"/>
        <w:rPr>
          <w:rFonts w:eastAsia="Calibri"/>
          <w:color w:val="000000" w:themeColor="text1"/>
          <w:sz w:val="24"/>
          <w:szCs w:val="24"/>
        </w:rPr>
      </w:pPr>
      <w:bookmarkStart w:id="334" w:name="_Toc56583779"/>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3</w:t>
      </w:r>
      <w:r w:rsidR="00875942">
        <w:rPr>
          <w:sz w:val="24"/>
          <w:szCs w:val="24"/>
        </w:rPr>
        <w:fldChar w:fldCharType="end"/>
      </w:r>
      <w:r w:rsidRPr="00191ACB">
        <w:rPr>
          <w:sz w:val="24"/>
          <w:szCs w:val="24"/>
        </w:rPr>
        <w:t>: Zambia’s projected population (millions)</w:t>
      </w:r>
      <w:bookmarkEnd w:id="334"/>
    </w:p>
    <w:tbl>
      <w:tblPr>
        <w:tblW w:w="9570" w:type="dxa"/>
        <w:tblInd w:w="108" w:type="dxa"/>
        <w:tblLook w:val="04A0" w:firstRow="1" w:lastRow="0" w:firstColumn="1" w:lastColumn="0" w:noHBand="0" w:noVBand="1"/>
      </w:tblPr>
      <w:tblGrid>
        <w:gridCol w:w="692"/>
        <w:gridCol w:w="752"/>
        <w:gridCol w:w="885"/>
        <w:gridCol w:w="885"/>
        <w:gridCol w:w="222"/>
        <w:gridCol w:w="885"/>
        <w:gridCol w:w="885"/>
        <w:gridCol w:w="885"/>
        <w:gridCol w:w="885"/>
        <w:gridCol w:w="885"/>
        <w:gridCol w:w="885"/>
        <w:gridCol w:w="885"/>
      </w:tblGrid>
      <w:tr w:rsidR="006E4714" w:rsidRPr="00191ACB" w14:paraId="0DCC176D" w14:textId="77777777" w:rsidTr="002C5967">
        <w:trPr>
          <w:trHeight w:val="255"/>
        </w:trPr>
        <w:tc>
          <w:tcPr>
            <w:tcW w:w="648" w:type="dxa"/>
            <w:tcBorders>
              <w:top w:val="single" w:sz="4" w:space="0" w:color="auto"/>
              <w:left w:val="single" w:sz="4" w:space="0" w:color="auto"/>
              <w:bottom w:val="single" w:sz="4" w:space="0" w:color="auto"/>
              <w:right w:val="single" w:sz="4" w:space="0" w:color="auto"/>
            </w:tcBorders>
            <w:shd w:val="clear" w:color="auto" w:fill="auto"/>
            <w:vAlign w:val="bottom"/>
          </w:tcPr>
          <w:p w14:paraId="74DB9A78"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2000</w:t>
            </w:r>
          </w:p>
        </w:tc>
        <w:tc>
          <w:tcPr>
            <w:tcW w:w="699" w:type="dxa"/>
            <w:tcBorders>
              <w:top w:val="single" w:sz="4" w:space="0" w:color="auto"/>
              <w:left w:val="nil"/>
              <w:bottom w:val="single" w:sz="4" w:space="0" w:color="auto"/>
              <w:right w:val="single" w:sz="4" w:space="0" w:color="auto"/>
            </w:tcBorders>
            <w:shd w:val="clear" w:color="auto" w:fill="auto"/>
            <w:vAlign w:val="bottom"/>
          </w:tcPr>
          <w:p w14:paraId="27C1EE19"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2010</w:t>
            </w:r>
          </w:p>
        </w:tc>
        <w:tc>
          <w:tcPr>
            <w:tcW w:w="8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D7FC56"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2011</w:t>
            </w:r>
          </w:p>
        </w:tc>
        <w:tc>
          <w:tcPr>
            <w:tcW w:w="889" w:type="dxa"/>
            <w:tcBorders>
              <w:top w:val="single" w:sz="4" w:space="0" w:color="auto"/>
              <w:left w:val="nil"/>
              <w:bottom w:val="single" w:sz="4" w:space="0" w:color="auto"/>
              <w:right w:val="single" w:sz="4" w:space="0" w:color="auto"/>
            </w:tcBorders>
            <w:shd w:val="clear" w:color="auto" w:fill="auto"/>
            <w:noWrap/>
            <w:vAlign w:val="bottom"/>
            <w:hideMark/>
          </w:tcPr>
          <w:p w14:paraId="59F8657A"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2015</w:t>
            </w:r>
          </w:p>
        </w:tc>
        <w:tc>
          <w:tcPr>
            <w:tcW w:w="222" w:type="dxa"/>
            <w:tcBorders>
              <w:top w:val="single" w:sz="4" w:space="0" w:color="auto"/>
              <w:left w:val="nil"/>
              <w:bottom w:val="single" w:sz="4" w:space="0" w:color="auto"/>
              <w:right w:val="nil"/>
            </w:tcBorders>
          </w:tcPr>
          <w:p w14:paraId="2959EB4A"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p>
        </w:tc>
        <w:tc>
          <w:tcPr>
            <w:tcW w:w="889" w:type="dxa"/>
            <w:tcBorders>
              <w:top w:val="single" w:sz="4" w:space="0" w:color="auto"/>
              <w:left w:val="nil"/>
              <w:bottom w:val="single" w:sz="4" w:space="0" w:color="auto"/>
              <w:right w:val="single" w:sz="4" w:space="0" w:color="auto"/>
            </w:tcBorders>
            <w:shd w:val="clear" w:color="auto" w:fill="auto"/>
            <w:noWrap/>
            <w:vAlign w:val="bottom"/>
            <w:hideMark/>
          </w:tcPr>
          <w:p w14:paraId="79A433EC"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2020</w:t>
            </w:r>
          </w:p>
        </w:tc>
        <w:tc>
          <w:tcPr>
            <w:tcW w:w="889" w:type="dxa"/>
            <w:tcBorders>
              <w:top w:val="single" w:sz="4" w:space="0" w:color="auto"/>
              <w:left w:val="nil"/>
              <w:bottom w:val="single" w:sz="4" w:space="0" w:color="auto"/>
              <w:right w:val="single" w:sz="4" w:space="0" w:color="auto"/>
            </w:tcBorders>
            <w:shd w:val="clear" w:color="auto" w:fill="auto"/>
            <w:noWrap/>
            <w:vAlign w:val="bottom"/>
            <w:hideMark/>
          </w:tcPr>
          <w:p w14:paraId="2B68CDDC"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2025</w:t>
            </w:r>
          </w:p>
        </w:tc>
        <w:tc>
          <w:tcPr>
            <w:tcW w:w="889" w:type="dxa"/>
            <w:tcBorders>
              <w:top w:val="single" w:sz="4" w:space="0" w:color="auto"/>
              <w:left w:val="nil"/>
              <w:bottom w:val="single" w:sz="4" w:space="0" w:color="auto"/>
              <w:right w:val="single" w:sz="4" w:space="0" w:color="auto"/>
            </w:tcBorders>
            <w:shd w:val="clear" w:color="auto" w:fill="auto"/>
            <w:noWrap/>
            <w:vAlign w:val="bottom"/>
            <w:hideMark/>
          </w:tcPr>
          <w:p w14:paraId="6EAE44C4"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2030</w:t>
            </w:r>
          </w:p>
        </w:tc>
        <w:tc>
          <w:tcPr>
            <w:tcW w:w="889" w:type="dxa"/>
            <w:tcBorders>
              <w:top w:val="single" w:sz="4" w:space="0" w:color="auto"/>
              <w:left w:val="nil"/>
              <w:bottom w:val="single" w:sz="4" w:space="0" w:color="auto"/>
              <w:right w:val="single" w:sz="4" w:space="0" w:color="auto"/>
            </w:tcBorders>
            <w:shd w:val="clear" w:color="auto" w:fill="auto"/>
            <w:noWrap/>
            <w:vAlign w:val="bottom"/>
            <w:hideMark/>
          </w:tcPr>
          <w:p w14:paraId="2E90F6DC"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2035</w:t>
            </w:r>
          </w:p>
        </w:tc>
        <w:tc>
          <w:tcPr>
            <w:tcW w:w="889" w:type="dxa"/>
            <w:tcBorders>
              <w:top w:val="single" w:sz="4" w:space="0" w:color="auto"/>
              <w:left w:val="nil"/>
              <w:bottom w:val="single" w:sz="4" w:space="0" w:color="auto"/>
              <w:right w:val="single" w:sz="4" w:space="0" w:color="auto"/>
            </w:tcBorders>
            <w:shd w:val="clear" w:color="auto" w:fill="auto"/>
            <w:noWrap/>
            <w:vAlign w:val="bottom"/>
            <w:hideMark/>
          </w:tcPr>
          <w:p w14:paraId="0A5B1FE1"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2040</w:t>
            </w:r>
          </w:p>
        </w:tc>
        <w:tc>
          <w:tcPr>
            <w:tcW w:w="889" w:type="dxa"/>
            <w:tcBorders>
              <w:top w:val="single" w:sz="4" w:space="0" w:color="auto"/>
              <w:left w:val="nil"/>
              <w:bottom w:val="single" w:sz="4" w:space="0" w:color="auto"/>
              <w:right w:val="single" w:sz="4" w:space="0" w:color="auto"/>
            </w:tcBorders>
            <w:shd w:val="clear" w:color="auto" w:fill="auto"/>
            <w:noWrap/>
            <w:vAlign w:val="bottom"/>
            <w:hideMark/>
          </w:tcPr>
          <w:p w14:paraId="64E2B8ED"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2045</w:t>
            </w:r>
          </w:p>
        </w:tc>
        <w:tc>
          <w:tcPr>
            <w:tcW w:w="889" w:type="dxa"/>
            <w:tcBorders>
              <w:top w:val="single" w:sz="4" w:space="0" w:color="auto"/>
              <w:left w:val="nil"/>
              <w:bottom w:val="single" w:sz="4" w:space="0" w:color="auto"/>
              <w:right w:val="single" w:sz="4" w:space="0" w:color="auto"/>
            </w:tcBorders>
            <w:shd w:val="clear" w:color="auto" w:fill="auto"/>
            <w:noWrap/>
            <w:vAlign w:val="bottom"/>
            <w:hideMark/>
          </w:tcPr>
          <w:p w14:paraId="68DD5328" w14:textId="77777777" w:rsidR="006E4714" w:rsidRPr="00191ACB" w:rsidRDefault="006E4714" w:rsidP="008C6773">
            <w:pPr>
              <w:spacing w:after="12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2050</w:t>
            </w:r>
          </w:p>
        </w:tc>
      </w:tr>
      <w:tr w:rsidR="006E4714" w:rsidRPr="00191ACB" w14:paraId="1AB70D73" w14:textId="77777777" w:rsidTr="002C5967">
        <w:trPr>
          <w:trHeight w:val="255"/>
        </w:trPr>
        <w:tc>
          <w:tcPr>
            <w:tcW w:w="648" w:type="dxa"/>
            <w:tcBorders>
              <w:top w:val="single" w:sz="4" w:space="0" w:color="auto"/>
              <w:left w:val="single" w:sz="4" w:space="0" w:color="auto"/>
              <w:bottom w:val="single" w:sz="4" w:space="0" w:color="auto"/>
              <w:right w:val="single" w:sz="4" w:space="0" w:color="auto"/>
            </w:tcBorders>
            <w:shd w:val="clear" w:color="auto" w:fill="auto"/>
            <w:vAlign w:val="bottom"/>
          </w:tcPr>
          <w:p w14:paraId="69AB67AB"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9.88</w:t>
            </w:r>
          </w:p>
        </w:tc>
        <w:tc>
          <w:tcPr>
            <w:tcW w:w="699" w:type="dxa"/>
            <w:tcBorders>
              <w:top w:val="single" w:sz="4" w:space="0" w:color="auto"/>
              <w:left w:val="nil"/>
              <w:bottom w:val="single" w:sz="4" w:space="0" w:color="auto"/>
              <w:right w:val="single" w:sz="4" w:space="0" w:color="auto"/>
            </w:tcBorders>
            <w:shd w:val="clear" w:color="auto" w:fill="auto"/>
            <w:vAlign w:val="bottom"/>
          </w:tcPr>
          <w:p w14:paraId="6FB4F85D"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13.09</w:t>
            </w:r>
          </w:p>
        </w:tc>
        <w:tc>
          <w:tcPr>
            <w:tcW w:w="889" w:type="dxa"/>
            <w:tcBorders>
              <w:top w:val="nil"/>
              <w:left w:val="single" w:sz="4" w:space="0" w:color="auto"/>
              <w:bottom w:val="single" w:sz="4" w:space="0" w:color="auto"/>
              <w:right w:val="single" w:sz="4" w:space="0" w:color="auto"/>
            </w:tcBorders>
            <w:shd w:val="clear" w:color="auto" w:fill="auto"/>
            <w:noWrap/>
            <w:vAlign w:val="bottom"/>
            <w:hideMark/>
          </w:tcPr>
          <w:p w14:paraId="0CA9018C"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14.27</w:t>
            </w:r>
          </w:p>
        </w:tc>
        <w:tc>
          <w:tcPr>
            <w:tcW w:w="889" w:type="dxa"/>
            <w:tcBorders>
              <w:top w:val="nil"/>
              <w:left w:val="nil"/>
              <w:bottom w:val="single" w:sz="4" w:space="0" w:color="auto"/>
              <w:right w:val="single" w:sz="4" w:space="0" w:color="auto"/>
            </w:tcBorders>
            <w:shd w:val="clear" w:color="auto" w:fill="auto"/>
            <w:noWrap/>
            <w:vAlign w:val="bottom"/>
            <w:hideMark/>
          </w:tcPr>
          <w:p w14:paraId="4AAD11C7"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16.10</w:t>
            </w:r>
          </w:p>
        </w:tc>
        <w:tc>
          <w:tcPr>
            <w:tcW w:w="222" w:type="dxa"/>
            <w:tcBorders>
              <w:top w:val="nil"/>
              <w:left w:val="nil"/>
              <w:bottom w:val="single" w:sz="4" w:space="0" w:color="auto"/>
              <w:right w:val="nil"/>
            </w:tcBorders>
          </w:tcPr>
          <w:p w14:paraId="6C8FE8CA"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p>
        </w:tc>
        <w:tc>
          <w:tcPr>
            <w:tcW w:w="889" w:type="dxa"/>
            <w:tcBorders>
              <w:top w:val="nil"/>
              <w:left w:val="nil"/>
              <w:bottom w:val="single" w:sz="4" w:space="0" w:color="auto"/>
              <w:right w:val="single" w:sz="4" w:space="0" w:color="auto"/>
            </w:tcBorders>
            <w:shd w:val="clear" w:color="auto" w:fill="auto"/>
            <w:noWrap/>
            <w:vAlign w:val="bottom"/>
            <w:hideMark/>
          </w:tcPr>
          <w:p w14:paraId="67E283FE"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18.67</w:t>
            </w:r>
          </w:p>
        </w:tc>
        <w:tc>
          <w:tcPr>
            <w:tcW w:w="889" w:type="dxa"/>
            <w:tcBorders>
              <w:top w:val="nil"/>
              <w:left w:val="nil"/>
              <w:bottom w:val="single" w:sz="4" w:space="0" w:color="auto"/>
              <w:right w:val="single" w:sz="4" w:space="0" w:color="auto"/>
            </w:tcBorders>
            <w:shd w:val="clear" w:color="auto" w:fill="auto"/>
            <w:noWrap/>
            <w:vAlign w:val="bottom"/>
            <w:hideMark/>
          </w:tcPr>
          <w:p w14:paraId="77EE95CA"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21.59</w:t>
            </w:r>
          </w:p>
        </w:tc>
        <w:tc>
          <w:tcPr>
            <w:tcW w:w="889" w:type="dxa"/>
            <w:tcBorders>
              <w:top w:val="nil"/>
              <w:left w:val="nil"/>
              <w:bottom w:val="single" w:sz="4" w:space="0" w:color="auto"/>
              <w:right w:val="single" w:sz="4" w:space="0" w:color="auto"/>
            </w:tcBorders>
            <w:shd w:val="clear" w:color="auto" w:fill="auto"/>
            <w:noWrap/>
            <w:vAlign w:val="bottom"/>
            <w:hideMark/>
          </w:tcPr>
          <w:p w14:paraId="16F56384"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24.86</w:t>
            </w:r>
          </w:p>
        </w:tc>
        <w:tc>
          <w:tcPr>
            <w:tcW w:w="889" w:type="dxa"/>
            <w:tcBorders>
              <w:top w:val="nil"/>
              <w:left w:val="nil"/>
              <w:bottom w:val="single" w:sz="4" w:space="0" w:color="auto"/>
              <w:right w:val="single" w:sz="4" w:space="0" w:color="auto"/>
            </w:tcBorders>
            <w:shd w:val="clear" w:color="auto" w:fill="auto"/>
            <w:noWrap/>
            <w:vAlign w:val="bottom"/>
            <w:hideMark/>
          </w:tcPr>
          <w:p w14:paraId="5EF77F9D"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28.44</w:t>
            </w:r>
          </w:p>
        </w:tc>
        <w:tc>
          <w:tcPr>
            <w:tcW w:w="889" w:type="dxa"/>
            <w:tcBorders>
              <w:top w:val="nil"/>
              <w:left w:val="nil"/>
              <w:bottom w:val="single" w:sz="4" w:space="0" w:color="auto"/>
              <w:right w:val="single" w:sz="4" w:space="0" w:color="auto"/>
            </w:tcBorders>
            <w:shd w:val="clear" w:color="auto" w:fill="auto"/>
            <w:noWrap/>
            <w:vAlign w:val="bottom"/>
            <w:hideMark/>
          </w:tcPr>
          <w:p w14:paraId="57E7A0DF"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32.33</w:t>
            </w:r>
          </w:p>
        </w:tc>
        <w:tc>
          <w:tcPr>
            <w:tcW w:w="889" w:type="dxa"/>
            <w:tcBorders>
              <w:top w:val="nil"/>
              <w:left w:val="nil"/>
              <w:bottom w:val="single" w:sz="4" w:space="0" w:color="auto"/>
              <w:right w:val="single" w:sz="4" w:space="0" w:color="auto"/>
            </w:tcBorders>
            <w:shd w:val="clear" w:color="auto" w:fill="auto"/>
            <w:noWrap/>
            <w:vAlign w:val="bottom"/>
            <w:hideMark/>
          </w:tcPr>
          <w:p w14:paraId="6C1367FF"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36.51</w:t>
            </w:r>
          </w:p>
        </w:tc>
        <w:tc>
          <w:tcPr>
            <w:tcW w:w="889" w:type="dxa"/>
            <w:tcBorders>
              <w:top w:val="nil"/>
              <w:left w:val="nil"/>
              <w:bottom w:val="single" w:sz="4" w:space="0" w:color="auto"/>
              <w:right w:val="single" w:sz="4" w:space="0" w:color="auto"/>
            </w:tcBorders>
            <w:shd w:val="clear" w:color="auto" w:fill="auto"/>
            <w:noWrap/>
            <w:vAlign w:val="bottom"/>
            <w:hideMark/>
          </w:tcPr>
          <w:p w14:paraId="3F898B70" w14:textId="77777777" w:rsidR="006E4714" w:rsidRPr="00191ACB" w:rsidRDefault="006E471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41.00</w:t>
            </w:r>
          </w:p>
        </w:tc>
      </w:tr>
    </w:tbl>
    <w:p w14:paraId="7B8BAC5F" w14:textId="4B4BD13E" w:rsidR="006E4714" w:rsidRPr="00191ACB" w:rsidRDefault="000F44A6" w:rsidP="005E626A">
      <w:pPr>
        <w:spacing w:after="12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ZAMSTATS</w:t>
      </w:r>
      <w:r w:rsidR="0049124E" w:rsidRPr="00191ACB">
        <w:rPr>
          <w:rFonts w:ascii="Times New Roman" w:eastAsia="Calibri" w:hAnsi="Times New Roman" w:cs="Times New Roman"/>
          <w:color w:val="000000" w:themeColor="text1"/>
          <w:sz w:val="24"/>
          <w:szCs w:val="24"/>
        </w:rPr>
        <w:t>, 2015</w:t>
      </w:r>
      <w:r w:rsidR="006E4714" w:rsidRPr="00191ACB">
        <w:rPr>
          <w:rFonts w:ascii="Times New Roman" w:eastAsia="Calibri" w:hAnsi="Times New Roman" w:cs="Times New Roman"/>
          <w:color w:val="000000" w:themeColor="text1"/>
          <w:sz w:val="24"/>
          <w:szCs w:val="24"/>
        </w:rPr>
        <w:t xml:space="preserve"> </w:t>
      </w:r>
    </w:p>
    <w:p w14:paraId="3860B02C" w14:textId="04F9252A" w:rsidR="006E4714" w:rsidRPr="00191ACB" w:rsidRDefault="006E4714" w:rsidP="005E626A">
      <w:pPr>
        <w:spacing w:after="120" w:line="240" w:lineRule="auto"/>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(ii)</w:t>
      </w:r>
      <w:r w:rsidRPr="00191ACB">
        <w:rPr>
          <w:rFonts w:ascii="Times New Roman" w:eastAsia="Calibri" w:hAnsi="Times New Roman" w:cs="Times New Roman"/>
          <w:b/>
          <w:color w:val="000000" w:themeColor="text1"/>
          <w:sz w:val="24"/>
          <w:szCs w:val="24"/>
        </w:rPr>
        <w:tab/>
        <w:t>Land Emission Projections</w:t>
      </w:r>
    </w:p>
    <w:p w14:paraId="705364F8" w14:textId="51DE3EB4"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Baseline emissions projections for Land (forest land, crop land, grassland, and settlements) were determined applying annual deforestation rate (0.7%)</w:t>
      </w:r>
      <w:r w:rsidR="00826F26" w:rsidRPr="00191ACB">
        <w:rPr>
          <w:rFonts w:ascii="Times New Roman" w:hAnsi="Times New Roman" w:cs="Times New Roman"/>
          <w:sz w:val="24"/>
          <w:szCs w:val="24"/>
        </w:rPr>
        <w:t xml:space="preserve"> (</w:t>
      </w:r>
      <w:r w:rsidR="00826F26" w:rsidRPr="00191ACB">
        <w:rPr>
          <w:rFonts w:ascii="Times New Roman" w:eastAsia="Calibri" w:hAnsi="Times New Roman" w:cs="Times New Roman"/>
          <w:color w:val="000000" w:themeColor="text1"/>
          <w:sz w:val="24"/>
          <w:szCs w:val="24"/>
        </w:rPr>
        <w:t xml:space="preserve">Shakacite, O, et.al, 2016) </w:t>
      </w:r>
      <w:r w:rsidRPr="00191ACB">
        <w:rPr>
          <w:rFonts w:ascii="Times New Roman" w:eastAsia="Calibri" w:hAnsi="Times New Roman" w:cs="Times New Roman"/>
          <w:color w:val="000000" w:themeColor="text1"/>
          <w:sz w:val="24"/>
          <w:szCs w:val="24"/>
        </w:rPr>
        <w:t>to the historical baseline emissions. Based on a land cover change analysis between 2000 and 2014, the official annual deforestation rate was estimated to be 0.6</w:t>
      </w:r>
      <w:r w:rsidR="00E22E05"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losing approximately </w:t>
      </w:r>
      <w:r w:rsidRPr="00191ACB">
        <w:rPr>
          <w:rFonts w:ascii="Times New Roman" w:eastAsia="Calibri" w:hAnsi="Times New Roman" w:cs="Times New Roman"/>
          <w:bCs/>
          <w:color w:val="000000" w:themeColor="text1"/>
          <w:sz w:val="24"/>
          <w:szCs w:val="24"/>
        </w:rPr>
        <w:t xml:space="preserve">276,021 ha </w:t>
      </w:r>
      <w:r w:rsidRPr="00191ACB">
        <w:rPr>
          <w:rFonts w:ascii="Times New Roman" w:eastAsia="Calibri" w:hAnsi="Times New Roman" w:cs="Times New Roman"/>
          <w:color w:val="000000" w:themeColor="text1"/>
          <w:sz w:val="24"/>
          <w:szCs w:val="24"/>
        </w:rPr>
        <w:t>per annum for the period 2000 to 2014. For the period 2000 to 2010, the deforestation rate was recorded as being 0.5</w:t>
      </w:r>
      <w:r w:rsidR="00E22E05"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losing approximately 250,003 ha on an annual basis. For the period 2010 to 2014, the deforestation rate increased to 0.7</w:t>
      </w:r>
      <w:r w:rsidR="00E22E05"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losing approximately 341,067 ha of forest per annum (</w:t>
      </w:r>
      <w:bookmarkStart w:id="335" w:name="_Hlk54605922"/>
      <w:r w:rsidRPr="00191ACB">
        <w:rPr>
          <w:rFonts w:ascii="Times New Roman" w:eastAsia="Calibri" w:hAnsi="Times New Roman" w:cs="Times New Roman"/>
          <w:color w:val="000000" w:themeColor="text1"/>
          <w:sz w:val="24"/>
          <w:szCs w:val="24"/>
        </w:rPr>
        <w:t>Shakacite, O, et.al, 2016</w:t>
      </w:r>
      <w:bookmarkEnd w:id="335"/>
      <w:r w:rsidRPr="00191ACB">
        <w:rPr>
          <w:rFonts w:ascii="Times New Roman" w:eastAsia="Calibri" w:hAnsi="Times New Roman" w:cs="Times New Roman"/>
          <w:color w:val="000000" w:themeColor="text1"/>
          <w:sz w:val="24"/>
          <w:szCs w:val="24"/>
        </w:rPr>
        <w:t>).</w:t>
      </w:r>
    </w:p>
    <w:p w14:paraId="497F81F3" w14:textId="4E35C197" w:rsidR="006E4714" w:rsidRPr="00176B46" w:rsidRDefault="006E4714" w:rsidP="005D53F6">
      <w:pPr>
        <w:pStyle w:val="Heading4"/>
        <w:numPr>
          <w:ilvl w:val="3"/>
          <w:numId w:val="36"/>
        </w:numPr>
        <w:ind w:left="851" w:hanging="851"/>
      </w:pPr>
      <w:bookmarkStart w:id="336" w:name="_Toc13582212"/>
      <w:bookmarkStart w:id="337" w:name="_Toc26264920"/>
      <w:r w:rsidRPr="00176B46">
        <w:lastRenderedPageBreak/>
        <w:t xml:space="preserve">Key </w:t>
      </w:r>
      <w:r w:rsidR="00350268">
        <w:t>A</w:t>
      </w:r>
      <w:r w:rsidRPr="00176B46">
        <w:t>ssumptions for Waste Sector</w:t>
      </w:r>
      <w:bookmarkEnd w:id="336"/>
      <w:bookmarkEnd w:id="337"/>
      <w:r w:rsidRPr="00176B46">
        <w:t xml:space="preserve"> </w:t>
      </w:r>
    </w:p>
    <w:p w14:paraId="3FF84FC1" w14:textId="561869CA"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Emissions projections for Waste categories were undertaken based on emissions per capita. The projected emissions were calculated as a product of per capita emissions and projected human population.  </w:t>
      </w:r>
      <w:bookmarkStart w:id="338" w:name="_Toc13582213"/>
      <w:bookmarkStart w:id="339" w:name="_Toc26264921"/>
    </w:p>
    <w:p w14:paraId="3418785B" w14:textId="0D262A52" w:rsidR="006E4714" w:rsidRPr="00D61D72" w:rsidRDefault="00D61D72" w:rsidP="005D53F6">
      <w:pPr>
        <w:pStyle w:val="Heading3"/>
        <w:numPr>
          <w:ilvl w:val="2"/>
          <w:numId w:val="36"/>
        </w:numPr>
        <w:ind w:left="851" w:hanging="851"/>
        <w:rPr>
          <w:color w:val="auto"/>
        </w:rPr>
      </w:pPr>
      <w:bookmarkStart w:id="340" w:name="_Toc57902871"/>
      <w:r w:rsidRPr="00D61D72">
        <w:rPr>
          <w:color w:val="auto"/>
        </w:rPr>
        <w:t>Aggregate Projections for GHG Emissions</w:t>
      </w:r>
      <w:bookmarkEnd w:id="338"/>
      <w:bookmarkEnd w:id="339"/>
      <w:bookmarkEnd w:id="340"/>
      <w:r w:rsidRPr="00D61D72">
        <w:rPr>
          <w:color w:val="auto"/>
        </w:rPr>
        <w:t xml:space="preserve">  </w:t>
      </w:r>
    </w:p>
    <w:p w14:paraId="5E305953" w14:textId="3ACA6AD3" w:rsidR="006E4714" w:rsidRPr="00191ACB" w:rsidRDefault="006E4714" w:rsidP="005D53F6">
      <w:pPr>
        <w:pStyle w:val="Heading4"/>
        <w:numPr>
          <w:ilvl w:val="3"/>
          <w:numId w:val="36"/>
        </w:numPr>
        <w:ind w:left="851" w:hanging="851"/>
      </w:pPr>
      <w:bookmarkStart w:id="341" w:name="_Toc13582214"/>
      <w:bookmarkStart w:id="342" w:name="_Toc26264922"/>
      <w:r w:rsidRPr="00191ACB">
        <w:t xml:space="preserve">Aggregate </w:t>
      </w:r>
      <w:r w:rsidR="00350268" w:rsidRPr="00191ACB">
        <w:t>Projected Baseline Emissions</w:t>
      </w:r>
      <w:bookmarkEnd w:id="341"/>
      <w:bookmarkEnd w:id="342"/>
    </w:p>
    <w:p w14:paraId="44138F0A" w14:textId="5F66A893" w:rsidR="004678D3"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Total baseline emissions are projected to increase from </w:t>
      </w:r>
      <w:r w:rsidRPr="00191ACB">
        <w:rPr>
          <w:rFonts w:ascii="Times New Roman" w:eastAsia="Times New Roman" w:hAnsi="Times New Roman" w:cs="Times New Roman"/>
          <w:color w:val="000000" w:themeColor="text1"/>
          <w:sz w:val="24"/>
          <w:szCs w:val="24"/>
        </w:rPr>
        <w:t xml:space="preserve">120,446.1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2010 to </w:t>
      </w:r>
      <w:r w:rsidRPr="00191ACB">
        <w:rPr>
          <w:rFonts w:ascii="Times New Roman" w:eastAsia="Times New Roman" w:hAnsi="Times New Roman" w:cs="Times New Roman"/>
          <w:color w:val="000000" w:themeColor="text1"/>
          <w:sz w:val="24"/>
          <w:szCs w:val="24"/>
        </w:rPr>
        <w:t xml:space="preserve">168,509.1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in 2050, representing a growth of 39.9</w:t>
      </w:r>
      <w:r w:rsidR="00D91CEC"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(Table </w:t>
      </w:r>
      <w:r w:rsidR="00C319A4" w:rsidRPr="00191ACB">
        <w:rPr>
          <w:rFonts w:ascii="Times New Roman" w:eastAsia="Calibri" w:hAnsi="Times New Roman" w:cs="Times New Roman"/>
          <w:color w:val="000000" w:themeColor="text1"/>
          <w:sz w:val="24"/>
          <w:szCs w:val="24"/>
        </w:rPr>
        <w:t>4.4</w:t>
      </w:r>
      <w:r w:rsidRPr="00191ACB">
        <w:rPr>
          <w:rFonts w:ascii="Times New Roman" w:eastAsia="Calibri" w:hAnsi="Times New Roman" w:cs="Times New Roman"/>
          <w:color w:val="000000" w:themeColor="text1"/>
          <w:sz w:val="24"/>
          <w:szCs w:val="24"/>
        </w:rPr>
        <w:t xml:space="preserve">). The emissions in the Energy Sector are projected to increase from </w:t>
      </w:r>
      <w:r w:rsidRPr="00191ACB">
        <w:rPr>
          <w:rFonts w:ascii="Times New Roman" w:eastAsia="Times New Roman" w:hAnsi="Times New Roman" w:cs="Times New Roman"/>
          <w:color w:val="000000" w:themeColor="text1"/>
          <w:sz w:val="24"/>
          <w:szCs w:val="24"/>
        </w:rPr>
        <w:t>3</w:t>
      </w:r>
      <w:r w:rsidR="00D91CEC" w:rsidRPr="00191ACB">
        <w:rPr>
          <w:rFonts w:ascii="Times New Roman" w:eastAsia="Times New Roman" w:hAnsi="Times New Roman" w:cs="Times New Roman"/>
          <w:color w:val="000000" w:themeColor="text1"/>
          <w:sz w:val="24"/>
          <w:szCs w:val="24"/>
        </w:rPr>
        <w:t>,</w:t>
      </w:r>
      <w:r w:rsidRPr="00191ACB">
        <w:rPr>
          <w:rFonts w:ascii="Times New Roman" w:eastAsia="Times New Roman" w:hAnsi="Times New Roman" w:cs="Times New Roman"/>
          <w:color w:val="000000" w:themeColor="text1"/>
          <w:sz w:val="24"/>
          <w:szCs w:val="24"/>
        </w:rPr>
        <w:t xml:space="preserve">155.8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w:t>
      </w:r>
      <w:r w:rsidR="00D91CEC"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in 2010 to </w:t>
      </w:r>
      <w:r w:rsidRPr="00191ACB">
        <w:rPr>
          <w:rFonts w:ascii="Times New Roman" w:eastAsia="Times New Roman" w:hAnsi="Times New Roman" w:cs="Times New Roman"/>
          <w:color w:val="000000" w:themeColor="text1"/>
          <w:sz w:val="24"/>
          <w:szCs w:val="24"/>
        </w:rPr>
        <w:t>11,803.2</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 xml:space="preserve">2 eq. </w:t>
      </w:r>
      <w:r w:rsidRPr="00191ACB">
        <w:rPr>
          <w:rFonts w:ascii="Times New Roman" w:eastAsia="Calibri" w:hAnsi="Times New Roman" w:cs="Times New Roman"/>
          <w:color w:val="000000" w:themeColor="text1"/>
          <w:sz w:val="24"/>
          <w:szCs w:val="24"/>
        </w:rPr>
        <w:t>representing a growth of 274.0</w:t>
      </w:r>
      <w:r w:rsidR="00D91CEC"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The IPPU sector is projected to increase by 309</w:t>
      </w:r>
      <w:r w:rsidR="00D91CEC"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from </w:t>
      </w:r>
      <w:r w:rsidRPr="00191ACB">
        <w:rPr>
          <w:rFonts w:ascii="Times New Roman" w:eastAsia="Times New Roman" w:hAnsi="Times New Roman" w:cs="Times New Roman"/>
          <w:color w:val="000000" w:themeColor="text1"/>
          <w:sz w:val="24"/>
          <w:szCs w:val="24"/>
        </w:rPr>
        <w:t xml:space="preserve">1559.4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to </w:t>
      </w:r>
      <w:r w:rsidRPr="00191ACB">
        <w:rPr>
          <w:rFonts w:ascii="Times New Roman" w:eastAsia="Times New Roman" w:hAnsi="Times New Roman" w:cs="Times New Roman"/>
          <w:color w:val="000000" w:themeColor="text1"/>
          <w:sz w:val="24"/>
          <w:szCs w:val="24"/>
        </w:rPr>
        <w:t>6379.4 Gg CO</w:t>
      </w:r>
      <w:r w:rsidRPr="00191ACB">
        <w:rPr>
          <w:rFonts w:ascii="Times New Roman" w:eastAsia="Times New Roman" w:hAnsi="Times New Roman" w:cs="Times New Roman"/>
          <w:color w:val="000000" w:themeColor="text1"/>
          <w:sz w:val="24"/>
          <w:szCs w:val="24"/>
          <w:vertAlign w:val="subscript"/>
        </w:rPr>
        <w:t>2</w:t>
      </w:r>
      <w:r w:rsidRPr="00191ACB">
        <w:rPr>
          <w:rFonts w:ascii="Times New Roman" w:eastAsia="Times New Roman" w:hAnsi="Times New Roman" w:cs="Times New Roman"/>
          <w:color w:val="000000" w:themeColor="text1"/>
          <w:sz w:val="24"/>
          <w:szCs w:val="24"/>
        </w:rPr>
        <w:t xml:space="preserve"> </w:t>
      </w:r>
      <w:r w:rsidRPr="00191ACB">
        <w:rPr>
          <w:rFonts w:ascii="Times New Roman" w:eastAsia="Times New Roman" w:hAnsi="Times New Roman" w:cs="Times New Roman"/>
          <w:color w:val="000000" w:themeColor="text1"/>
          <w:sz w:val="24"/>
          <w:szCs w:val="24"/>
          <w:vertAlign w:val="subscript"/>
        </w:rPr>
        <w:t>eq</w:t>
      </w:r>
      <w:r w:rsidRPr="00191ACB">
        <w:rPr>
          <w:rFonts w:ascii="Times New Roman" w:eastAsia="Times New Roman"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The Waste sector is projected to increase from </w:t>
      </w:r>
      <w:r w:rsidRPr="00191ACB">
        <w:rPr>
          <w:rFonts w:ascii="Times New Roman" w:eastAsia="Times New Roman" w:hAnsi="Times New Roman" w:cs="Times New Roman"/>
          <w:color w:val="000000" w:themeColor="text1"/>
          <w:sz w:val="24"/>
          <w:szCs w:val="24"/>
        </w:rPr>
        <w:t xml:space="preserve">305.9 </w:t>
      </w:r>
      <w:r w:rsidRPr="00191ACB">
        <w:rPr>
          <w:rFonts w:ascii="Times New Roman" w:eastAsia="Calibri" w:hAnsi="Times New Roman" w:cs="Times New Roman"/>
          <w:color w:val="000000" w:themeColor="text1"/>
          <w:sz w:val="24"/>
          <w:szCs w:val="24"/>
        </w:rPr>
        <w:t xml:space="preserve">Gg in 2010 to </w:t>
      </w:r>
      <w:r w:rsidRPr="00191ACB">
        <w:rPr>
          <w:rFonts w:ascii="Times New Roman" w:eastAsia="Times New Roman" w:hAnsi="Times New Roman" w:cs="Times New Roman"/>
          <w:color w:val="000000" w:themeColor="text1"/>
          <w:sz w:val="24"/>
          <w:szCs w:val="24"/>
        </w:rPr>
        <w:t xml:space="preserve">885.5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representing 189.4</w:t>
      </w:r>
      <w:r w:rsidR="00D91CEC"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increase.</w:t>
      </w:r>
    </w:p>
    <w:p w14:paraId="7FDFB6BD" w14:textId="3D634CB2"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 </w:t>
      </w:r>
    </w:p>
    <w:p w14:paraId="44727EF3" w14:textId="6C183B95" w:rsidR="006E4714" w:rsidRPr="00191ACB" w:rsidRDefault="00C319A4" w:rsidP="00C319A4">
      <w:pPr>
        <w:pStyle w:val="Caption"/>
        <w:rPr>
          <w:rFonts w:eastAsia="Calibri"/>
          <w:color w:val="000000" w:themeColor="text1"/>
          <w:sz w:val="24"/>
          <w:szCs w:val="24"/>
        </w:rPr>
      </w:pPr>
      <w:bookmarkStart w:id="343" w:name="_Toc56583780"/>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w:t>
      </w:r>
      <w:r w:rsidR="00875942">
        <w:rPr>
          <w:sz w:val="24"/>
          <w:szCs w:val="24"/>
        </w:rPr>
        <w:fldChar w:fldCharType="end"/>
      </w:r>
      <w:r w:rsidRPr="00191ACB">
        <w:rPr>
          <w:sz w:val="24"/>
          <w:szCs w:val="24"/>
        </w:rPr>
        <w:t>: Projected baseline emissions by sector (Gg CO2 eq.)</w:t>
      </w:r>
      <w:bookmarkEnd w:id="343"/>
    </w:p>
    <w:tbl>
      <w:tblPr>
        <w:tblW w:w="5000" w:type="pct"/>
        <w:tblLook w:val="04A0" w:firstRow="1" w:lastRow="0" w:firstColumn="1" w:lastColumn="0" w:noHBand="0" w:noVBand="1"/>
      </w:tblPr>
      <w:tblGrid>
        <w:gridCol w:w="1015"/>
        <w:gridCol w:w="2028"/>
        <w:gridCol w:w="1521"/>
        <w:gridCol w:w="1519"/>
        <w:gridCol w:w="1609"/>
        <w:gridCol w:w="2047"/>
      </w:tblGrid>
      <w:tr w:rsidR="006E4714" w:rsidRPr="00191ACB" w14:paraId="43810EF9" w14:textId="77777777" w:rsidTr="005E626A">
        <w:trPr>
          <w:trHeight w:val="288"/>
        </w:trPr>
        <w:tc>
          <w:tcPr>
            <w:tcW w:w="52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7D07B7"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Year</w:t>
            </w:r>
          </w:p>
        </w:tc>
        <w:tc>
          <w:tcPr>
            <w:tcW w:w="1041" w:type="pct"/>
            <w:tcBorders>
              <w:top w:val="single" w:sz="4" w:space="0" w:color="auto"/>
              <w:left w:val="nil"/>
              <w:bottom w:val="single" w:sz="4" w:space="0" w:color="auto"/>
              <w:right w:val="single" w:sz="4" w:space="0" w:color="auto"/>
            </w:tcBorders>
            <w:shd w:val="clear" w:color="auto" w:fill="auto"/>
            <w:noWrap/>
            <w:vAlign w:val="bottom"/>
            <w:hideMark/>
          </w:tcPr>
          <w:p w14:paraId="129DF6B6"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Energy</w:t>
            </w:r>
          </w:p>
        </w:tc>
        <w:tc>
          <w:tcPr>
            <w:tcW w:w="781" w:type="pct"/>
            <w:tcBorders>
              <w:top w:val="single" w:sz="4" w:space="0" w:color="auto"/>
              <w:left w:val="nil"/>
              <w:bottom w:val="single" w:sz="4" w:space="0" w:color="auto"/>
              <w:right w:val="single" w:sz="4" w:space="0" w:color="auto"/>
            </w:tcBorders>
            <w:shd w:val="clear" w:color="auto" w:fill="auto"/>
            <w:noWrap/>
            <w:vAlign w:val="bottom"/>
            <w:hideMark/>
          </w:tcPr>
          <w:p w14:paraId="510E6814"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IPPU</w:t>
            </w:r>
          </w:p>
        </w:tc>
        <w:tc>
          <w:tcPr>
            <w:tcW w:w="780" w:type="pct"/>
            <w:tcBorders>
              <w:top w:val="single" w:sz="4" w:space="0" w:color="auto"/>
              <w:left w:val="nil"/>
              <w:bottom w:val="single" w:sz="4" w:space="0" w:color="auto"/>
              <w:right w:val="single" w:sz="4" w:space="0" w:color="auto"/>
            </w:tcBorders>
            <w:shd w:val="clear" w:color="auto" w:fill="auto"/>
            <w:noWrap/>
            <w:vAlign w:val="bottom"/>
            <w:hideMark/>
          </w:tcPr>
          <w:p w14:paraId="30BB9771"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AFOLU </w:t>
            </w:r>
          </w:p>
        </w:tc>
        <w:tc>
          <w:tcPr>
            <w:tcW w:w="826" w:type="pct"/>
            <w:tcBorders>
              <w:top w:val="single" w:sz="4" w:space="0" w:color="auto"/>
              <w:left w:val="nil"/>
              <w:bottom w:val="single" w:sz="4" w:space="0" w:color="auto"/>
              <w:right w:val="single" w:sz="4" w:space="0" w:color="auto"/>
            </w:tcBorders>
            <w:shd w:val="clear" w:color="auto" w:fill="auto"/>
            <w:noWrap/>
            <w:vAlign w:val="bottom"/>
            <w:hideMark/>
          </w:tcPr>
          <w:p w14:paraId="27AD8B2A"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Waste</w:t>
            </w:r>
          </w:p>
        </w:tc>
        <w:tc>
          <w:tcPr>
            <w:tcW w:w="1052" w:type="pct"/>
            <w:tcBorders>
              <w:top w:val="single" w:sz="4" w:space="0" w:color="auto"/>
              <w:left w:val="nil"/>
              <w:bottom w:val="single" w:sz="4" w:space="0" w:color="auto"/>
              <w:right w:val="single" w:sz="4" w:space="0" w:color="auto"/>
            </w:tcBorders>
            <w:shd w:val="clear" w:color="auto" w:fill="auto"/>
            <w:noWrap/>
            <w:vAlign w:val="bottom"/>
            <w:hideMark/>
          </w:tcPr>
          <w:p w14:paraId="47C09E2D"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Total Baseline</w:t>
            </w:r>
          </w:p>
        </w:tc>
      </w:tr>
      <w:tr w:rsidR="006E4714" w:rsidRPr="00191ACB" w14:paraId="27AD261F" w14:textId="77777777" w:rsidTr="005E626A">
        <w:trPr>
          <w:trHeight w:val="288"/>
        </w:trPr>
        <w:tc>
          <w:tcPr>
            <w:tcW w:w="521" w:type="pct"/>
            <w:tcBorders>
              <w:top w:val="nil"/>
              <w:left w:val="single" w:sz="4" w:space="0" w:color="auto"/>
              <w:bottom w:val="single" w:sz="4" w:space="0" w:color="auto"/>
              <w:right w:val="single" w:sz="4" w:space="0" w:color="auto"/>
            </w:tcBorders>
            <w:shd w:val="clear" w:color="auto" w:fill="auto"/>
            <w:noWrap/>
            <w:vAlign w:val="bottom"/>
            <w:hideMark/>
          </w:tcPr>
          <w:p w14:paraId="49282C24"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1041" w:type="pct"/>
            <w:tcBorders>
              <w:top w:val="nil"/>
              <w:left w:val="nil"/>
              <w:bottom w:val="single" w:sz="4" w:space="0" w:color="auto"/>
              <w:right w:val="single" w:sz="4" w:space="0" w:color="auto"/>
            </w:tcBorders>
            <w:shd w:val="clear" w:color="auto" w:fill="auto"/>
            <w:noWrap/>
            <w:vAlign w:val="bottom"/>
            <w:hideMark/>
          </w:tcPr>
          <w:p w14:paraId="25323812"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3155.8</w:t>
            </w:r>
          </w:p>
        </w:tc>
        <w:tc>
          <w:tcPr>
            <w:tcW w:w="781" w:type="pct"/>
            <w:tcBorders>
              <w:top w:val="nil"/>
              <w:left w:val="nil"/>
              <w:bottom w:val="single" w:sz="4" w:space="0" w:color="auto"/>
              <w:right w:val="single" w:sz="4" w:space="0" w:color="auto"/>
            </w:tcBorders>
            <w:shd w:val="clear" w:color="auto" w:fill="auto"/>
            <w:noWrap/>
            <w:vAlign w:val="bottom"/>
            <w:hideMark/>
          </w:tcPr>
          <w:p w14:paraId="129DDFF6"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1559.4</w:t>
            </w:r>
          </w:p>
        </w:tc>
        <w:tc>
          <w:tcPr>
            <w:tcW w:w="780" w:type="pct"/>
            <w:tcBorders>
              <w:top w:val="nil"/>
              <w:left w:val="nil"/>
              <w:bottom w:val="single" w:sz="4" w:space="0" w:color="auto"/>
              <w:right w:val="single" w:sz="4" w:space="0" w:color="auto"/>
            </w:tcBorders>
            <w:shd w:val="clear" w:color="auto" w:fill="auto"/>
            <w:noWrap/>
            <w:vAlign w:val="bottom"/>
            <w:hideMark/>
          </w:tcPr>
          <w:p w14:paraId="4DA5968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115425.0</w:t>
            </w:r>
          </w:p>
        </w:tc>
        <w:tc>
          <w:tcPr>
            <w:tcW w:w="826" w:type="pct"/>
            <w:tcBorders>
              <w:top w:val="nil"/>
              <w:left w:val="nil"/>
              <w:bottom w:val="single" w:sz="4" w:space="0" w:color="auto"/>
              <w:right w:val="single" w:sz="4" w:space="0" w:color="auto"/>
            </w:tcBorders>
            <w:shd w:val="clear" w:color="auto" w:fill="auto"/>
            <w:noWrap/>
            <w:vAlign w:val="bottom"/>
            <w:hideMark/>
          </w:tcPr>
          <w:p w14:paraId="648D127C"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305.9</w:t>
            </w:r>
          </w:p>
        </w:tc>
        <w:tc>
          <w:tcPr>
            <w:tcW w:w="1052" w:type="pct"/>
            <w:tcBorders>
              <w:top w:val="nil"/>
              <w:left w:val="nil"/>
              <w:bottom w:val="single" w:sz="4" w:space="0" w:color="auto"/>
              <w:right w:val="single" w:sz="4" w:space="0" w:color="auto"/>
            </w:tcBorders>
            <w:shd w:val="clear" w:color="auto" w:fill="auto"/>
            <w:noWrap/>
            <w:vAlign w:val="bottom"/>
            <w:hideMark/>
          </w:tcPr>
          <w:p w14:paraId="130AFD89"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120446.1</w:t>
            </w:r>
          </w:p>
        </w:tc>
      </w:tr>
      <w:tr w:rsidR="006E4714" w:rsidRPr="00191ACB" w14:paraId="145B7ACE" w14:textId="77777777" w:rsidTr="005E626A">
        <w:trPr>
          <w:trHeight w:val="288"/>
        </w:trPr>
        <w:tc>
          <w:tcPr>
            <w:tcW w:w="521" w:type="pct"/>
            <w:tcBorders>
              <w:top w:val="nil"/>
              <w:left w:val="single" w:sz="4" w:space="0" w:color="auto"/>
              <w:bottom w:val="single" w:sz="4" w:space="0" w:color="auto"/>
              <w:right w:val="single" w:sz="4" w:space="0" w:color="auto"/>
            </w:tcBorders>
            <w:shd w:val="clear" w:color="auto" w:fill="auto"/>
            <w:noWrap/>
            <w:vAlign w:val="bottom"/>
            <w:hideMark/>
          </w:tcPr>
          <w:p w14:paraId="389C3354"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1041" w:type="pct"/>
            <w:tcBorders>
              <w:top w:val="nil"/>
              <w:left w:val="nil"/>
              <w:bottom w:val="single" w:sz="4" w:space="0" w:color="auto"/>
              <w:right w:val="single" w:sz="4" w:space="0" w:color="auto"/>
            </w:tcBorders>
            <w:shd w:val="clear" w:color="auto" w:fill="auto"/>
            <w:noWrap/>
            <w:vAlign w:val="bottom"/>
            <w:hideMark/>
          </w:tcPr>
          <w:p w14:paraId="5B69DC9B"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7049.8</w:t>
            </w:r>
          </w:p>
        </w:tc>
        <w:tc>
          <w:tcPr>
            <w:tcW w:w="781" w:type="pct"/>
            <w:tcBorders>
              <w:top w:val="nil"/>
              <w:left w:val="nil"/>
              <w:bottom w:val="single" w:sz="4" w:space="0" w:color="auto"/>
              <w:right w:val="single" w:sz="4" w:space="0" w:color="auto"/>
            </w:tcBorders>
            <w:shd w:val="clear" w:color="auto" w:fill="auto"/>
            <w:noWrap/>
            <w:vAlign w:val="bottom"/>
            <w:hideMark/>
          </w:tcPr>
          <w:p w14:paraId="0740FDE7"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1904.8</w:t>
            </w:r>
          </w:p>
        </w:tc>
        <w:tc>
          <w:tcPr>
            <w:tcW w:w="780" w:type="pct"/>
            <w:tcBorders>
              <w:top w:val="nil"/>
              <w:left w:val="nil"/>
              <w:bottom w:val="single" w:sz="4" w:space="0" w:color="auto"/>
              <w:right w:val="single" w:sz="4" w:space="0" w:color="auto"/>
            </w:tcBorders>
            <w:shd w:val="clear" w:color="auto" w:fill="auto"/>
            <w:noWrap/>
            <w:vAlign w:val="bottom"/>
            <w:hideMark/>
          </w:tcPr>
          <w:p w14:paraId="6359475B"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117141.0</w:t>
            </w:r>
          </w:p>
        </w:tc>
        <w:tc>
          <w:tcPr>
            <w:tcW w:w="826" w:type="pct"/>
            <w:tcBorders>
              <w:top w:val="nil"/>
              <w:left w:val="nil"/>
              <w:bottom w:val="single" w:sz="4" w:space="0" w:color="auto"/>
              <w:right w:val="single" w:sz="4" w:space="0" w:color="auto"/>
            </w:tcBorders>
            <w:shd w:val="clear" w:color="auto" w:fill="auto"/>
            <w:noWrap/>
            <w:vAlign w:val="bottom"/>
            <w:hideMark/>
          </w:tcPr>
          <w:p w14:paraId="73134FF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330.2</w:t>
            </w:r>
          </w:p>
        </w:tc>
        <w:tc>
          <w:tcPr>
            <w:tcW w:w="1052" w:type="pct"/>
            <w:tcBorders>
              <w:top w:val="nil"/>
              <w:left w:val="nil"/>
              <w:bottom w:val="single" w:sz="4" w:space="0" w:color="auto"/>
              <w:right w:val="single" w:sz="4" w:space="0" w:color="auto"/>
            </w:tcBorders>
            <w:shd w:val="clear" w:color="auto" w:fill="auto"/>
            <w:noWrap/>
            <w:vAlign w:val="bottom"/>
            <w:hideMark/>
          </w:tcPr>
          <w:p w14:paraId="46F08642"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126425.7</w:t>
            </w:r>
          </w:p>
        </w:tc>
      </w:tr>
      <w:tr w:rsidR="006E4714" w:rsidRPr="00191ACB" w14:paraId="41749D2C" w14:textId="77777777" w:rsidTr="005E626A">
        <w:trPr>
          <w:trHeight w:val="288"/>
        </w:trPr>
        <w:tc>
          <w:tcPr>
            <w:tcW w:w="521" w:type="pct"/>
            <w:tcBorders>
              <w:top w:val="nil"/>
              <w:left w:val="single" w:sz="4" w:space="0" w:color="auto"/>
              <w:bottom w:val="single" w:sz="4" w:space="0" w:color="auto"/>
              <w:right w:val="single" w:sz="4" w:space="0" w:color="auto"/>
            </w:tcBorders>
            <w:shd w:val="clear" w:color="auto" w:fill="auto"/>
            <w:noWrap/>
            <w:vAlign w:val="bottom"/>
            <w:hideMark/>
          </w:tcPr>
          <w:p w14:paraId="1482E8BC"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2020</w:t>
            </w:r>
          </w:p>
        </w:tc>
        <w:tc>
          <w:tcPr>
            <w:tcW w:w="1041" w:type="pct"/>
            <w:tcBorders>
              <w:top w:val="nil"/>
              <w:left w:val="nil"/>
              <w:bottom w:val="single" w:sz="4" w:space="0" w:color="auto"/>
              <w:right w:val="single" w:sz="4" w:space="0" w:color="auto"/>
            </w:tcBorders>
            <w:shd w:val="clear" w:color="auto" w:fill="auto"/>
            <w:noWrap/>
            <w:vAlign w:val="bottom"/>
            <w:hideMark/>
          </w:tcPr>
          <w:p w14:paraId="7D273B1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5281.4</w:t>
            </w:r>
          </w:p>
        </w:tc>
        <w:tc>
          <w:tcPr>
            <w:tcW w:w="781" w:type="pct"/>
            <w:tcBorders>
              <w:top w:val="nil"/>
              <w:left w:val="nil"/>
              <w:bottom w:val="single" w:sz="4" w:space="0" w:color="auto"/>
              <w:right w:val="single" w:sz="4" w:space="0" w:color="auto"/>
            </w:tcBorders>
            <w:shd w:val="clear" w:color="auto" w:fill="auto"/>
            <w:noWrap/>
            <w:vAlign w:val="bottom"/>
            <w:hideMark/>
          </w:tcPr>
          <w:p w14:paraId="6513473C"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2387.7</w:t>
            </w:r>
          </w:p>
        </w:tc>
        <w:tc>
          <w:tcPr>
            <w:tcW w:w="780" w:type="pct"/>
            <w:tcBorders>
              <w:top w:val="nil"/>
              <w:left w:val="nil"/>
              <w:bottom w:val="single" w:sz="4" w:space="0" w:color="auto"/>
              <w:right w:val="single" w:sz="4" w:space="0" w:color="auto"/>
            </w:tcBorders>
            <w:shd w:val="clear" w:color="auto" w:fill="auto"/>
            <w:noWrap/>
            <w:vAlign w:val="bottom"/>
            <w:hideMark/>
          </w:tcPr>
          <w:p w14:paraId="2FA0AD21"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121223.2</w:t>
            </w:r>
          </w:p>
        </w:tc>
        <w:tc>
          <w:tcPr>
            <w:tcW w:w="826" w:type="pct"/>
            <w:tcBorders>
              <w:top w:val="nil"/>
              <w:left w:val="nil"/>
              <w:bottom w:val="single" w:sz="4" w:space="0" w:color="auto"/>
              <w:right w:val="single" w:sz="4" w:space="0" w:color="auto"/>
            </w:tcBorders>
            <w:shd w:val="clear" w:color="auto" w:fill="auto"/>
            <w:noWrap/>
            <w:vAlign w:val="bottom"/>
            <w:hideMark/>
          </w:tcPr>
          <w:p w14:paraId="421E86C8"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403.4</w:t>
            </w:r>
          </w:p>
        </w:tc>
        <w:tc>
          <w:tcPr>
            <w:tcW w:w="1052" w:type="pct"/>
            <w:tcBorders>
              <w:top w:val="nil"/>
              <w:left w:val="nil"/>
              <w:bottom w:val="single" w:sz="4" w:space="0" w:color="auto"/>
              <w:right w:val="single" w:sz="4" w:space="0" w:color="auto"/>
            </w:tcBorders>
            <w:shd w:val="clear" w:color="auto" w:fill="auto"/>
            <w:noWrap/>
            <w:vAlign w:val="bottom"/>
            <w:hideMark/>
          </w:tcPr>
          <w:p w14:paraId="28257E8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129295.8</w:t>
            </w:r>
          </w:p>
        </w:tc>
      </w:tr>
      <w:tr w:rsidR="006E4714" w:rsidRPr="00191ACB" w14:paraId="690FB5C1" w14:textId="77777777" w:rsidTr="005E626A">
        <w:trPr>
          <w:trHeight w:val="288"/>
        </w:trPr>
        <w:tc>
          <w:tcPr>
            <w:tcW w:w="521" w:type="pct"/>
            <w:tcBorders>
              <w:top w:val="nil"/>
              <w:left w:val="single" w:sz="4" w:space="0" w:color="auto"/>
              <w:bottom w:val="single" w:sz="4" w:space="0" w:color="auto"/>
              <w:right w:val="single" w:sz="4" w:space="0" w:color="auto"/>
            </w:tcBorders>
            <w:shd w:val="clear" w:color="auto" w:fill="auto"/>
            <w:noWrap/>
            <w:vAlign w:val="bottom"/>
            <w:hideMark/>
          </w:tcPr>
          <w:p w14:paraId="31BE726F"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2025</w:t>
            </w:r>
          </w:p>
        </w:tc>
        <w:tc>
          <w:tcPr>
            <w:tcW w:w="1041" w:type="pct"/>
            <w:tcBorders>
              <w:top w:val="nil"/>
              <w:left w:val="nil"/>
              <w:bottom w:val="single" w:sz="4" w:space="0" w:color="auto"/>
              <w:right w:val="single" w:sz="4" w:space="0" w:color="auto"/>
            </w:tcBorders>
            <w:shd w:val="clear" w:color="auto" w:fill="auto"/>
            <w:noWrap/>
            <w:vAlign w:val="bottom"/>
            <w:hideMark/>
          </w:tcPr>
          <w:p w14:paraId="7238D0CE"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6038.7</w:t>
            </w:r>
          </w:p>
        </w:tc>
        <w:tc>
          <w:tcPr>
            <w:tcW w:w="781" w:type="pct"/>
            <w:tcBorders>
              <w:top w:val="nil"/>
              <w:left w:val="nil"/>
              <w:bottom w:val="single" w:sz="4" w:space="0" w:color="auto"/>
              <w:right w:val="single" w:sz="4" w:space="0" w:color="auto"/>
            </w:tcBorders>
            <w:shd w:val="clear" w:color="auto" w:fill="auto"/>
            <w:noWrap/>
            <w:vAlign w:val="bottom"/>
            <w:hideMark/>
          </w:tcPr>
          <w:p w14:paraId="08AF6FCB"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2812.7</w:t>
            </w:r>
          </w:p>
        </w:tc>
        <w:tc>
          <w:tcPr>
            <w:tcW w:w="780" w:type="pct"/>
            <w:tcBorders>
              <w:top w:val="nil"/>
              <w:left w:val="nil"/>
              <w:bottom w:val="single" w:sz="4" w:space="0" w:color="auto"/>
              <w:right w:val="single" w:sz="4" w:space="0" w:color="auto"/>
            </w:tcBorders>
            <w:shd w:val="clear" w:color="auto" w:fill="auto"/>
            <w:noWrap/>
            <w:vAlign w:val="bottom"/>
            <w:hideMark/>
          </w:tcPr>
          <w:p w14:paraId="4D606316"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125525.8</w:t>
            </w:r>
          </w:p>
        </w:tc>
        <w:tc>
          <w:tcPr>
            <w:tcW w:w="826" w:type="pct"/>
            <w:tcBorders>
              <w:top w:val="nil"/>
              <w:left w:val="nil"/>
              <w:bottom w:val="single" w:sz="4" w:space="0" w:color="auto"/>
              <w:right w:val="single" w:sz="4" w:space="0" w:color="auto"/>
            </w:tcBorders>
            <w:shd w:val="clear" w:color="auto" w:fill="auto"/>
            <w:noWrap/>
            <w:vAlign w:val="bottom"/>
            <w:hideMark/>
          </w:tcPr>
          <w:p w14:paraId="05C62082"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466.4</w:t>
            </w:r>
          </w:p>
        </w:tc>
        <w:tc>
          <w:tcPr>
            <w:tcW w:w="1052" w:type="pct"/>
            <w:tcBorders>
              <w:top w:val="nil"/>
              <w:left w:val="nil"/>
              <w:bottom w:val="single" w:sz="4" w:space="0" w:color="auto"/>
              <w:right w:val="single" w:sz="4" w:space="0" w:color="auto"/>
            </w:tcBorders>
            <w:shd w:val="clear" w:color="auto" w:fill="auto"/>
            <w:noWrap/>
            <w:vAlign w:val="bottom"/>
            <w:hideMark/>
          </w:tcPr>
          <w:p w14:paraId="1CD9C2B7"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134843.6</w:t>
            </w:r>
          </w:p>
        </w:tc>
      </w:tr>
      <w:tr w:rsidR="006E4714" w:rsidRPr="00191ACB" w14:paraId="47F4E3D8" w14:textId="77777777" w:rsidTr="005E626A">
        <w:trPr>
          <w:trHeight w:val="288"/>
        </w:trPr>
        <w:tc>
          <w:tcPr>
            <w:tcW w:w="521" w:type="pct"/>
            <w:tcBorders>
              <w:top w:val="nil"/>
              <w:left w:val="single" w:sz="4" w:space="0" w:color="auto"/>
              <w:bottom w:val="single" w:sz="4" w:space="0" w:color="auto"/>
              <w:right w:val="single" w:sz="4" w:space="0" w:color="auto"/>
            </w:tcBorders>
            <w:shd w:val="clear" w:color="auto" w:fill="auto"/>
            <w:noWrap/>
            <w:vAlign w:val="bottom"/>
            <w:hideMark/>
          </w:tcPr>
          <w:p w14:paraId="1ABC8DB3"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2030</w:t>
            </w:r>
          </w:p>
        </w:tc>
        <w:tc>
          <w:tcPr>
            <w:tcW w:w="1041" w:type="pct"/>
            <w:tcBorders>
              <w:top w:val="nil"/>
              <w:left w:val="nil"/>
              <w:bottom w:val="single" w:sz="4" w:space="0" w:color="auto"/>
              <w:right w:val="single" w:sz="4" w:space="0" w:color="auto"/>
            </w:tcBorders>
            <w:shd w:val="clear" w:color="auto" w:fill="auto"/>
            <w:noWrap/>
            <w:vAlign w:val="bottom"/>
            <w:hideMark/>
          </w:tcPr>
          <w:p w14:paraId="4E94C4AC"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6904.7</w:t>
            </w:r>
          </w:p>
        </w:tc>
        <w:tc>
          <w:tcPr>
            <w:tcW w:w="781" w:type="pct"/>
            <w:tcBorders>
              <w:top w:val="nil"/>
              <w:left w:val="nil"/>
              <w:bottom w:val="single" w:sz="4" w:space="0" w:color="auto"/>
              <w:right w:val="single" w:sz="4" w:space="0" w:color="auto"/>
            </w:tcBorders>
            <w:shd w:val="clear" w:color="auto" w:fill="auto"/>
            <w:noWrap/>
            <w:vAlign w:val="bottom"/>
            <w:hideMark/>
          </w:tcPr>
          <w:p w14:paraId="3C49E09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3313.2</w:t>
            </w:r>
          </w:p>
        </w:tc>
        <w:tc>
          <w:tcPr>
            <w:tcW w:w="780" w:type="pct"/>
            <w:tcBorders>
              <w:top w:val="nil"/>
              <w:left w:val="nil"/>
              <w:bottom w:val="single" w:sz="4" w:space="0" w:color="auto"/>
              <w:right w:val="single" w:sz="4" w:space="0" w:color="auto"/>
            </w:tcBorders>
            <w:shd w:val="clear" w:color="auto" w:fill="auto"/>
            <w:noWrap/>
            <w:vAlign w:val="bottom"/>
            <w:hideMark/>
          </w:tcPr>
          <w:p w14:paraId="793AB09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129981.2</w:t>
            </w:r>
          </w:p>
        </w:tc>
        <w:tc>
          <w:tcPr>
            <w:tcW w:w="826" w:type="pct"/>
            <w:tcBorders>
              <w:top w:val="nil"/>
              <w:left w:val="nil"/>
              <w:bottom w:val="single" w:sz="4" w:space="0" w:color="auto"/>
              <w:right w:val="single" w:sz="4" w:space="0" w:color="auto"/>
            </w:tcBorders>
            <w:shd w:val="clear" w:color="auto" w:fill="auto"/>
            <w:noWrap/>
            <w:vAlign w:val="bottom"/>
            <w:hideMark/>
          </w:tcPr>
          <w:p w14:paraId="5B965F1C"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536.9</w:t>
            </w:r>
          </w:p>
        </w:tc>
        <w:tc>
          <w:tcPr>
            <w:tcW w:w="1052" w:type="pct"/>
            <w:tcBorders>
              <w:top w:val="nil"/>
              <w:left w:val="nil"/>
              <w:bottom w:val="single" w:sz="4" w:space="0" w:color="auto"/>
              <w:right w:val="single" w:sz="4" w:space="0" w:color="auto"/>
            </w:tcBorders>
            <w:shd w:val="clear" w:color="auto" w:fill="auto"/>
            <w:noWrap/>
            <w:vAlign w:val="bottom"/>
            <w:hideMark/>
          </w:tcPr>
          <w:p w14:paraId="32CB9A8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140736.0</w:t>
            </w:r>
          </w:p>
        </w:tc>
      </w:tr>
      <w:tr w:rsidR="006E4714" w:rsidRPr="00191ACB" w14:paraId="5DA77A2D" w14:textId="77777777" w:rsidTr="005E626A">
        <w:trPr>
          <w:trHeight w:val="288"/>
        </w:trPr>
        <w:tc>
          <w:tcPr>
            <w:tcW w:w="521" w:type="pct"/>
            <w:tcBorders>
              <w:top w:val="nil"/>
              <w:left w:val="single" w:sz="4" w:space="0" w:color="auto"/>
              <w:bottom w:val="single" w:sz="4" w:space="0" w:color="auto"/>
              <w:right w:val="single" w:sz="4" w:space="0" w:color="auto"/>
            </w:tcBorders>
            <w:shd w:val="clear" w:color="auto" w:fill="auto"/>
            <w:noWrap/>
            <w:vAlign w:val="bottom"/>
            <w:hideMark/>
          </w:tcPr>
          <w:p w14:paraId="18D5C065"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2035</w:t>
            </w:r>
          </w:p>
        </w:tc>
        <w:tc>
          <w:tcPr>
            <w:tcW w:w="1041" w:type="pct"/>
            <w:tcBorders>
              <w:top w:val="nil"/>
              <w:left w:val="nil"/>
              <w:bottom w:val="single" w:sz="4" w:space="0" w:color="auto"/>
              <w:right w:val="single" w:sz="4" w:space="0" w:color="auto"/>
            </w:tcBorders>
            <w:shd w:val="clear" w:color="auto" w:fill="auto"/>
            <w:noWrap/>
            <w:vAlign w:val="bottom"/>
            <w:hideMark/>
          </w:tcPr>
          <w:p w14:paraId="5B429DE2"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7895.0</w:t>
            </w:r>
          </w:p>
        </w:tc>
        <w:tc>
          <w:tcPr>
            <w:tcW w:w="781" w:type="pct"/>
            <w:tcBorders>
              <w:top w:val="nil"/>
              <w:left w:val="nil"/>
              <w:bottom w:val="single" w:sz="4" w:space="0" w:color="auto"/>
              <w:right w:val="single" w:sz="4" w:space="0" w:color="auto"/>
            </w:tcBorders>
            <w:shd w:val="clear" w:color="auto" w:fill="auto"/>
            <w:noWrap/>
            <w:vAlign w:val="bottom"/>
            <w:hideMark/>
          </w:tcPr>
          <w:p w14:paraId="25AFD3F9"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3902.9</w:t>
            </w:r>
          </w:p>
        </w:tc>
        <w:tc>
          <w:tcPr>
            <w:tcW w:w="780" w:type="pct"/>
            <w:tcBorders>
              <w:top w:val="nil"/>
              <w:left w:val="nil"/>
              <w:bottom w:val="single" w:sz="4" w:space="0" w:color="auto"/>
              <w:right w:val="single" w:sz="4" w:space="0" w:color="auto"/>
            </w:tcBorders>
            <w:shd w:val="clear" w:color="auto" w:fill="auto"/>
            <w:noWrap/>
            <w:vAlign w:val="bottom"/>
            <w:hideMark/>
          </w:tcPr>
          <w:p w14:paraId="6563CE5F"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134594.7</w:t>
            </w:r>
          </w:p>
        </w:tc>
        <w:tc>
          <w:tcPr>
            <w:tcW w:w="826" w:type="pct"/>
            <w:tcBorders>
              <w:top w:val="nil"/>
              <w:left w:val="nil"/>
              <w:bottom w:val="single" w:sz="4" w:space="0" w:color="auto"/>
              <w:right w:val="single" w:sz="4" w:space="0" w:color="auto"/>
            </w:tcBorders>
            <w:shd w:val="clear" w:color="auto" w:fill="auto"/>
            <w:noWrap/>
            <w:vAlign w:val="bottom"/>
            <w:hideMark/>
          </w:tcPr>
          <w:p w14:paraId="40F10753"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614.2</w:t>
            </w:r>
          </w:p>
        </w:tc>
        <w:tc>
          <w:tcPr>
            <w:tcW w:w="1052" w:type="pct"/>
            <w:tcBorders>
              <w:top w:val="nil"/>
              <w:left w:val="nil"/>
              <w:bottom w:val="single" w:sz="4" w:space="0" w:color="auto"/>
              <w:right w:val="single" w:sz="4" w:space="0" w:color="auto"/>
            </w:tcBorders>
            <w:shd w:val="clear" w:color="auto" w:fill="auto"/>
            <w:noWrap/>
            <w:vAlign w:val="bottom"/>
            <w:hideMark/>
          </w:tcPr>
          <w:p w14:paraId="79B2DBCF"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147006.8</w:t>
            </w:r>
          </w:p>
        </w:tc>
      </w:tr>
      <w:tr w:rsidR="006E4714" w:rsidRPr="00191ACB" w14:paraId="4DA177EC" w14:textId="77777777" w:rsidTr="005E626A">
        <w:trPr>
          <w:trHeight w:val="288"/>
        </w:trPr>
        <w:tc>
          <w:tcPr>
            <w:tcW w:w="521" w:type="pct"/>
            <w:tcBorders>
              <w:top w:val="nil"/>
              <w:left w:val="single" w:sz="4" w:space="0" w:color="auto"/>
              <w:bottom w:val="single" w:sz="4" w:space="0" w:color="auto"/>
              <w:right w:val="single" w:sz="4" w:space="0" w:color="auto"/>
            </w:tcBorders>
            <w:shd w:val="clear" w:color="auto" w:fill="auto"/>
            <w:noWrap/>
            <w:vAlign w:val="bottom"/>
            <w:hideMark/>
          </w:tcPr>
          <w:p w14:paraId="7D06F26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2040</w:t>
            </w:r>
          </w:p>
        </w:tc>
        <w:tc>
          <w:tcPr>
            <w:tcW w:w="1041" w:type="pct"/>
            <w:tcBorders>
              <w:top w:val="nil"/>
              <w:left w:val="nil"/>
              <w:bottom w:val="single" w:sz="4" w:space="0" w:color="auto"/>
              <w:right w:val="single" w:sz="4" w:space="0" w:color="auto"/>
            </w:tcBorders>
            <w:shd w:val="clear" w:color="auto" w:fill="auto"/>
            <w:noWrap/>
            <w:vAlign w:val="bottom"/>
            <w:hideMark/>
          </w:tcPr>
          <w:p w14:paraId="0E8F36E3"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9027.4</w:t>
            </w:r>
          </w:p>
        </w:tc>
        <w:tc>
          <w:tcPr>
            <w:tcW w:w="781" w:type="pct"/>
            <w:tcBorders>
              <w:top w:val="nil"/>
              <w:left w:val="nil"/>
              <w:bottom w:val="single" w:sz="4" w:space="0" w:color="auto"/>
              <w:right w:val="single" w:sz="4" w:space="0" w:color="auto"/>
            </w:tcBorders>
            <w:shd w:val="clear" w:color="auto" w:fill="auto"/>
            <w:noWrap/>
            <w:vAlign w:val="bottom"/>
            <w:hideMark/>
          </w:tcPr>
          <w:p w14:paraId="27395C89"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4597.4</w:t>
            </w:r>
          </w:p>
        </w:tc>
        <w:tc>
          <w:tcPr>
            <w:tcW w:w="780" w:type="pct"/>
            <w:tcBorders>
              <w:top w:val="nil"/>
              <w:left w:val="nil"/>
              <w:bottom w:val="single" w:sz="4" w:space="0" w:color="auto"/>
              <w:right w:val="single" w:sz="4" w:space="0" w:color="auto"/>
            </w:tcBorders>
            <w:shd w:val="clear" w:color="auto" w:fill="auto"/>
            <w:noWrap/>
            <w:vAlign w:val="bottom"/>
            <w:hideMark/>
          </w:tcPr>
          <w:p w14:paraId="5E9FC4D7"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139371.9</w:t>
            </w:r>
          </w:p>
        </w:tc>
        <w:tc>
          <w:tcPr>
            <w:tcW w:w="826" w:type="pct"/>
            <w:tcBorders>
              <w:top w:val="nil"/>
              <w:left w:val="nil"/>
              <w:bottom w:val="single" w:sz="4" w:space="0" w:color="auto"/>
              <w:right w:val="single" w:sz="4" w:space="0" w:color="auto"/>
            </w:tcBorders>
            <w:shd w:val="clear" w:color="auto" w:fill="auto"/>
            <w:noWrap/>
            <w:vAlign w:val="bottom"/>
            <w:hideMark/>
          </w:tcPr>
          <w:p w14:paraId="324F5A7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698.2</w:t>
            </w:r>
          </w:p>
        </w:tc>
        <w:tc>
          <w:tcPr>
            <w:tcW w:w="1052" w:type="pct"/>
            <w:tcBorders>
              <w:top w:val="nil"/>
              <w:left w:val="nil"/>
              <w:bottom w:val="single" w:sz="4" w:space="0" w:color="auto"/>
              <w:right w:val="single" w:sz="4" w:space="0" w:color="auto"/>
            </w:tcBorders>
            <w:shd w:val="clear" w:color="auto" w:fill="auto"/>
            <w:noWrap/>
            <w:vAlign w:val="bottom"/>
            <w:hideMark/>
          </w:tcPr>
          <w:p w14:paraId="294EC327"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153694.9</w:t>
            </w:r>
          </w:p>
        </w:tc>
      </w:tr>
      <w:tr w:rsidR="006E4714" w:rsidRPr="00191ACB" w14:paraId="0A82061C" w14:textId="77777777" w:rsidTr="005E626A">
        <w:trPr>
          <w:trHeight w:val="288"/>
        </w:trPr>
        <w:tc>
          <w:tcPr>
            <w:tcW w:w="521" w:type="pct"/>
            <w:tcBorders>
              <w:top w:val="nil"/>
              <w:left w:val="single" w:sz="4" w:space="0" w:color="auto"/>
              <w:bottom w:val="single" w:sz="4" w:space="0" w:color="auto"/>
              <w:right w:val="single" w:sz="4" w:space="0" w:color="auto"/>
            </w:tcBorders>
            <w:shd w:val="clear" w:color="auto" w:fill="auto"/>
            <w:noWrap/>
            <w:vAlign w:val="bottom"/>
            <w:hideMark/>
          </w:tcPr>
          <w:p w14:paraId="468280E2"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2045</w:t>
            </w:r>
          </w:p>
        </w:tc>
        <w:tc>
          <w:tcPr>
            <w:tcW w:w="1041" w:type="pct"/>
            <w:tcBorders>
              <w:top w:val="nil"/>
              <w:left w:val="nil"/>
              <w:bottom w:val="single" w:sz="4" w:space="0" w:color="auto"/>
              <w:right w:val="single" w:sz="4" w:space="0" w:color="auto"/>
            </w:tcBorders>
            <w:shd w:val="clear" w:color="auto" w:fill="auto"/>
            <w:noWrap/>
            <w:vAlign w:val="bottom"/>
            <w:hideMark/>
          </w:tcPr>
          <w:p w14:paraId="17974A60"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10322.4</w:t>
            </w:r>
          </w:p>
        </w:tc>
        <w:tc>
          <w:tcPr>
            <w:tcW w:w="781" w:type="pct"/>
            <w:tcBorders>
              <w:top w:val="nil"/>
              <w:left w:val="nil"/>
              <w:bottom w:val="single" w:sz="4" w:space="0" w:color="auto"/>
              <w:right w:val="single" w:sz="4" w:space="0" w:color="auto"/>
            </w:tcBorders>
            <w:shd w:val="clear" w:color="auto" w:fill="auto"/>
            <w:noWrap/>
            <w:vAlign w:val="bottom"/>
            <w:hideMark/>
          </w:tcPr>
          <w:p w14:paraId="220D0A69"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5415.6</w:t>
            </w:r>
          </w:p>
        </w:tc>
        <w:tc>
          <w:tcPr>
            <w:tcW w:w="780" w:type="pct"/>
            <w:tcBorders>
              <w:top w:val="nil"/>
              <w:left w:val="nil"/>
              <w:bottom w:val="single" w:sz="4" w:space="0" w:color="auto"/>
              <w:right w:val="single" w:sz="4" w:space="0" w:color="auto"/>
            </w:tcBorders>
            <w:shd w:val="clear" w:color="auto" w:fill="auto"/>
            <w:noWrap/>
            <w:vAlign w:val="bottom"/>
            <w:hideMark/>
          </w:tcPr>
          <w:p w14:paraId="69552733"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144318.7</w:t>
            </w:r>
          </w:p>
        </w:tc>
        <w:tc>
          <w:tcPr>
            <w:tcW w:w="826" w:type="pct"/>
            <w:tcBorders>
              <w:top w:val="nil"/>
              <w:left w:val="nil"/>
              <w:bottom w:val="single" w:sz="4" w:space="0" w:color="auto"/>
              <w:right w:val="single" w:sz="4" w:space="0" w:color="auto"/>
            </w:tcBorders>
            <w:shd w:val="clear" w:color="auto" w:fill="auto"/>
            <w:noWrap/>
            <w:vAlign w:val="bottom"/>
            <w:hideMark/>
          </w:tcPr>
          <w:p w14:paraId="02CDAD31"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788.6</w:t>
            </w:r>
          </w:p>
        </w:tc>
        <w:tc>
          <w:tcPr>
            <w:tcW w:w="1052" w:type="pct"/>
            <w:tcBorders>
              <w:top w:val="nil"/>
              <w:left w:val="nil"/>
              <w:bottom w:val="single" w:sz="4" w:space="0" w:color="auto"/>
              <w:right w:val="single" w:sz="4" w:space="0" w:color="auto"/>
            </w:tcBorders>
            <w:shd w:val="clear" w:color="auto" w:fill="auto"/>
            <w:noWrap/>
            <w:vAlign w:val="bottom"/>
            <w:hideMark/>
          </w:tcPr>
          <w:p w14:paraId="2779E63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160845.3</w:t>
            </w:r>
          </w:p>
        </w:tc>
      </w:tr>
      <w:tr w:rsidR="006E4714" w:rsidRPr="00191ACB" w14:paraId="2355C2FB" w14:textId="77777777" w:rsidTr="005E626A">
        <w:trPr>
          <w:trHeight w:val="288"/>
        </w:trPr>
        <w:tc>
          <w:tcPr>
            <w:tcW w:w="521" w:type="pct"/>
            <w:tcBorders>
              <w:top w:val="nil"/>
              <w:left w:val="single" w:sz="4" w:space="0" w:color="auto"/>
              <w:bottom w:val="single" w:sz="4" w:space="0" w:color="auto"/>
              <w:right w:val="single" w:sz="4" w:space="0" w:color="auto"/>
            </w:tcBorders>
            <w:shd w:val="clear" w:color="auto" w:fill="auto"/>
            <w:noWrap/>
            <w:vAlign w:val="bottom"/>
            <w:hideMark/>
          </w:tcPr>
          <w:p w14:paraId="39310BC8"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2050</w:t>
            </w:r>
          </w:p>
        </w:tc>
        <w:tc>
          <w:tcPr>
            <w:tcW w:w="1041" w:type="pct"/>
            <w:tcBorders>
              <w:top w:val="nil"/>
              <w:left w:val="nil"/>
              <w:bottom w:val="single" w:sz="4" w:space="0" w:color="auto"/>
              <w:right w:val="single" w:sz="4" w:space="0" w:color="auto"/>
            </w:tcBorders>
            <w:shd w:val="clear" w:color="auto" w:fill="auto"/>
            <w:noWrap/>
            <w:vAlign w:val="bottom"/>
            <w:hideMark/>
          </w:tcPr>
          <w:p w14:paraId="299DC68F"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11803.2</w:t>
            </w:r>
          </w:p>
        </w:tc>
        <w:tc>
          <w:tcPr>
            <w:tcW w:w="781" w:type="pct"/>
            <w:tcBorders>
              <w:top w:val="nil"/>
              <w:left w:val="nil"/>
              <w:bottom w:val="single" w:sz="4" w:space="0" w:color="auto"/>
              <w:right w:val="single" w:sz="4" w:space="0" w:color="auto"/>
            </w:tcBorders>
            <w:shd w:val="clear" w:color="auto" w:fill="auto"/>
            <w:noWrap/>
            <w:vAlign w:val="bottom"/>
            <w:hideMark/>
          </w:tcPr>
          <w:p w14:paraId="24D719B1"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6379.4</w:t>
            </w:r>
          </w:p>
        </w:tc>
        <w:tc>
          <w:tcPr>
            <w:tcW w:w="780" w:type="pct"/>
            <w:tcBorders>
              <w:top w:val="nil"/>
              <w:left w:val="nil"/>
              <w:bottom w:val="single" w:sz="4" w:space="0" w:color="auto"/>
              <w:right w:val="single" w:sz="4" w:space="0" w:color="auto"/>
            </w:tcBorders>
            <w:shd w:val="clear" w:color="auto" w:fill="auto"/>
            <w:noWrap/>
            <w:vAlign w:val="bottom"/>
            <w:hideMark/>
          </w:tcPr>
          <w:p w14:paraId="6B01688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149441.1</w:t>
            </w:r>
          </w:p>
        </w:tc>
        <w:tc>
          <w:tcPr>
            <w:tcW w:w="826" w:type="pct"/>
            <w:tcBorders>
              <w:top w:val="nil"/>
              <w:left w:val="nil"/>
              <w:bottom w:val="single" w:sz="4" w:space="0" w:color="auto"/>
              <w:right w:val="single" w:sz="4" w:space="0" w:color="auto"/>
            </w:tcBorders>
            <w:shd w:val="clear" w:color="auto" w:fill="auto"/>
            <w:noWrap/>
            <w:vAlign w:val="bottom"/>
            <w:hideMark/>
          </w:tcPr>
          <w:p w14:paraId="3014CD7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885.5</w:t>
            </w:r>
          </w:p>
        </w:tc>
        <w:tc>
          <w:tcPr>
            <w:tcW w:w="1052" w:type="pct"/>
            <w:tcBorders>
              <w:top w:val="nil"/>
              <w:left w:val="nil"/>
              <w:bottom w:val="single" w:sz="4" w:space="0" w:color="auto"/>
              <w:right w:val="single" w:sz="4" w:space="0" w:color="auto"/>
            </w:tcBorders>
            <w:shd w:val="clear" w:color="auto" w:fill="auto"/>
            <w:noWrap/>
            <w:vAlign w:val="bottom"/>
            <w:hideMark/>
          </w:tcPr>
          <w:p w14:paraId="291B9CA9"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168509.1</w:t>
            </w:r>
          </w:p>
        </w:tc>
      </w:tr>
    </w:tbl>
    <w:p w14:paraId="2C25EAE1"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p>
    <w:p w14:paraId="45B08F75" w14:textId="712AE0AF"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slowest growth in emissions is projected to be experienced in the AFOLU sector at 29.5</w:t>
      </w:r>
      <w:r w:rsidR="00C67839"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increase from </w:t>
      </w:r>
      <w:r w:rsidRPr="00191ACB">
        <w:rPr>
          <w:rFonts w:ascii="Times New Roman" w:eastAsia="Times New Roman" w:hAnsi="Times New Roman" w:cs="Times New Roman"/>
          <w:color w:val="000000" w:themeColor="text1"/>
          <w:sz w:val="24"/>
          <w:szCs w:val="24"/>
        </w:rPr>
        <w:t xml:space="preserve">115425.0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2010 to </w:t>
      </w:r>
      <w:r w:rsidRPr="00191ACB">
        <w:rPr>
          <w:rFonts w:ascii="Times New Roman" w:eastAsia="Times New Roman" w:hAnsi="Times New Roman" w:cs="Times New Roman"/>
          <w:color w:val="000000" w:themeColor="text1"/>
          <w:sz w:val="24"/>
          <w:szCs w:val="24"/>
        </w:rPr>
        <w:t>149441.1</w:t>
      </w:r>
      <w:r w:rsidRPr="00191ACB">
        <w:rPr>
          <w:rFonts w:ascii="Times New Roman" w:eastAsia="Times New Roman" w:hAnsi="Times New Roman" w:cs="Times New Roman"/>
          <w:bCs/>
          <w:color w:val="000000" w:themeColor="text1"/>
          <w:sz w:val="24"/>
          <w:szCs w:val="24"/>
        </w:rPr>
        <w:t xml:space="preserve"> Gg</w:t>
      </w:r>
      <w:r w:rsidRPr="00191ACB">
        <w:rPr>
          <w:rFonts w:ascii="Times New Roman" w:eastAsia="Calibri" w:hAnsi="Times New Roman" w:cs="Times New Roman"/>
          <w:color w:val="000000" w:themeColor="text1"/>
          <w:sz w:val="24"/>
          <w:szCs w:val="24"/>
        </w:rPr>
        <w:t xml:space="preserve">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.in 2050 (Figure</w:t>
      </w:r>
      <w:r w:rsidR="00D7105F" w:rsidRPr="00191ACB">
        <w:rPr>
          <w:rFonts w:ascii="Times New Roman" w:eastAsia="Calibri" w:hAnsi="Times New Roman" w:cs="Times New Roman"/>
          <w:color w:val="000000" w:themeColor="text1"/>
          <w:sz w:val="24"/>
          <w:szCs w:val="24"/>
        </w:rPr>
        <w:t xml:space="preserve"> 4.1)</w:t>
      </w:r>
      <w:r w:rsidRPr="00191ACB">
        <w:rPr>
          <w:rFonts w:ascii="Times New Roman" w:eastAsia="Calibri" w:hAnsi="Times New Roman" w:cs="Times New Roman"/>
          <w:color w:val="000000" w:themeColor="text1"/>
          <w:sz w:val="24"/>
          <w:szCs w:val="24"/>
        </w:rPr>
        <w:t>.</w:t>
      </w:r>
    </w:p>
    <w:p w14:paraId="217C4D8D"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lastRenderedPageBreak/>
        <w:drawing>
          <wp:inline distT="0" distB="0" distL="0" distR="0" wp14:anchorId="4718AFC0" wp14:editId="191B2268">
            <wp:extent cx="6057900" cy="3345180"/>
            <wp:effectExtent l="0" t="0" r="0" b="762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8B7F017" w14:textId="32BA6463" w:rsidR="006E4714" w:rsidRPr="00191ACB" w:rsidRDefault="00C319A4" w:rsidP="00C319A4">
      <w:pPr>
        <w:pStyle w:val="Caption"/>
        <w:rPr>
          <w:color w:val="000000" w:themeColor="text1"/>
          <w:sz w:val="24"/>
          <w:szCs w:val="24"/>
          <w:lang w:val="en-GB" w:eastAsia="da-DK"/>
        </w:rPr>
      </w:pPr>
      <w:bookmarkStart w:id="344" w:name="_Toc56583887"/>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4</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1</w:t>
      </w:r>
      <w:r w:rsidR="009D481C">
        <w:rPr>
          <w:sz w:val="24"/>
          <w:szCs w:val="24"/>
        </w:rPr>
        <w:fldChar w:fldCharType="end"/>
      </w:r>
      <w:r w:rsidRPr="00191ACB">
        <w:rPr>
          <w:sz w:val="24"/>
          <w:szCs w:val="24"/>
        </w:rPr>
        <w:t>Projected emissions trends</w:t>
      </w:r>
      <w:bookmarkEnd w:id="344"/>
    </w:p>
    <w:p w14:paraId="03828258" w14:textId="753DA9B3" w:rsidR="006E4714" w:rsidRPr="00191ACB" w:rsidRDefault="006E4714" w:rsidP="00B90A10">
      <w:pPr>
        <w:spacing w:after="120" w:line="240" w:lineRule="auto"/>
        <w:rPr>
          <w:rFonts w:ascii="Times New Roman" w:eastAsia="Times New Roman" w:hAnsi="Times New Roman" w:cs="Times New Roman"/>
          <w:color w:val="000000" w:themeColor="text1"/>
          <w:sz w:val="24"/>
          <w:szCs w:val="24"/>
          <w:lang w:val="en-GB" w:eastAsia="da-DK"/>
        </w:rPr>
      </w:pPr>
    </w:p>
    <w:p w14:paraId="40CF113B" w14:textId="346CEDD1"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Emissio</w:t>
      </w:r>
      <w:r w:rsidR="00C67839" w:rsidRPr="00191ACB">
        <w:rPr>
          <w:rFonts w:ascii="Times New Roman" w:eastAsia="Calibri" w:hAnsi="Times New Roman" w:cs="Times New Roman"/>
          <w:color w:val="000000" w:themeColor="text1"/>
          <w:sz w:val="24"/>
          <w:szCs w:val="24"/>
        </w:rPr>
        <w:t>n</w:t>
      </w:r>
      <w:r w:rsidRPr="00191ACB">
        <w:rPr>
          <w:rFonts w:ascii="Times New Roman" w:eastAsia="Calibri" w:hAnsi="Times New Roman" w:cs="Times New Roman"/>
          <w:color w:val="000000" w:themeColor="text1"/>
          <w:sz w:val="24"/>
          <w:szCs w:val="24"/>
        </w:rPr>
        <w:t xml:space="preserve"> projection</w:t>
      </w:r>
      <w:r w:rsidR="00C67839" w:rsidRPr="00191ACB">
        <w:rPr>
          <w:rFonts w:ascii="Times New Roman" w:eastAsia="Calibri" w:hAnsi="Times New Roman" w:cs="Times New Roman"/>
          <w:color w:val="000000" w:themeColor="text1"/>
          <w:sz w:val="24"/>
          <w:szCs w:val="24"/>
        </w:rPr>
        <w:t>s</w:t>
      </w:r>
      <w:r w:rsidRPr="00191ACB">
        <w:rPr>
          <w:rFonts w:ascii="Times New Roman" w:eastAsia="Calibri" w:hAnsi="Times New Roman" w:cs="Times New Roman"/>
          <w:color w:val="000000" w:themeColor="text1"/>
          <w:sz w:val="24"/>
          <w:szCs w:val="24"/>
        </w:rPr>
        <w:t xml:space="preserve"> analysis show that AFOLU will contribute 92</w:t>
      </w:r>
      <w:r w:rsidR="00C67839"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to total national emissions in 2030 followed by energy at </w:t>
      </w:r>
      <w:r w:rsidR="009D55B5" w:rsidRPr="00191ACB">
        <w:rPr>
          <w:rFonts w:ascii="Times New Roman" w:eastAsia="Calibri" w:hAnsi="Times New Roman" w:cs="Times New Roman"/>
          <w:color w:val="000000" w:themeColor="text1"/>
          <w:sz w:val="24"/>
          <w:szCs w:val="24"/>
        </w:rPr>
        <w:t>5</w:t>
      </w:r>
      <w:r w:rsidR="00C67839" w:rsidRPr="00191ACB">
        <w:rPr>
          <w:rFonts w:ascii="Times New Roman" w:eastAsia="Calibri" w:hAnsi="Times New Roman" w:cs="Times New Roman"/>
          <w:color w:val="000000" w:themeColor="text1"/>
          <w:sz w:val="24"/>
          <w:szCs w:val="24"/>
        </w:rPr>
        <w:t xml:space="preserve"> percent</w:t>
      </w:r>
      <w:r w:rsidR="009D55B5"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IPPU will be third at 2</w:t>
      </w:r>
      <w:r w:rsidR="00C67839" w:rsidRPr="00191ACB">
        <w:rPr>
          <w:rFonts w:ascii="Times New Roman" w:eastAsia="Calibri" w:hAnsi="Times New Roman" w:cs="Times New Roman"/>
          <w:color w:val="000000" w:themeColor="text1"/>
          <w:sz w:val="24"/>
          <w:szCs w:val="24"/>
        </w:rPr>
        <w:t xml:space="preserve"> percent</w:t>
      </w:r>
      <w:r w:rsidR="009D55B5" w:rsidRPr="00191ACB">
        <w:rPr>
          <w:rFonts w:ascii="Times New Roman" w:eastAsia="Calibri" w:hAnsi="Times New Roman" w:cs="Times New Roman"/>
          <w:color w:val="000000" w:themeColor="text1"/>
          <w:sz w:val="24"/>
          <w:szCs w:val="24"/>
        </w:rPr>
        <w:t xml:space="preserve"> and t</w:t>
      </w:r>
      <w:r w:rsidRPr="00191ACB">
        <w:rPr>
          <w:rFonts w:ascii="Times New Roman" w:eastAsia="Calibri" w:hAnsi="Times New Roman" w:cs="Times New Roman"/>
          <w:color w:val="000000" w:themeColor="text1"/>
          <w:sz w:val="24"/>
          <w:szCs w:val="24"/>
        </w:rPr>
        <w:t>he least will be Waste at 1</w:t>
      </w:r>
      <w:r w:rsidR="00C67839" w:rsidRPr="00191ACB">
        <w:rPr>
          <w:rFonts w:ascii="Times New Roman" w:eastAsia="Calibri" w:hAnsi="Times New Roman" w:cs="Times New Roman"/>
          <w:color w:val="000000" w:themeColor="text1"/>
          <w:sz w:val="24"/>
          <w:szCs w:val="24"/>
        </w:rPr>
        <w:t xml:space="preserve"> percent</w:t>
      </w:r>
      <w:r w:rsidR="009D55B5" w:rsidRPr="00191ACB">
        <w:rPr>
          <w:rFonts w:ascii="Times New Roman" w:eastAsia="Calibri" w:hAnsi="Times New Roman" w:cs="Times New Roman"/>
          <w:color w:val="000000" w:themeColor="text1"/>
          <w:sz w:val="24"/>
          <w:szCs w:val="24"/>
        </w:rPr>
        <w:t xml:space="preserve"> (Figure </w:t>
      </w:r>
      <w:r w:rsidR="00D7105F" w:rsidRPr="00191ACB">
        <w:rPr>
          <w:rFonts w:ascii="Times New Roman" w:eastAsia="Calibri" w:hAnsi="Times New Roman" w:cs="Times New Roman"/>
          <w:color w:val="000000" w:themeColor="text1"/>
          <w:sz w:val="24"/>
          <w:szCs w:val="24"/>
        </w:rPr>
        <w:t>4.2</w:t>
      </w:r>
      <w:r w:rsidR="009D55B5" w:rsidRPr="00191ACB">
        <w:rPr>
          <w:rFonts w:ascii="Times New Roman" w:eastAsia="Calibri" w:hAnsi="Times New Roman" w:cs="Times New Roman"/>
          <w:color w:val="000000" w:themeColor="text1"/>
          <w:sz w:val="24"/>
          <w:szCs w:val="24"/>
        </w:rPr>
        <w:t>a)</w:t>
      </w:r>
      <w:r w:rsidRPr="00191ACB">
        <w:rPr>
          <w:rFonts w:ascii="Times New Roman" w:eastAsia="Calibri" w:hAnsi="Times New Roman" w:cs="Times New Roman"/>
          <w:color w:val="000000" w:themeColor="text1"/>
          <w:sz w:val="24"/>
          <w:szCs w:val="24"/>
        </w:rPr>
        <w:t>. In the year 2050 AFOLU emissions contribution to the national emissions will reduce to 89</w:t>
      </w:r>
      <w:r w:rsidR="00C67839"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while energy and IPPU will increase to 7</w:t>
      </w:r>
      <w:r w:rsidR="00C67839"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and 4</w:t>
      </w:r>
      <w:r w:rsidR="00C67839"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respectively and Waste will be </w:t>
      </w:r>
      <w:r w:rsidR="009D55B5" w:rsidRPr="00191ACB">
        <w:rPr>
          <w:rFonts w:ascii="Times New Roman" w:eastAsia="Calibri" w:hAnsi="Times New Roman" w:cs="Times New Roman"/>
          <w:color w:val="000000" w:themeColor="text1"/>
          <w:sz w:val="24"/>
          <w:szCs w:val="24"/>
        </w:rPr>
        <w:t>insignificant</w:t>
      </w:r>
      <w:r w:rsidRPr="00191ACB">
        <w:rPr>
          <w:rFonts w:ascii="Times New Roman" w:eastAsia="Calibri" w:hAnsi="Times New Roman" w:cs="Times New Roman"/>
          <w:color w:val="000000" w:themeColor="text1"/>
          <w:sz w:val="24"/>
          <w:szCs w:val="24"/>
        </w:rPr>
        <w:t xml:space="preserve"> with less than 1</w:t>
      </w:r>
      <w:r w:rsidR="00C67839"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(Figure</w:t>
      </w:r>
      <w:r w:rsidR="00D7105F" w:rsidRPr="00191ACB">
        <w:rPr>
          <w:rFonts w:ascii="Times New Roman" w:eastAsia="Calibri" w:hAnsi="Times New Roman" w:cs="Times New Roman"/>
          <w:color w:val="000000" w:themeColor="text1"/>
          <w:sz w:val="24"/>
          <w:szCs w:val="24"/>
        </w:rPr>
        <w:t xml:space="preserve"> 4.2</w:t>
      </w:r>
      <w:r w:rsidR="009D55B5" w:rsidRPr="00191ACB">
        <w:rPr>
          <w:rFonts w:ascii="Times New Roman" w:eastAsia="Calibri" w:hAnsi="Times New Roman" w:cs="Times New Roman"/>
          <w:color w:val="000000" w:themeColor="text1"/>
          <w:sz w:val="24"/>
          <w:szCs w:val="24"/>
        </w:rPr>
        <w:t>b</w:t>
      </w:r>
      <w:r w:rsidRPr="00191ACB">
        <w:rPr>
          <w:rFonts w:ascii="Times New Roman" w:eastAsia="Calibri" w:hAnsi="Times New Roman" w:cs="Times New Roman"/>
          <w:color w:val="000000" w:themeColor="text1"/>
          <w:sz w:val="24"/>
          <w:szCs w:val="24"/>
        </w:rPr>
        <w:t>).</w:t>
      </w:r>
    </w:p>
    <w:p w14:paraId="62D4E52A"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4103B876" wp14:editId="535B36F4">
            <wp:extent cx="3124200" cy="2369820"/>
            <wp:effectExtent l="0" t="0" r="0" b="1143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sidRPr="00191ACB">
        <w:rPr>
          <w:rFonts w:ascii="Times New Roman" w:hAnsi="Times New Roman" w:cs="Times New Roman"/>
          <w:noProof/>
          <w:color w:val="000000" w:themeColor="text1"/>
          <w:sz w:val="24"/>
          <w:szCs w:val="24"/>
          <w:lang w:val="en-GB" w:eastAsia="en-GB"/>
        </w:rPr>
        <w:drawing>
          <wp:inline distT="0" distB="0" distL="0" distR="0" wp14:anchorId="114C84C1" wp14:editId="6D5814FD">
            <wp:extent cx="3048000" cy="2369820"/>
            <wp:effectExtent l="0" t="0" r="0" b="1143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C686935" w14:textId="235B47C6" w:rsidR="006E4714" w:rsidRPr="00191ACB" w:rsidRDefault="00C319A4" w:rsidP="00C319A4">
      <w:pPr>
        <w:pStyle w:val="Caption"/>
        <w:rPr>
          <w:rFonts w:eastAsia="Calibri"/>
          <w:color w:val="000000" w:themeColor="text1"/>
          <w:sz w:val="24"/>
          <w:szCs w:val="24"/>
        </w:rPr>
      </w:pPr>
      <w:bookmarkStart w:id="345" w:name="_Toc56583888"/>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4</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2</w:t>
      </w:r>
      <w:r w:rsidR="009D481C">
        <w:rPr>
          <w:sz w:val="24"/>
          <w:szCs w:val="24"/>
        </w:rPr>
        <w:fldChar w:fldCharType="end"/>
      </w:r>
      <w:r w:rsidRPr="00191ACB">
        <w:rPr>
          <w:sz w:val="24"/>
          <w:szCs w:val="24"/>
        </w:rPr>
        <w:t>:(a) Emission contribution by sector 2030 (b) Emissions contribution by sector 2050</w:t>
      </w:r>
      <w:bookmarkEnd w:id="345"/>
    </w:p>
    <w:p w14:paraId="6C98CDC6"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p>
    <w:p w14:paraId="3D1B159F" w14:textId="2FEC7721" w:rsidR="006E4714" w:rsidRPr="00176B46" w:rsidRDefault="006E4714" w:rsidP="005D53F6">
      <w:pPr>
        <w:pStyle w:val="Heading4"/>
        <w:numPr>
          <w:ilvl w:val="3"/>
          <w:numId w:val="36"/>
        </w:numPr>
        <w:ind w:left="851" w:hanging="851"/>
      </w:pPr>
      <w:bookmarkStart w:id="346" w:name="_Toc13582215"/>
      <w:bookmarkStart w:id="347" w:name="_Toc26264923"/>
      <w:r w:rsidRPr="00176B46">
        <w:t xml:space="preserve">Aggregate </w:t>
      </w:r>
      <w:r w:rsidR="007D3D9E" w:rsidRPr="00176B46">
        <w:t>Projected Sequestration</w:t>
      </w:r>
      <w:bookmarkEnd w:id="346"/>
      <w:bookmarkEnd w:id="347"/>
      <w:r w:rsidR="007D3D9E" w:rsidRPr="00176B46">
        <w:t xml:space="preserve">  </w:t>
      </w:r>
    </w:p>
    <w:p w14:paraId="531955CB" w14:textId="11873E23"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gross emission removal projections were determined as a function of annual deforestation rate of 0.7</w:t>
      </w:r>
      <w:r w:rsidR="00C67839"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(approximately </w:t>
      </w:r>
      <w:r w:rsidRPr="00191ACB">
        <w:rPr>
          <w:rFonts w:ascii="Times New Roman" w:eastAsia="Calibri" w:hAnsi="Times New Roman" w:cs="Times New Roman"/>
          <w:bCs/>
          <w:color w:val="000000" w:themeColor="text1"/>
          <w:sz w:val="24"/>
          <w:szCs w:val="24"/>
        </w:rPr>
        <w:t>276,021 ha</w:t>
      </w:r>
      <w:r w:rsidRPr="00191ACB">
        <w:rPr>
          <w:rFonts w:ascii="Times New Roman" w:eastAsia="Calibri" w:hAnsi="Times New Roman" w:cs="Times New Roman"/>
          <w:b/>
          <w:bCs/>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per annum) arising from increasing settlements, crop land, wood removals for commercial timber and wood removal for wood fuel (firewood and charcoal). Total </w:t>
      </w:r>
      <w:r w:rsidRPr="00191ACB">
        <w:rPr>
          <w:rFonts w:ascii="Times New Roman" w:eastAsia="Calibri" w:hAnsi="Times New Roman" w:cs="Times New Roman"/>
          <w:color w:val="000000" w:themeColor="text1"/>
          <w:sz w:val="24"/>
          <w:szCs w:val="24"/>
        </w:rPr>
        <w:lastRenderedPageBreak/>
        <w:t>removals/sink is   projected to reduce from -137,322.9Gg CO</w:t>
      </w:r>
      <w:r w:rsidRPr="002A4DFC">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eq. in 2010 to -103,684.3 Gg CO</w:t>
      </w:r>
      <w:r w:rsidRPr="002A4DFC">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eq. in 2050 represent</w:t>
      </w:r>
      <w:r w:rsidR="00C67839" w:rsidRPr="00191ACB">
        <w:rPr>
          <w:rFonts w:ascii="Times New Roman" w:eastAsia="Calibri" w:hAnsi="Times New Roman" w:cs="Times New Roman"/>
          <w:color w:val="000000" w:themeColor="text1"/>
          <w:sz w:val="24"/>
          <w:szCs w:val="24"/>
        </w:rPr>
        <w:t>ing</w:t>
      </w:r>
      <w:r w:rsidRPr="00191ACB">
        <w:rPr>
          <w:rFonts w:ascii="Times New Roman" w:eastAsia="Calibri" w:hAnsi="Times New Roman" w:cs="Times New Roman"/>
          <w:color w:val="000000" w:themeColor="text1"/>
          <w:sz w:val="24"/>
          <w:szCs w:val="24"/>
        </w:rPr>
        <w:t xml:space="preserve"> a 25</w:t>
      </w:r>
      <w:r w:rsidR="00C67839"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reduction (Table </w:t>
      </w:r>
      <w:r w:rsidR="00D7105F" w:rsidRPr="00191ACB">
        <w:rPr>
          <w:rFonts w:ascii="Times New Roman" w:eastAsia="Calibri" w:hAnsi="Times New Roman" w:cs="Times New Roman"/>
          <w:color w:val="000000" w:themeColor="text1"/>
          <w:sz w:val="24"/>
          <w:szCs w:val="24"/>
        </w:rPr>
        <w:t>4.5</w:t>
      </w:r>
      <w:r w:rsidRPr="00191ACB">
        <w:rPr>
          <w:rFonts w:ascii="Times New Roman" w:eastAsia="Calibri" w:hAnsi="Times New Roman" w:cs="Times New Roman"/>
          <w:color w:val="000000" w:themeColor="text1"/>
          <w:sz w:val="24"/>
          <w:szCs w:val="24"/>
        </w:rPr>
        <w:t xml:space="preserve">).  </w:t>
      </w:r>
    </w:p>
    <w:p w14:paraId="0E5B2A8E" w14:textId="77777777" w:rsidR="004678D3" w:rsidRPr="00191ACB" w:rsidRDefault="004678D3" w:rsidP="005E626A">
      <w:pPr>
        <w:spacing w:after="120" w:line="240" w:lineRule="auto"/>
        <w:jc w:val="both"/>
        <w:rPr>
          <w:rFonts w:ascii="Times New Roman" w:eastAsia="Calibri" w:hAnsi="Times New Roman" w:cs="Times New Roman"/>
          <w:color w:val="000000" w:themeColor="text1"/>
          <w:sz w:val="24"/>
          <w:szCs w:val="24"/>
        </w:rPr>
      </w:pPr>
    </w:p>
    <w:p w14:paraId="0DFD2F35" w14:textId="068286B6" w:rsidR="006E4714" w:rsidRPr="00191ACB" w:rsidRDefault="00C319A4" w:rsidP="00C319A4">
      <w:pPr>
        <w:pStyle w:val="Caption"/>
        <w:rPr>
          <w:rFonts w:eastAsia="Calibri"/>
          <w:color w:val="000000" w:themeColor="text1"/>
          <w:sz w:val="24"/>
          <w:szCs w:val="24"/>
        </w:rPr>
      </w:pPr>
      <w:bookmarkStart w:id="348" w:name="_Toc56583781"/>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5</w:t>
      </w:r>
      <w:r w:rsidR="00875942">
        <w:rPr>
          <w:sz w:val="24"/>
          <w:szCs w:val="24"/>
        </w:rPr>
        <w:fldChar w:fldCharType="end"/>
      </w:r>
      <w:r w:rsidRPr="00191ACB">
        <w:rPr>
          <w:sz w:val="24"/>
          <w:szCs w:val="24"/>
        </w:rPr>
        <w:t>:Aggregate projected national sequestration Gg CO2eq</w:t>
      </w:r>
      <w:bookmarkEnd w:id="348"/>
      <w:r w:rsidRPr="00191ACB">
        <w:rPr>
          <w:rFonts w:eastAsia="Calibri"/>
          <w:color w:val="000000" w:themeColor="text1"/>
          <w:sz w:val="24"/>
          <w:szCs w:val="24"/>
        </w:rPr>
        <w:t xml:space="preserve"> </w:t>
      </w:r>
    </w:p>
    <w:tbl>
      <w:tblPr>
        <w:tblW w:w="8482" w:type="dxa"/>
        <w:tblLook w:val="04A0" w:firstRow="1" w:lastRow="0" w:firstColumn="1" w:lastColumn="0" w:noHBand="0" w:noVBand="1"/>
      </w:tblPr>
      <w:tblGrid>
        <w:gridCol w:w="960"/>
        <w:gridCol w:w="2382"/>
        <w:gridCol w:w="5140"/>
      </w:tblGrid>
      <w:tr w:rsidR="00C27BFD" w:rsidRPr="00191ACB" w14:paraId="0E87E8AC" w14:textId="77777777" w:rsidTr="00C27BF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08AB4B"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2382" w:type="dxa"/>
            <w:tcBorders>
              <w:top w:val="single" w:sz="4" w:space="0" w:color="auto"/>
              <w:left w:val="nil"/>
              <w:bottom w:val="single" w:sz="4" w:space="0" w:color="auto"/>
              <w:right w:val="single" w:sz="4" w:space="0" w:color="auto"/>
            </w:tcBorders>
            <w:shd w:val="clear" w:color="auto" w:fill="auto"/>
            <w:noWrap/>
            <w:vAlign w:val="bottom"/>
            <w:hideMark/>
          </w:tcPr>
          <w:p w14:paraId="78A02812"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Net Baseline Emissions</w:t>
            </w:r>
          </w:p>
        </w:tc>
        <w:tc>
          <w:tcPr>
            <w:tcW w:w="5140" w:type="dxa"/>
            <w:tcBorders>
              <w:top w:val="single" w:sz="4" w:space="0" w:color="auto"/>
              <w:left w:val="nil"/>
              <w:bottom w:val="single" w:sz="4" w:space="0" w:color="auto"/>
              <w:right w:val="single" w:sz="4" w:space="0" w:color="auto"/>
            </w:tcBorders>
            <w:shd w:val="clear" w:color="auto" w:fill="auto"/>
            <w:noWrap/>
            <w:vAlign w:val="bottom"/>
            <w:hideMark/>
          </w:tcPr>
          <w:p w14:paraId="332E33D9"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Total Removals/Sequestration</w:t>
            </w:r>
          </w:p>
        </w:tc>
      </w:tr>
      <w:tr w:rsidR="00C27BFD" w:rsidRPr="00191ACB" w14:paraId="5F50AAE1" w14:textId="77777777" w:rsidTr="00C27BFD">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F5C3F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2382" w:type="dxa"/>
            <w:tcBorders>
              <w:top w:val="nil"/>
              <w:left w:val="nil"/>
              <w:bottom w:val="single" w:sz="4" w:space="0" w:color="auto"/>
              <w:right w:val="single" w:sz="4" w:space="0" w:color="auto"/>
            </w:tcBorders>
            <w:shd w:val="clear" w:color="auto" w:fill="auto"/>
            <w:noWrap/>
            <w:vAlign w:val="bottom"/>
            <w:hideMark/>
          </w:tcPr>
          <w:p w14:paraId="056C688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-16876.8</w:t>
            </w:r>
          </w:p>
        </w:tc>
        <w:tc>
          <w:tcPr>
            <w:tcW w:w="5140" w:type="dxa"/>
            <w:tcBorders>
              <w:top w:val="nil"/>
              <w:left w:val="nil"/>
              <w:bottom w:val="single" w:sz="4" w:space="0" w:color="auto"/>
              <w:right w:val="single" w:sz="4" w:space="0" w:color="auto"/>
            </w:tcBorders>
            <w:shd w:val="clear" w:color="auto" w:fill="auto"/>
            <w:noWrap/>
            <w:vAlign w:val="bottom"/>
            <w:hideMark/>
          </w:tcPr>
          <w:p w14:paraId="2AF3A012"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-137322.9</w:t>
            </w:r>
          </w:p>
        </w:tc>
      </w:tr>
      <w:tr w:rsidR="00C27BFD" w:rsidRPr="00191ACB" w14:paraId="369B3D83" w14:textId="77777777" w:rsidTr="00C27BFD">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B8597F"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2382" w:type="dxa"/>
            <w:tcBorders>
              <w:top w:val="nil"/>
              <w:left w:val="nil"/>
              <w:bottom w:val="single" w:sz="4" w:space="0" w:color="auto"/>
              <w:right w:val="single" w:sz="4" w:space="0" w:color="auto"/>
            </w:tcBorders>
            <w:shd w:val="clear" w:color="auto" w:fill="auto"/>
            <w:noWrap/>
            <w:vAlign w:val="bottom"/>
            <w:hideMark/>
          </w:tcPr>
          <w:p w14:paraId="1F4E3C39"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-6157.7</w:t>
            </w:r>
          </w:p>
        </w:tc>
        <w:tc>
          <w:tcPr>
            <w:tcW w:w="5140" w:type="dxa"/>
            <w:tcBorders>
              <w:top w:val="nil"/>
              <w:left w:val="nil"/>
              <w:bottom w:val="single" w:sz="4" w:space="0" w:color="auto"/>
              <w:right w:val="single" w:sz="4" w:space="0" w:color="auto"/>
            </w:tcBorders>
            <w:shd w:val="clear" w:color="auto" w:fill="auto"/>
            <w:noWrap/>
            <w:vAlign w:val="bottom"/>
            <w:hideMark/>
          </w:tcPr>
          <w:p w14:paraId="17691D71"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-132583.5</w:t>
            </w:r>
          </w:p>
        </w:tc>
      </w:tr>
      <w:tr w:rsidR="00C27BFD" w:rsidRPr="00191ACB" w14:paraId="36B2F158" w14:textId="77777777" w:rsidTr="00C27BFD">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938CAC"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2020</w:t>
            </w:r>
          </w:p>
        </w:tc>
        <w:tc>
          <w:tcPr>
            <w:tcW w:w="2382" w:type="dxa"/>
            <w:tcBorders>
              <w:top w:val="nil"/>
              <w:left w:val="nil"/>
              <w:bottom w:val="single" w:sz="4" w:space="0" w:color="auto"/>
              <w:right w:val="single" w:sz="4" w:space="0" w:color="auto"/>
            </w:tcBorders>
            <w:shd w:val="clear" w:color="auto" w:fill="auto"/>
            <w:noWrap/>
            <w:vAlign w:val="bottom"/>
            <w:hideMark/>
          </w:tcPr>
          <w:p w14:paraId="4388AAA1"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1288.2</w:t>
            </w:r>
          </w:p>
        </w:tc>
        <w:tc>
          <w:tcPr>
            <w:tcW w:w="5140" w:type="dxa"/>
            <w:tcBorders>
              <w:top w:val="nil"/>
              <w:left w:val="nil"/>
              <w:bottom w:val="single" w:sz="4" w:space="0" w:color="auto"/>
              <w:right w:val="single" w:sz="4" w:space="0" w:color="auto"/>
            </w:tcBorders>
            <w:shd w:val="clear" w:color="auto" w:fill="auto"/>
            <w:noWrap/>
            <w:vAlign w:val="bottom"/>
            <w:hideMark/>
          </w:tcPr>
          <w:p w14:paraId="6D06BDF9"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-128007.5</w:t>
            </w:r>
          </w:p>
        </w:tc>
      </w:tr>
      <w:tr w:rsidR="00C27BFD" w:rsidRPr="00191ACB" w14:paraId="4CC7BEB6" w14:textId="77777777" w:rsidTr="00C27BFD">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9E1886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2025</w:t>
            </w:r>
          </w:p>
        </w:tc>
        <w:tc>
          <w:tcPr>
            <w:tcW w:w="2382" w:type="dxa"/>
            <w:tcBorders>
              <w:top w:val="nil"/>
              <w:left w:val="nil"/>
              <w:bottom w:val="single" w:sz="4" w:space="0" w:color="auto"/>
              <w:right w:val="single" w:sz="4" w:space="0" w:color="auto"/>
            </w:tcBorders>
            <w:shd w:val="clear" w:color="auto" w:fill="auto"/>
            <w:noWrap/>
            <w:vAlign w:val="bottom"/>
            <w:hideMark/>
          </w:tcPr>
          <w:p w14:paraId="2C3B6DB4"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11254.0</w:t>
            </w:r>
          </w:p>
        </w:tc>
        <w:tc>
          <w:tcPr>
            <w:tcW w:w="5140" w:type="dxa"/>
            <w:tcBorders>
              <w:top w:val="nil"/>
              <w:left w:val="nil"/>
              <w:bottom w:val="single" w:sz="4" w:space="0" w:color="auto"/>
              <w:right w:val="single" w:sz="4" w:space="0" w:color="auto"/>
            </w:tcBorders>
            <w:shd w:val="clear" w:color="auto" w:fill="auto"/>
            <w:noWrap/>
            <w:vAlign w:val="bottom"/>
            <w:hideMark/>
          </w:tcPr>
          <w:p w14:paraId="7EEC5D64"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-123589.6</w:t>
            </w:r>
          </w:p>
        </w:tc>
      </w:tr>
      <w:tr w:rsidR="00C27BFD" w:rsidRPr="00191ACB" w14:paraId="09B9BC3B" w14:textId="77777777" w:rsidTr="00C27BFD">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5EC2FD9"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2030</w:t>
            </w:r>
          </w:p>
        </w:tc>
        <w:tc>
          <w:tcPr>
            <w:tcW w:w="2382" w:type="dxa"/>
            <w:tcBorders>
              <w:top w:val="nil"/>
              <w:left w:val="nil"/>
              <w:bottom w:val="single" w:sz="4" w:space="0" w:color="auto"/>
              <w:right w:val="single" w:sz="4" w:space="0" w:color="auto"/>
            </w:tcBorders>
            <w:shd w:val="clear" w:color="auto" w:fill="auto"/>
            <w:noWrap/>
            <w:vAlign w:val="bottom"/>
            <w:hideMark/>
          </w:tcPr>
          <w:p w14:paraId="70F4689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21411.9</w:t>
            </w:r>
          </w:p>
        </w:tc>
        <w:tc>
          <w:tcPr>
            <w:tcW w:w="5140" w:type="dxa"/>
            <w:tcBorders>
              <w:top w:val="nil"/>
              <w:left w:val="nil"/>
              <w:bottom w:val="single" w:sz="4" w:space="0" w:color="auto"/>
              <w:right w:val="single" w:sz="4" w:space="0" w:color="auto"/>
            </w:tcBorders>
            <w:shd w:val="clear" w:color="auto" w:fill="auto"/>
            <w:noWrap/>
            <w:vAlign w:val="bottom"/>
            <w:hideMark/>
          </w:tcPr>
          <w:p w14:paraId="6B5DD4C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-119324.1</w:t>
            </w:r>
          </w:p>
        </w:tc>
      </w:tr>
      <w:tr w:rsidR="00C27BFD" w:rsidRPr="00191ACB" w14:paraId="4B8836ED" w14:textId="77777777" w:rsidTr="00C27BFD">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576CB5F"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2035</w:t>
            </w:r>
          </w:p>
        </w:tc>
        <w:tc>
          <w:tcPr>
            <w:tcW w:w="2382" w:type="dxa"/>
            <w:tcBorders>
              <w:top w:val="nil"/>
              <w:left w:val="nil"/>
              <w:bottom w:val="single" w:sz="4" w:space="0" w:color="auto"/>
              <w:right w:val="single" w:sz="4" w:space="0" w:color="auto"/>
            </w:tcBorders>
            <w:shd w:val="clear" w:color="auto" w:fill="auto"/>
            <w:noWrap/>
            <w:vAlign w:val="bottom"/>
            <w:hideMark/>
          </w:tcPr>
          <w:p w14:paraId="2964CE3C"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31801.0</w:t>
            </w:r>
          </w:p>
        </w:tc>
        <w:tc>
          <w:tcPr>
            <w:tcW w:w="5140" w:type="dxa"/>
            <w:tcBorders>
              <w:top w:val="nil"/>
              <w:left w:val="nil"/>
              <w:bottom w:val="single" w:sz="4" w:space="0" w:color="auto"/>
              <w:right w:val="single" w:sz="4" w:space="0" w:color="auto"/>
            </w:tcBorders>
            <w:shd w:val="clear" w:color="auto" w:fill="auto"/>
            <w:noWrap/>
            <w:vAlign w:val="bottom"/>
            <w:hideMark/>
          </w:tcPr>
          <w:p w14:paraId="1B489BA8"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-115205.8</w:t>
            </w:r>
          </w:p>
        </w:tc>
      </w:tr>
      <w:tr w:rsidR="00C27BFD" w:rsidRPr="00191ACB" w14:paraId="0713AF5D" w14:textId="77777777" w:rsidTr="00C27BFD">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3AFF318"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2040</w:t>
            </w:r>
          </w:p>
        </w:tc>
        <w:tc>
          <w:tcPr>
            <w:tcW w:w="2382" w:type="dxa"/>
            <w:tcBorders>
              <w:top w:val="nil"/>
              <w:left w:val="nil"/>
              <w:bottom w:val="single" w:sz="4" w:space="0" w:color="auto"/>
              <w:right w:val="single" w:sz="4" w:space="0" w:color="auto"/>
            </w:tcBorders>
            <w:shd w:val="clear" w:color="auto" w:fill="auto"/>
            <w:noWrap/>
            <w:vAlign w:val="bottom"/>
            <w:hideMark/>
          </w:tcPr>
          <w:p w14:paraId="500DC71E"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42465.2</w:t>
            </w:r>
          </w:p>
        </w:tc>
        <w:tc>
          <w:tcPr>
            <w:tcW w:w="5140" w:type="dxa"/>
            <w:tcBorders>
              <w:top w:val="nil"/>
              <w:left w:val="nil"/>
              <w:bottom w:val="single" w:sz="4" w:space="0" w:color="auto"/>
              <w:right w:val="single" w:sz="4" w:space="0" w:color="auto"/>
            </w:tcBorders>
            <w:shd w:val="clear" w:color="auto" w:fill="auto"/>
            <w:noWrap/>
            <w:vAlign w:val="bottom"/>
            <w:hideMark/>
          </w:tcPr>
          <w:p w14:paraId="3B9CBD37"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-111229.6</w:t>
            </w:r>
          </w:p>
        </w:tc>
      </w:tr>
      <w:tr w:rsidR="00C27BFD" w:rsidRPr="00191ACB" w14:paraId="04E5332C" w14:textId="77777777" w:rsidTr="00C27BFD">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93B4819"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2045</w:t>
            </w:r>
          </w:p>
        </w:tc>
        <w:tc>
          <w:tcPr>
            <w:tcW w:w="2382" w:type="dxa"/>
            <w:tcBorders>
              <w:top w:val="nil"/>
              <w:left w:val="nil"/>
              <w:bottom w:val="single" w:sz="4" w:space="0" w:color="auto"/>
              <w:right w:val="single" w:sz="4" w:space="0" w:color="auto"/>
            </w:tcBorders>
            <w:shd w:val="clear" w:color="auto" w:fill="auto"/>
            <w:noWrap/>
            <w:vAlign w:val="bottom"/>
            <w:hideMark/>
          </w:tcPr>
          <w:p w14:paraId="12499B3C"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53454.6</w:t>
            </w:r>
          </w:p>
        </w:tc>
        <w:tc>
          <w:tcPr>
            <w:tcW w:w="5140" w:type="dxa"/>
            <w:tcBorders>
              <w:top w:val="nil"/>
              <w:left w:val="nil"/>
              <w:bottom w:val="single" w:sz="4" w:space="0" w:color="auto"/>
              <w:right w:val="single" w:sz="4" w:space="0" w:color="auto"/>
            </w:tcBorders>
            <w:shd w:val="clear" w:color="auto" w:fill="auto"/>
            <w:noWrap/>
            <w:vAlign w:val="bottom"/>
            <w:hideMark/>
          </w:tcPr>
          <w:p w14:paraId="2CD51075"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-107390.7</w:t>
            </w:r>
          </w:p>
        </w:tc>
      </w:tr>
      <w:tr w:rsidR="00C27BFD" w:rsidRPr="00191ACB" w14:paraId="569D1199" w14:textId="77777777" w:rsidTr="00C27BFD">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E8CA37"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2050</w:t>
            </w:r>
          </w:p>
        </w:tc>
        <w:tc>
          <w:tcPr>
            <w:tcW w:w="2382" w:type="dxa"/>
            <w:tcBorders>
              <w:top w:val="nil"/>
              <w:left w:val="nil"/>
              <w:bottom w:val="single" w:sz="4" w:space="0" w:color="auto"/>
              <w:right w:val="single" w:sz="4" w:space="0" w:color="auto"/>
            </w:tcBorders>
            <w:shd w:val="clear" w:color="auto" w:fill="auto"/>
            <w:noWrap/>
            <w:vAlign w:val="bottom"/>
            <w:hideMark/>
          </w:tcPr>
          <w:p w14:paraId="68A298C3"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64824.8</w:t>
            </w:r>
          </w:p>
        </w:tc>
        <w:tc>
          <w:tcPr>
            <w:tcW w:w="5140" w:type="dxa"/>
            <w:tcBorders>
              <w:top w:val="nil"/>
              <w:left w:val="nil"/>
              <w:bottom w:val="single" w:sz="4" w:space="0" w:color="auto"/>
              <w:right w:val="single" w:sz="4" w:space="0" w:color="auto"/>
            </w:tcBorders>
            <w:shd w:val="clear" w:color="auto" w:fill="auto"/>
            <w:noWrap/>
            <w:vAlign w:val="bottom"/>
            <w:hideMark/>
          </w:tcPr>
          <w:p w14:paraId="40CB698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-103684.3</w:t>
            </w:r>
          </w:p>
        </w:tc>
      </w:tr>
    </w:tbl>
    <w:p w14:paraId="62B91071"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p>
    <w:p w14:paraId="70B8B489" w14:textId="059590D0"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Under the baseline or business as usual, net emissions will increase from </w:t>
      </w:r>
      <w:r w:rsidRPr="00191ACB">
        <w:rPr>
          <w:rFonts w:ascii="Times New Roman" w:eastAsia="Times New Roman" w:hAnsi="Times New Roman" w:cs="Times New Roman"/>
          <w:color w:val="000000" w:themeColor="text1"/>
          <w:sz w:val="24"/>
          <w:szCs w:val="24"/>
        </w:rPr>
        <w:t>-16</w:t>
      </w:r>
      <w:r w:rsidR="00C67839" w:rsidRPr="00191ACB">
        <w:rPr>
          <w:rFonts w:ascii="Times New Roman" w:eastAsia="Times New Roman" w:hAnsi="Times New Roman" w:cs="Times New Roman"/>
          <w:color w:val="000000" w:themeColor="text1"/>
          <w:sz w:val="24"/>
          <w:szCs w:val="24"/>
        </w:rPr>
        <w:t>,</w:t>
      </w:r>
      <w:r w:rsidRPr="00191ACB">
        <w:rPr>
          <w:rFonts w:ascii="Times New Roman" w:eastAsia="Times New Roman" w:hAnsi="Times New Roman" w:cs="Times New Roman"/>
          <w:color w:val="000000" w:themeColor="text1"/>
          <w:sz w:val="24"/>
          <w:szCs w:val="24"/>
        </w:rPr>
        <w:t xml:space="preserve">876.8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w:t>
      </w:r>
      <w:r w:rsidR="00C67839" w:rsidRPr="00191ACB">
        <w:rPr>
          <w:rFonts w:ascii="Times New Roman" w:eastAsia="Calibri" w:hAnsi="Times New Roman" w:cs="Times New Roman"/>
          <w:color w:val="000000" w:themeColor="text1"/>
          <w:sz w:val="24"/>
          <w:szCs w:val="24"/>
          <w:vertAlign w:val="subscript"/>
        </w:rPr>
        <w:t xml:space="preserve"> </w:t>
      </w:r>
      <w:r w:rsidRPr="00191ACB">
        <w:rPr>
          <w:rFonts w:ascii="Times New Roman" w:eastAsia="Calibri" w:hAnsi="Times New Roman" w:cs="Times New Roman"/>
          <w:color w:val="000000" w:themeColor="text1"/>
          <w:sz w:val="24"/>
          <w:szCs w:val="24"/>
          <w:vertAlign w:val="subscript"/>
        </w:rPr>
        <w:t>eq</w:t>
      </w:r>
      <w:r w:rsidRPr="00191ACB">
        <w:rPr>
          <w:rFonts w:ascii="Times New Roman" w:eastAsia="Calibri" w:hAnsi="Times New Roman" w:cs="Times New Roman"/>
          <w:color w:val="000000" w:themeColor="text1"/>
          <w:sz w:val="24"/>
          <w:szCs w:val="24"/>
        </w:rPr>
        <w:t xml:space="preserve"> to </w:t>
      </w:r>
      <w:r w:rsidRPr="00191ACB">
        <w:rPr>
          <w:rFonts w:ascii="Times New Roman" w:eastAsia="Times New Roman" w:hAnsi="Times New Roman" w:cs="Times New Roman"/>
          <w:color w:val="000000" w:themeColor="text1"/>
          <w:sz w:val="24"/>
          <w:szCs w:val="24"/>
        </w:rPr>
        <w:t>64</w:t>
      </w:r>
      <w:r w:rsidR="00C67839" w:rsidRPr="00191ACB">
        <w:rPr>
          <w:rFonts w:ascii="Times New Roman" w:eastAsia="Times New Roman" w:hAnsi="Times New Roman" w:cs="Times New Roman"/>
          <w:color w:val="000000" w:themeColor="text1"/>
          <w:sz w:val="24"/>
          <w:szCs w:val="24"/>
        </w:rPr>
        <w:t>,</w:t>
      </w:r>
      <w:r w:rsidRPr="00191ACB">
        <w:rPr>
          <w:rFonts w:ascii="Times New Roman" w:eastAsia="Times New Roman" w:hAnsi="Times New Roman" w:cs="Times New Roman"/>
          <w:color w:val="000000" w:themeColor="text1"/>
          <w:sz w:val="24"/>
          <w:szCs w:val="24"/>
        </w:rPr>
        <w:t xml:space="preserve">824.8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w:t>
      </w:r>
      <w:r w:rsidR="00C67839" w:rsidRPr="00191ACB">
        <w:rPr>
          <w:rFonts w:ascii="Times New Roman" w:eastAsia="Calibri" w:hAnsi="Times New Roman" w:cs="Times New Roman"/>
          <w:color w:val="000000" w:themeColor="text1"/>
          <w:sz w:val="24"/>
          <w:szCs w:val="24"/>
          <w:vertAlign w:val="subscript"/>
        </w:rPr>
        <w:t xml:space="preserve"> </w:t>
      </w:r>
      <w:r w:rsidRPr="00191ACB">
        <w:rPr>
          <w:rFonts w:ascii="Times New Roman" w:eastAsia="Calibri" w:hAnsi="Times New Roman" w:cs="Times New Roman"/>
          <w:color w:val="000000" w:themeColor="text1"/>
          <w:sz w:val="24"/>
          <w:szCs w:val="24"/>
          <w:vertAlign w:val="subscript"/>
        </w:rPr>
        <w:t>eq.</w:t>
      </w:r>
      <w:r w:rsidRPr="00191ACB">
        <w:rPr>
          <w:rFonts w:ascii="Times New Roman" w:eastAsia="Calibri" w:hAnsi="Times New Roman" w:cs="Times New Roman"/>
          <w:color w:val="000000" w:themeColor="text1"/>
          <w:sz w:val="24"/>
          <w:szCs w:val="24"/>
        </w:rPr>
        <w:t xml:space="preserve"> in 2050. Analysis of projected emissions show that Zambia transitioned from net sink to net source in 2018.</w:t>
      </w:r>
    </w:p>
    <w:p w14:paraId="5A7C3292" w14:textId="77777777" w:rsidR="004678D3" w:rsidRPr="00191ACB" w:rsidRDefault="004678D3" w:rsidP="005E626A">
      <w:pPr>
        <w:spacing w:after="120" w:line="240" w:lineRule="auto"/>
        <w:jc w:val="both"/>
        <w:rPr>
          <w:rFonts w:ascii="Times New Roman" w:eastAsia="Calibri" w:hAnsi="Times New Roman" w:cs="Times New Roman"/>
          <w:color w:val="000000" w:themeColor="text1"/>
          <w:sz w:val="24"/>
          <w:szCs w:val="24"/>
        </w:rPr>
      </w:pPr>
    </w:p>
    <w:p w14:paraId="78F2E4C7" w14:textId="1719AFB7" w:rsidR="006E4714" w:rsidRPr="00191ACB" w:rsidRDefault="006E4714" w:rsidP="005D53F6">
      <w:pPr>
        <w:pStyle w:val="Heading4"/>
        <w:numPr>
          <w:ilvl w:val="3"/>
          <w:numId w:val="36"/>
        </w:numPr>
        <w:ind w:left="851" w:hanging="851"/>
      </w:pPr>
      <w:bookmarkStart w:id="349" w:name="_Toc13582216"/>
      <w:bookmarkStart w:id="350" w:name="_Toc26264924"/>
      <w:r w:rsidRPr="00191ACB">
        <w:t xml:space="preserve">Aggregate </w:t>
      </w:r>
      <w:r w:rsidR="007D3D9E" w:rsidRPr="00191ACB">
        <w:t>Mitigation</w:t>
      </w:r>
      <w:bookmarkEnd w:id="349"/>
      <w:r w:rsidR="007D3D9E" w:rsidRPr="00191ACB">
        <w:t xml:space="preserve"> Emissions</w:t>
      </w:r>
      <w:bookmarkEnd w:id="350"/>
    </w:p>
    <w:p w14:paraId="193F8D9F" w14:textId="47551966"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Scenario1 trajectory show that overall mitigation emissions are projected to increase from 1,450.6Gg CO</w:t>
      </w:r>
      <w:r w:rsidRPr="00191ACB">
        <w:rPr>
          <w:rFonts w:ascii="Times New Roman" w:eastAsia="Calibri" w:hAnsi="Times New Roman" w:cs="Times New Roman"/>
          <w:color w:val="000000" w:themeColor="text1"/>
          <w:sz w:val="24"/>
          <w:szCs w:val="24"/>
          <w:vertAlign w:val="subscript"/>
        </w:rPr>
        <w:t xml:space="preserve">2 eq. </w:t>
      </w:r>
      <w:r w:rsidRPr="00191ACB">
        <w:rPr>
          <w:rFonts w:ascii="Times New Roman" w:eastAsia="Calibri" w:hAnsi="Times New Roman" w:cs="Times New Roman"/>
          <w:color w:val="000000" w:themeColor="text1"/>
          <w:sz w:val="24"/>
          <w:szCs w:val="24"/>
        </w:rPr>
        <w:t xml:space="preserve">in 2015 to </w:t>
      </w:r>
      <w:r w:rsidRPr="00191ACB">
        <w:rPr>
          <w:rFonts w:ascii="Times New Roman" w:eastAsia="Times New Roman" w:hAnsi="Times New Roman" w:cs="Times New Roman"/>
          <w:color w:val="000000" w:themeColor="text1"/>
          <w:sz w:val="24"/>
          <w:szCs w:val="24"/>
        </w:rPr>
        <w:t>48</w:t>
      </w:r>
      <w:r w:rsidR="00C67839" w:rsidRPr="00191ACB">
        <w:rPr>
          <w:rFonts w:ascii="Times New Roman" w:eastAsia="Times New Roman" w:hAnsi="Times New Roman" w:cs="Times New Roman"/>
          <w:color w:val="000000" w:themeColor="text1"/>
          <w:sz w:val="24"/>
          <w:szCs w:val="24"/>
        </w:rPr>
        <w:t>,</w:t>
      </w:r>
      <w:r w:rsidRPr="00191ACB">
        <w:rPr>
          <w:rFonts w:ascii="Times New Roman" w:eastAsia="Times New Roman" w:hAnsi="Times New Roman" w:cs="Times New Roman"/>
          <w:color w:val="000000" w:themeColor="text1"/>
          <w:sz w:val="24"/>
          <w:szCs w:val="24"/>
        </w:rPr>
        <w:t>220.1</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 xml:space="preserve">2 eq. </w:t>
      </w:r>
      <w:r w:rsidRPr="00191ACB">
        <w:rPr>
          <w:rFonts w:ascii="Times New Roman" w:eastAsia="Calibri" w:hAnsi="Times New Roman" w:cs="Times New Roman"/>
          <w:color w:val="000000" w:themeColor="text1"/>
          <w:sz w:val="24"/>
          <w:szCs w:val="24"/>
        </w:rPr>
        <w:t>in 2050. Scenario 2 mitigation pathway indicator mitigation emissions will increase substantially from 1,450.6Gg CO</w:t>
      </w:r>
      <w:r w:rsidRPr="00191ACB">
        <w:rPr>
          <w:rFonts w:ascii="Times New Roman" w:eastAsia="Calibri" w:hAnsi="Times New Roman" w:cs="Times New Roman"/>
          <w:color w:val="000000" w:themeColor="text1"/>
          <w:sz w:val="24"/>
          <w:szCs w:val="24"/>
          <w:vertAlign w:val="subscript"/>
        </w:rPr>
        <w:t xml:space="preserve">2 eq. </w:t>
      </w:r>
      <w:r w:rsidRPr="00191ACB">
        <w:rPr>
          <w:rFonts w:ascii="Times New Roman" w:eastAsia="Calibri" w:hAnsi="Times New Roman" w:cs="Times New Roman"/>
          <w:color w:val="000000" w:themeColor="text1"/>
          <w:sz w:val="24"/>
          <w:szCs w:val="24"/>
        </w:rPr>
        <w:t xml:space="preserve">in 2015 to </w:t>
      </w:r>
      <w:r w:rsidRPr="00191ACB">
        <w:rPr>
          <w:rFonts w:ascii="Times New Roman" w:eastAsia="Times New Roman" w:hAnsi="Times New Roman" w:cs="Times New Roman"/>
          <w:color w:val="000000" w:themeColor="text1"/>
          <w:sz w:val="24"/>
          <w:szCs w:val="24"/>
        </w:rPr>
        <w:t xml:space="preserve">92,779.0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 xml:space="preserve">2 eq. </w:t>
      </w:r>
      <w:r w:rsidRPr="00191ACB">
        <w:rPr>
          <w:rFonts w:ascii="Times New Roman" w:eastAsia="Calibri" w:hAnsi="Times New Roman" w:cs="Times New Roman"/>
          <w:color w:val="000000" w:themeColor="text1"/>
          <w:sz w:val="24"/>
          <w:szCs w:val="24"/>
        </w:rPr>
        <w:t>in 2050 compared to scenario 1. Scenario 3 pathway shows greater ambition with projected emissions from 1,450.6 Gg CO</w:t>
      </w:r>
      <w:r w:rsidRPr="00191ACB">
        <w:rPr>
          <w:rFonts w:ascii="Times New Roman" w:eastAsia="Calibri" w:hAnsi="Times New Roman" w:cs="Times New Roman"/>
          <w:color w:val="000000" w:themeColor="text1"/>
          <w:sz w:val="24"/>
          <w:szCs w:val="24"/>
          <w:vertAlign w:val="subscript"/>
        </w:rPr>
        <w:t xml:space="preserve">2 eq. </w:t>
      </w:r>
      <w:r w:rsidRPr="00191ACB">
        <w:rPr>
          <w:rFonts w:ascii="Times New Roman" w:eastAsia="Calibri" w:hAnsi="Times New Roman" w:cs="Times New Roman"/>
          <w:color w:val="000000" w:themeColor="text1"/>
          <w:sz w:val="24"/>
          <w:szCs w:val="24"/>
        </w:rPr>
        <w:t xml:space="preserve">in 2015 to </w:t>
      </w:r>
      <w:r w:rsidRPr="00191ACB">
        <w:rPr>
          <w:rFonts w:ascii="Times New Roman" w:eastAsia="Times New Roman" w:hAnsi="Times New Roman" w:cs="Times New Roman"/>
          <w:color w:val="000000" w:themeColor="text1"/>
          <w:sz w:val="24"/>
          <w:szCs w:val="24"/>
        </w:rPr>
        <w:t>129</w:t>
      </w:r>
      <w:r w:rsidR="00C67839" w:rsidRPr="00191ACB">
        <w:rPr>
          <w:rFonts w:ascii="Times New Roman" w:eastAsia="Times New Roman" w:hAnsi="Times New Roman" w:cs="Times New Roman"/>
          <w:color w:val="000000" w:themeColor="text1"/>
          <w:sz w:val="24"/>
          <w:szCs w:val="24"/>
        </w:rPr>
        <w:t>,</w:t>
      </w:r>
      <w:r w:rsidRPr="00191ACB">
        <w:rPr>
          <w:rFonts w:ascii="Times New Roman" w:eastAsia="Times New Roman" w:hAnsi="Times New Roman" w:cs="Times New Roman"/>
          <w:color w:val="000000" w:themeColor="text1"/>
          <w:sz w:val="24"/>
          <w:szCs w:val="24"/>
        </w:rPr>
        <w:t>058.7</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 xml:space="preserve">2 eq. </w:t>
      </w:r>
      <w:r w:rsidRPr="00191ACB">
        <w:rPr>
          <w:rFonts w:ascii="Times New Roman" w:eastAsia="Calibri" w:hAnsi="Times New Roman" w:cs="Times New Roman"/>
          <w:color w:val="000000" w:themeColor="text1"/>
          <w:sz w:val="24"/>
          <w:szCs w:val="24"/>
        </w:rPr>
        <w:t>in 2050 (</w:t>
      </w:r>
      <w:r w:rsidR="00D7105F" w:rsidRPr="00191ACB">
        <w:rPr>
          <w:rFonts w:ascii="Times New Roman" w:eastAsia="Calibri" w:hAnsi="Times New Roman" w:cs="Times New Roman"/>
          <w:color w:val="000000" w:themeColor="text1"/>
          <w:sz w:val="24"/>
          <w:szCs w:val="24"/>
        </w:rPr>
        <w:t>Table 4.6</w:t>
      </w:r>
      <w:r w:rsidRPr="00191ACB">
        <w:rPr>
          <w:rFonts w:ascii="Times New Roman" w:eastAsia="Calibri" w:hAnsi="Times New Roman" w:cs="Times New Roman"/>
          <w:color w:val="000000" w:themeColor="text1"/>
          <w:sz w:val="24"/>
          <w:szCs w:val="24"/>
        </w:rPr>
        <w:t xml:space="preserve">). </w:t>
      </w:r>
    </w:p>
    <w:p w14:paraId="3628D2D2" w14:textId="77777777" w:rsidR="006E4714" w:rsidRPr="00191ACB" w:rsidRDefault="006E471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572C95C2" w14:textId="77F9D839" w:rsidR="006E4714" w:rsidRPr="00191ACB" w:rsidRDefault="00C319A4" w:rsidP="00C319A4">
      <w:pPr>
        <w:pStyle w:val="Caption"/>
        <w:rPr>
          <w:rFonts w:eastAsia="Calibri"/>
          <w:color w:val="000000" w:themeColor="text1"/>
          <w:sz w:val="24"/>
          <w:szCs w:val="24"/>
        </w:rPr>
      </w:pPr>
      <w:bookmarkStart w:id="351" w:name="_Toc56583782"/>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6</w:t>
      </w:r>
      <w:r w:rsidR="00875942">
        <w:rPr>
          <w:sz w:val="24"/>
          <w:szCs w:val="24"/>
        </w:rPr>
        <w:fldChar w:fldCharType="end"/>
      </w:r>
      <w:r w:rsidRPr="00191ACB">
        <w:rPr>
          <w:sz w:val="24"/>
          <w:szCs w:val="24"/>
        </w:rPr>
        <w:t>:Projected annual emissions for each scenario</w:t>
      </w:r>
      <w:bookmarkEnd w:id="351"/>
    </w:p>
    <w:tbl>
      <w:tblPr>
        <w:tblW w:w="4997" w:type="pct"/>
        <w:tblLook w:val="04A0" w:firstRow="1" w:lastRow="0" w:firstColumn="1" w:lastColumn="0" w:noHBand="0" w:noVBand="1"/>
      </w:tblPr>
      <w:tblGrid>
        <w:gridCol w:w="1625"/>
        <w:gridCol w:w="616"/>
        <w:gridCol w:w="797"/>
        <w:gridCol w:w="908"/>
        <w:gridCol w:w="908"/>
        <w:gridCol w:w="908"/>
        <w:gridCol w:w="908"/>
        <w:gridCol w:w="1021"/>
        <w:gridCol w:w="1021"/>
        <w:gridCol w:w="1021"/>
      </w:tblGrid>
      <w:tr w:rsidR="006E4714" w:rsidRPr="00350268" w14:paraId="016ED76F" w14:textId="77777777" w:rsidTr="002C5967">
        <w:trPr>
          <w:trHeight w:val="288"/>
        </w:trPr>
        <w:tc>
          <w:tcPr>
            <w:tcW w:w="85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7A1AA7" w14:textId="77777777" w:rsidR="006E4714" w:rsidRPr="00350268" w:rsidRDefault="006E4714" w:rsidP="005E626A">
            <w:pPr>
              <w:spacing w:after="120" w:line="240" w:lineRule="auto"/>
              <w:rPr>
                <w:rFonts w:ascii="Times New Roman" w:eastAsia="Times New Roman" w:hAnsi="Times New Roman" w:cs="Times New Roman"/>
                <w:color w:val="000000" w:themeColor="text1"/>
                <w:sz w:val="20"/>
                <w:szCs w:val="20"/>
              </w:rPr>
            </w:pPr>
          </w:p>
        </w:tc>
        <w:tc>
          <w:tcPr>
            <w:tcW w:w="168" w:type="pct"/>
            <w:tcBorders>
              <w:top w:val="single" w:sz="4" w:space="0" w:color="auto"/>
              <w:left w:val="single" w:sz="4" w:space="0" w:color="auto"/>
              <w:bottom w:val="single" w:sz="4" w:space="0" w:color="auto"/>
              <w:right w:val="single" w:sz="4" w:space="0" w:color="auto"/>
            </w:tcBorders>
            <w:noWrap/>
          </w:tcPr>
          <w:p w14:paraId="3B5D5714"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hAnsi="Times New Roman" w:cs="Times New Roman"/>
                <w:b/>
                <w:color w:val="000000" w:themeColor="text1"/>
                <w:sz w:val="20"/>
                <w:szCs w:val="20"/>
              </w:rPr>
              <w:t>2010</w:t>
            </w:r>
          </w:p>
        </w:tc>
        <w:tc>
          <w:tcPr>
            <w:tcW w:w="426" w:type="pct"/>
            <w:tcBorders>
              <w:top w:val="single" w:sz="4" w:space="0" w:color="auto"/>
              <w:left w:val="single" w:sz="4" w:space="0" w:color="auto"/>
              <w:bottom w:val="single" w:sz="4" w:space="0" w:color="auto"/>
              <w:right w:val="single" w:sz="4" w:space="0" w:color="auto"/>
            </w:tcBorders>
            <w:noWrap/>
          </w:tcPr>
          <w:p w14:paraId="06E26F03"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hAnsi="Times New Roman" w:cs="Times New Roman"/>
                <w:b/>
                <w:color w:val="000000" w:themeColor="text1"/>
                <w:sz w:val="20"/>
                <w:szCs w:val="20"/>
              </w:rPr>
              <w:t>2015</w:t>
            </w:r>
          </w:p>
        </w:tc>
        <w:tc>
          <w:tcPr>
            <w:tcW w:w="483" w:type="pct"/>
            <w:tcBorders>
              <w:top w:val="single" w:sz="4" w:space="0" w:color="auto"/>
              <w:left w:val="single" w:sz="4" w:space="0" w:color="auto"/>
              <w:bottom w:val="single" w:sz="4" w:space="0" w:color="auto"/>
              <w:right w:val="single" w:sz="4" w:space="0" w:color="auto"/>
            </w:tcBorders>
            <w:noWrap/>
          </w:tcPr>
          <w:p w14:paraId="37C98A47"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hAnsi="Times New Roman" w:cs="Times New Roman"/>
                <w:b/>
                <w:color w:val="000000" w:themeColor="text1"/>
                <w:sz w:val="20"/>
                <w:szCs w:val="20"/>
              </w:rPr>
              <w:t>2020</w:t>
            </w:r>
          </w:p>
        </w:tc>
        <w:tc>
          <w:tcPr>
            <w:tcW w:w="483" w:type="pct"/>
            <w:tcBorders>
              <w:top w:val="single" w:sz="4" w:space="0" w:color="auto"/>
              <w:left w:val="single" w:sz="4" w:space="0" w:color="auto"/>
              <w:bottom w:val="single" w:sz="4" w:space="0" w:color="auto"/>
              <w:right w:val="single" w:sz="4" w:space="0" w:color="auto"/>
            </w:tcBorders>
            <w:noWrap/>
          </w:tcPr>
          <w:p w14:paraId="49CA8482"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hAnsi="Times New Roman" w:cs="Times New Roman"/>
                <w:b/>
                <w:color w:val="000000" w:themeColor="text1"/>
                <w:sz w:val="20"/>
                <w:szCs w:val="20"/>
              </w:rPr>
              <w:t>2025</w:t>
            </w:r>
          </w:p>
        </w:tc>
        <w:tc>
          <w:tcPr>
            <w:tcW w:w="483" w:type="pct"/>
            <w:tcBorders>
              <w:top w:val="single" w:sz="4" w:space="0" w:color="auto"/>
              <w:left w:val="single" w:sz="4" w:space="0" w:color="auto"/>
              <w:bottom w:val="single" w:sz="4" w:space="0" w:color="auto"/>
              <w:right w:val="single" w:sz="4" w:space="0" w:color="auto"/>
            </w:tcBorders>
            <w:noWrap/>
          </w:tcPr>
          <w:p w14:paraId="794A4A56"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hAnsi="Times New Roman" w:cs="Times New Roman"/>
                <w:b/>
                <w:color w:val="000000" w:themeColor="text1"/>
                <w:sz w:val="20"/>
                <w:szCs w:val="20"/>
              </w:rPr>
              <w:t>2030</w:t>
            </w:r>
          </w:p>
        </w:tc>
        <w:tc>
          <w:tcPr>
            <w:tcW w:w="483" w:type="pct"/>
            <w:tcBorders>
              <w:top w:val="single" w:sz="4" w:space="0" w:color="auto"/>
              <w:left w:val="single" w:sz="4" w:space="0" w:color="auto"/>
              <w:bottom w:val="single" w:sz="4" w:space="0" w:color="auto"/>
              <w:right w:val="single" w:sz="4" w:space="0" w:color="auto"/>
            </w:tcBorders>
            <w:noWrap/>
          </w:tcPr>
          <w:p w14:paraId="3212C0A6"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hAnsi="Times New Roman" w:cs="Times New Roman"/>
                <w:b/>
                <w:color w:val="000000" w:themeColor="text1"/>
                <w:sz w:val="20"/>
                <w:szCs w:val="20"/>
              </w:rPr>
              <w:t>2035</w:t>
            </w:r>
          </w:p>
        </w:tc>
        <w:tc>
          <w:tcPr>
            <w:tcW w:w="541" w:type="pct"/>
            <w:tcBorders>
              <w:top w:val="single" w:sz="4" w:space="0" w:color="auto"/>
              <w:left w:val="single" w:sz="4" w:space="0" w:color="auto"/>
              <w:bottom w:val="single" w:sz="4" w:space="0" w:color="auto"/>
              <w:right w:val="single" w:sz="4" w:space="0" w:color="auto"/>
            </w:tcBorders>
            <w:noWrap/>
          </w:tcPr>
          <w:p w14:paraId="14758071"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hAnsi="Times New Roman" w:cs="Times New Roman"/>
                <w:b/>
                <w:color w:val="000000" w:themeColor="text1"/>
                <w:sz w:val="20"/>
                <w:szCs w:val="20"/>
              </w:rPr>
              <w:t>2040</w:t>
            </w:r>
          </w:p>
        </w:tc>
        <w:tc>
          <w:tcPr>
            <w:tcW w:w="541" w:type="pct"/>
            <w:tcBorders>
              <w:top w:val="single" w:sz="4" w:space="0" w:color="auto"/>
              <w:left w:val="single" w:sz="4" w:space="0" w:color="auto"/>
              <w:bottom w:val="single" w:sz="4" w:space="0" w:color="auto"/>
              <w:right w:val="single" w:sz="4" w:space="0" w:color="auto"/>
            </w:tcBorders>
            <w:noWrap/>
          </w:tcPr>
          <w:p w14:paraId="7ACD243F"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hAnsi="Times New Roman" w:cs="Times New Roman"/>
                <w:b/>
                <w:color w:val="000000" w:themeColor="text1"/>
                <w:sz w:val="20"/>
                <w:szCs w:val="20"/>
              </w:rPr>
              <w:t>2045</w:t>
            </w:r>
          </w:p>
        </w:tc>
        <w:tc>
          <w:tcPr>
            <w:tcW w:w="541" w:type="pct"/>
            <w:tcBorders>
              <w:top w:val="single" w:sz="4" w:space="0" w:color="auto"/>
              <w:left w:val="single" w:sz="4" w:space="0" w:color="auto"/>
              <w:bottom w:val="single" w:sz="4" w:space="0" w:color="auto"/>
              <w:right w:val="single" w:sz="4" w:space="0" w:color="auto"/>
            </w:tcBorders>
            <w:noWrap/>
          </w:tcPr>
          <w:p w14:paraId="2AF483BE"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hAnsi="Times New Roman" w:cs="Times New Roman"/>
                <w:b/>
                <w:color w:val="000000" w:themeColor="text1"/>
                <w:sz w:val="20"/>
                <w:szCs w:val="20"/>
              </w:rPr>
              <w:t>2050</w:t>
            </w:r>
          </w:p>
        </w:tc>
      </w:tr>
      <w:tr w:rsidR="006E4714" w:rsidRPr="00350268" w14:paraId="115260C2" w14:textId="77777777" w:rsidTr="002C5967">
        <w:trPr>
          <w:trHeight w:val="288"/>
        </w:trPr>
        <w:tc>
          <w:tcPr>
            <w:tcW w:w="8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4B74C6" w14:textId="77777777" w:rsidR="006E4714" w:rsidRPr="00350268" w:rsidRDefault="006E471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Scenario 1</w:t>
            </w:r>
          </w:p>
        </w:tc>
        <w:tc>
          <w:tcPr>
            <w:tcW w:w="168" w:type="pct"/>
            <w:tcBorders>
              <w:top w:val="single" w:sz="4" w:space="0" w:color="auto"/>
              <w:left w:val="nil"/>
              <w:bottom w:val="single" w:sz="4" w:space="0" w:color="auto"/>
              <w:right w:val="single" w:sz="4" w:space="0" w:color="auto"/>
            </w:tcBorders>
            <w:shd w:val="clear" w:color="auto" w:fill="auto"/>
            <w:noWrap/>
            <w:vAlign w:val="bottom"/>
            <w:hideMark/>
          </w:tcPr>
          <w:p w14:paraId="2DCB934B"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0</w:t>
            </w:r>
          </w:p>
        </w:tc>
        <w:tc>
          <w:tcPr>
            <w:tcW w:w="426" w:type="pct"/>
            <w:tcBorders>
              <w:top w:val="single" w:sz="4" w:space="0" w:color="auto"/>
              <w:left w:val="nil"/>
              <w:bottom w:val="single" w:sz="4" w:space="0" w:color="auto"/>
              <w:right w:val="single" w:sz="4" w:space="0" w:color="auto"/>
            </w:tcBorders>
            <w:shd w:val="clear" w:color="auto" w:fill="auto"/>
            <w:noWrap/>
            <w:vAlign w:val="bottom"/>
            <w:hideMark/>
          </w:tcPr>
          <w:p w14:paraId="75DE6E89"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1450.6</w:t>
            </w:r>
          </w:p>
        </w:tc>
        <w:tc>
          <w:tcPr>
            <w:tcW w:w="483" w:type="pct"/>
            <w:tcBorders>
              <w:top w:val="single" w:sz="4" w:space="0" w:color="auto"/>
              <w:left w:val="nil"/>
              <w:bottom w:val="single" w:sz="4" w:space="0" w:color="auto"/>
              <w:right w:val="single" w:sz="4" w:space="0" w:color="auto"/>
            </w:tcBorders>
            <w:shd w:val="clear" w:color="auto" w:fill="auto"/>
            <w:noWrap/>
            <w:vAlign w:val="bottom"/>
            <w:hideMark/>
          </w:tcPr>
          <w:p w14:paraId="71436E7F"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3157.8</w:t>
            </w:r>
          </w:p>
        </w:tc>
        <w:tc>
          <w:tcPr>
            <w:tcW w:w="483" w:type="pct"/>
            <w:tcBorders>
              <w:top w:val="single" w:sz="4" w:space="0" w:color="auto"/>
              <w:left w:val="nil"/>
              <w:bottom w:val="single" w:sz="4" w:space="0" w:color="auto"/>
              <w:right w:val="single" w:sz="4" w:space="0" w:color="auto"/>
            </w:tcBorders>
            <w:shd w:val="clear" w:color="auto" w:fill="auto"/>
            <w:noWrap/>
            <w:vAlign w:val="bottom"/>
            <w:hideMark/>
          </w:tcPr>
          <w:p w14:paraId="42F2F5F2"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14134.0</w:t>
            </w:r>
          </w:p>
        </w:tc>
        <w:tc>
          <w:tcPr>
            <w:tcW w:w="483" w:type="pct"/>
            <w:tcBorders>
              <w:top w:val="single" w:sz="4" w:space="0" w:color="auto"/>
              <w:left w:val="nil"/>
              <w:bottom w:val="single" w:sz="4" w:space="0" w:color="auto"/>
              <w:right w:val="single" w:sz="4" w:space="0" w:color="auto"/>
            </w:tcBorders>
            <w:shd w:val="clear" w:color="auto" w:fill="auto"/>
            <w:noWrap/>
            <w:vAlign w:val="bottom"/>
            <w:hideMark/>
          </w:tcPr>
          <w:p w14:paraId="7DD22FD5"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32256.5</w:t>
            </w:r>
          </w:p>
        </w:tc>
        <w:tc>
          <w:tcPr>
            <w:tcW w:w="483" w:type="pct"/>
            <w:tcBorders>
              <w:top w:val="single" w:sz="4" w:space="0" w:color="auto"/>
              <w:left w:val="nil"/>
              <w:bottom w:val="single" w:sz="4" w:space="0" w:color="auto"/>
              <w:right w:val="single" w:sz="4" w:space="0" w:color="auto"/>
            </w:tcBorders>
            <w:shd w:val="clear" w:color="auto" w:fill="auto"/>
            <w:noWrap/>
            <w:vAlign w:val="bottom"/>
            <w:hideMark/>
          </w:tcPr>
          <w:p w14:paraId="0382064E"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42245.5</w:t>
            </w:r>
          </w:p>
        </w:tc>
        <w:tc>
          <w:tcPr>
            <w:tcW w:w="541" w:type="pct"/>
            <w:tcBorders>
              <w:top w:val="single" w:sz="4" w:space="0" w:color="auto"/>
              <w:left w:val="nil"/>
              <w:bottom w:val="single" w:sz="4" w:space="0" w:color="auto"/>
              <w:right w:val="single" w:sz="4" w:space="0" w:color="auto"/>
            </w:tcBorders>
            <w:shd w:val="clear" w:color="auto" w:fill="auto"/>
            <w:noWrap/>
            <w:vAlign w:val="bottom"/>
            <w:hideMark/>
          </w:tcPr>
          <w:p w14:paraId="2E387EA2"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45904.1</w:t>
            </w:r>
          </w:p>
        </w:tc>
        <w:tc>
          <w:tcPr>
            <w:tcW w:w="541" w:type="pct"/>
            <w:tcBorders>
              <w:top w:val="single" w:sz="4" w:space="0" w:color="auto"/>
              <w:left w:val="nil"/>
              <w:bottom w:val="single" w:sz="4" w:space="0" w:color="auto"/>
              <w:right w:val="single" w:sz="4" w:space="0" w:color="auto"/>
            </w:tcBorders>
            <w:shd w:val="clear" w:color="auto" w:fill="auto"/>
            <w:noWrap/>
            <w:vAlign w:val="bottom"/>
            <w:hideMark/>
          </w:tcPr>
          <w:p w14:paraId="485ECB57"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47062.1</w:t>
            </w:r>
          </w:p>
        </w:tc>
        <w:tc>
          <w:tcPr>
            <w:tcW w:w="541" w:type="pct"/>
            <w:tcBorders>
              <w:top w:val="single" w:sz="4" w:space="0" w:color="auto"/>
              <w:left w:val="nil"/>
              <w:bottom w:val="single" w:sz="4" w:space="0" w:color="auto"/>
              <w:right w:val="single" w:sz="4" w:space="0" w:color="auto"/>
            </w:tcBorders>
            <w:shd w:val="clear" w:color="auto" w:fill="auto"/>
            <w:noWrap/>
            <w:vAlign w:val="bottom"/>
            <w:hideMark/>
          </w:tcPr>
          <w:p w14:paraId="77ABB52C"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48220.1</w:t>
            </w:r>
          </w:p>
        </w:tc>
      </w:tr>
      <w:tr w:rsidR="006E4714" w:rsidRPr="00350268" w14:paraId="3E379C55" w14:textId="77777777" w:rsidTr="002C5967">
        <w:trPr>
          <w:trHeight w:val="288"/>
        </w:trPr>
        <w:tc>
          <w:tcPr>
            <w:tcW w:w="851" w:type="pct"/>
            <w:tcBorders>
              <w:top w:val="nil"/>
              <w:left w:val="single" w:sz="4" w:space="0" w:color="auto"/>
              <w:bottom w:val="single" w:sz="4" w:space="0" w:color="auto"/>
              <w:right w:val="single" w:sz="4" w:space="0" w:color="auto"/>
            </w:tcBorders>
            <w:shd w:val="clear" w:color="auto" w:fill="auto"/>
            <w:noWrap/>
            <w:vAlign w:val="bottom"/>
            <w:hideMark/>
          </w:tcPr>
          <w:p w14:paraId="2056AB0D" w14:textId="77777777" w:rsidR="006E4714" w:rsidRPr="00350268" w:rsidRDefault="006E471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Scenario 2</w:t>
            </w:r>
          </w:p>
        </w:tc>
        <w:tc>
          <w:tcPr>
            <w:tcW w:w="168" w:type="pct"/>
            <w:tcBorders>
              <w:top w:val="nil"/>
              <w:left w:val="nil"/>
              <w:bottom w:val="single" w:sz="4" w:space="0" w:color="auto"/>
              <w:right w:val="single" w:sz="4" w:space="0" w:color="auto"/>
            </w:tcBorders>
            <w:shd w:val="clear" w:color="auto" w:fill="auto"/>
            <w:noWrap/>
            <w:vAlign w:val="bottom"/>
            <w:hideMark/>
          </w:tcPr>
          <w:p w14:paraId="37ECCA85"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0</w:t>
            </w:r>
          </w:p>
        </w:tc>
        <w:tc>
          <w:tcPr>
            <w:tcW w:w="426" w:type="pct"/>
            <w:tcBorders>
              <w:top w:val="nil"/>
              <w:left w:val="nil"/>
              <w:bottom w:val="single" w:sz="4" w:space="0" w:color="auto"/>
              <w:right w:val="single" w:sz="4" w:space="0" w:color="auto"/>
            </w:tcBorders>
            <w:shd w:val="clear" w:color="auto" w:fill="auto"/>
            <w:noWrap/>
            <w:vAlign w:val="bottom"/>
            <w:hideMark/>
          </w:tcPr>
          <w:p w14:paraId="12221E05"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1450.6</w:t>
            </w:r>
          </w:p>
        </w:tc>
        <w:tc>
          <w:tcPr>
            <w:tcW w:w="483" w:type="pct"/>
            <w:tcBorders>
              <w:top w:val="nil"/>
              <w:left w:val="nil"/>
              <w:bottom w:val="single" w:sz="4" w:space="0" w:color="auto"/>
              <w:right w:val="single" w:sz="4" w:space="0" w:color="auto"/>
            </w:tcBorders>
            <w:shd w:val="clear" w:color="auto" w:fill="auto"/>
            <w:noWrap/>
            <w:vAlign w:val="bottom"/>
            <w:hideMark/>
          </w:tcPr>
          <w:p w14:paraId="41E66727"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13539.7</w:t>
            </w:r>
          </w:p>
        </w:tc>
        <w:tc>
          <w:tcPr>
            <w:tcW w:w="483" w:type="pct"/>
            <w:tcBorders>
              <w:top w:val="nil"/>
              <w:left w:val="nil"/>
              <w:bottom w:val="single" w:sz="4" w:space="0" w:color="auto"/>
              <w:right w:val="single" w:sz="4" w:space="0" w:color="auto"/>
            </w:tcBorders>
            <w:shd w:val="clear" w:color="auto" w:fill="auto"/>
            <w:noWrap/>
            <w:vAlign w:val="bottom"/>
            <w:hideMark/>
          </w:tcPr>
          <w:p w14:paraId="3F102BFE"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32908.9</w:t>
            </w:r>
          </w:p>
        </w:tc>
        <w:tc>
          <w:tcPr>
            <w:tcW w:w="483" w:type="pct"/>
            <w:tcBorders>
              <w:top w:val="nil"/>
              <w:left w:val="nil"/>
              <w:bottom w:val="single" w:sz="4" w:space="0" w:color="auto"/>
              <w:right w:val="single" w:sz="4" w:space="0" w:color="auto"/>
            </w:tcBorders>
            <w:shd w:val="clear" w:color="auto" w:fill="auto"/>
            <w:noWrap/>
            <w:vAlign w:val="bottom"/>
            <w:hideMark/>
          </w:tcPr>
          <w:p w14:paraId="6A748D88"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56201.4</w:t>
            </w:r>
          </w:p>
        </w:tc>
        <w:tc>
          <w:tcPr>
            <w:tcW w:w="483" w:type="pct"/>
            <w:tcBorders>
              <w:top w:val="nil"/>
              <w:left w:val="nil"/>
              <w:bottom w:val="single" w:sz="4" w:space="0" w:color="auto"/>
              <w:right w:val="single" w:sz="4" w:space="0" w:color="auto"/>
            </w:tcBorders>
            <w:shd w:val="clear" w:color="auto" w:fill="auto"/>
            <w:noWrap/>
            <w:vAlign w:val="bottom"/>
            <w:hideMark/>
          </w:tcPr>
          <w:p w14:paraId="14668794"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71342.4</w:t>
            </w:r>
          </w:p>
        </w:tc>
        <w:tc>
          <w:tcPr>
            <w:tcW w:w="541" w:type="pct"/>
            <w:tcBorders>
              <w:top w:val="nil"/>
              <w:left w:val="nil"/>
              <w:bottom w:val="single" w:sz="4" w:space="0" w:color="auto"/>
              <w:right w:val="single" w:sz="4" w:space="0" w:color="auto"/>
            </w:tcBorders>
            <w:shd w:val="clear" w:color="auto" w:fill="auto"/>
            <w:noWrap/>
            <w:vAlign w:val="bottom"/>
            <w:hideMark/>
          </w:tcPr>
          <w:p w14:paraId="3C6C0531"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80153.9</w:t>
            </w:r>
          </w:p>
        </w:tc>
        <w:tc>
          <w:tcPr>
            <w:tcW w:w="541" w:type="pct"/>
            <w:tcBorders>
              <w:top w:val="nil"/>
              <w:left w:val="nil"/>
              <w:bottom w:val="single" w:sz="4" w:space="0" w:color="auto"/>
              <w:right w:val="single" w:sz="4" w:space="0" w:color="auto"/>
            </w:tcBorders>
            <w:shd w:val="clear" w:color="auto" w:fill="auto"/>
            <w:noWrap/>
            <w:vAlign w:val="bottom"/>
            <w:hideMark/>
          </w:tcPr>
          <w:p w14:paraId="17100D22"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86465.9</w:t>
            </w:r>
          </w:p>
        </w:tc>
        <w:tc>
          <w:tcPr>
            <w:tcW w:w="541" w:type="pct"/>
            <w:tcBorders>
              <w:top w:val="nil"/>
              <w:left w:val="nil"/>
              <w:bottom w:val="single" w:sz="4" w:space="0" w:color="auto"/>
              <w:right w:val="single" w:sz="4" w:space="0" w:color="auto"/>
            </w:tcBorders>
            <w:shd w:val="clear" w:color="auto" w:fill="auto"/>
            <w:noWrap/>
            <w:vAlign w:val="bottom"/>
            <w:hideMark/>
          </w:tcPr>
          <w:p w14:paraId="5DD48D25"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92779.0</w:t>
            </w:r>
          </w:p>
        </w:tc>
      </w:tr>
      <w:tr w:rsidR="006E4714" w:rsidRPr="00350268" w14:paraId="516F6BCF" w14:textId="77777777" w:rsidTr="002C5967">
        <w:trPr>
          <w:trHeight w:val="288"/>
        </w:trPr>
        <w:tc>
          <w:tcPr>
            <w:tcW w:w="851" w:type="pct"/>
            <w:tcBorders>
              <w:top w:val="nil"/>
              <w:left w:val="single" w:sz="4" w:space="0" w:color="auto"/>
              <w:bottom w:val="single" w:sz="4" w:space="0" w:color="auto"/>
              <w:right w:val="single" w:sz="4" w:space="0" w:color="auto"/>
            </w:tcBorders>
            <w:shd w:val="clear" w:color="auto" w:fill="auto"/>
            <w:noWrap/>
            <w:vAlign w:val="bottom"/>
            <w:hideMark/>
          </w:tcPr>
          <w:p w14:paraId="76754530" w14:textId="77777777" w:rsidR="006E4714" w:rsidRPr="00350268" w:rsidRDefault="006E471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Scenario 3</w:t>
            </w:r>
          </w:p>
        </w:tc>
        <w:tc>
          <w:tcPr>
            <w:tcW w:w="168" w:type="pct"/>
            <w:tcBorders>
              <w:top w:val="nil"/>
              <w:left w:val="nil"/>
              <w:bottom w:val="single" w:sz="4" w:space="0" w:color="auto"/>
              <w:right w:val="single" w:sz="4" w:space="0" w:color="auto"/>
            </w:tcBorders>
            <w:shd w:val="clear" w:color="auto" w:fill="auto"/>
            <w:noWrap/>
            <w:vAlign w:val="bottom"/>
            <w:hideMark/>
          </w:tcPr>
          <w:p w14:paraId="0BEC3A40"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0</w:t>
            </w:r>
          </w:p>
        </w:tc>
        <w:tc>
          <w:tcPr>
            <w:tcW w:w="426" w:type="pct"/>
            <w:tcBorders>
              <w:top w:val="nil"/>
              <w:left w:val="nil"/>
              <w:bottom w:val="single" w:sz="4" w:space="0" w:color="auto"/>
              <w:right w:val="single" w:sz="4" w:space="0" w:color="auto"/>
            </w:tcBorders>
            <w:shd w:val="clear" w:color="auto" w:fill="auto"/>
            <w:noWrap/>
            <w:vAlign w:val="bottom"/>
            <w:hideMark/>
          </w:tcPr>
          <w:p w14:paraId="00836DD0"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1450.6</w:t>
            </w:r>
          </w:p>
        </w:tc>
        <w:tc>
          <w:tcPr>
            <w:tcW w:w="483" w:type="pct"/>
            <w:tcBorders>
              <w:top w:val="nil"/>
              <w:left w:val="nil"/>
              <w:bottom w:val="single" w:sz="4" w:space="0" w:color="auto"/>
              <w:right w:val="single" w:sz="4" w:space="0" w:color="auto"/>
            </w:tcBorders>
            <w:shd w:val="clear" w:color="auto" w:fill="auto"/>
            <w:noWrap/>
            <w:vAlign w:val="bottom"/>
            <w:hideMark/>
          </w:tcPr>
          <w:p w14:paraId="4D187FC1"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20979.0</w:t>
            </w:r>
          </w:p>
        </w:tc>
        <w:tc>
          <w:tcPr>
            <w:tcW w:w="483" w:type="pct"/>
            <w:tcBorders>
              <w:top w:val="nil"/>
              <w:left w:val="nil"/>
              <w:bottom w:val="single" w:sz="4" w:space="0" w:color="auto"/>
              <w:right w:val="single" w:sz="4" w:space="0" w:color="auto"/>
            </w:tcBorders>
            <w:shd w:val="clear" w:color="auto" w:fill="auto"/>
            <w:noWrap/>
            <w:vAlign w:val="bottom"/>
            <w:hideMark/>
          </w:tcPr>
          <w:p w14:paraId="3FE9FBFC"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45154.9</w:t>
            </w:r>
          </w:p>
        </w:tc>
        <w:tc>
          <w:tcPr>
            <w:tcW w:w="483" w:type="pct"/>
            <w:tcBorders>
              <w:top w:val="nil"/>
              <w:left w:val="nil"/>
              <w:bottom w:val="single" w:sz="4" w:space="0" w:color="auto"/>
              <w:right w:val="single" w:sz="4" w:space="0" w:color="auto"/>
            </w:tcBorders>
            <w:shd w:val="clear" w:color="auto" w:fill="auto"/>
            <w:noWrap/>
            <w:vAlign w:val="bottom"/>
            <w:hideMark/>
          </w:tcPr>
          <w:p w14:paraId="0E74D4EE"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73254.1</w:t>
            </w:r>
          </w:p>
        </w:tc>
        <w:tc>
          <w:tcPr>
            <w:tcW w:w="483" w:type="pct"/>
            <w:tcBorders>
              <w:top w:val="nil"/>
              <w:left w:val="nil"/>
              <w:bottom w:val="single" w:sz="4" w:space="0" w:color="auto"/>
              <w:right w:val="single" w:sz="4" w:space="0" w:color="auto"/>
            </w:tcBorders>
            <w:shd w:val="clear" w:color="auto" w:fill="auto"/>
            <w:noWrap/>
            <w:vAlign w:val="bottom"/>
            <w:hideMark/>
          </w:tcPr>
          <w:p w14:paraId="331974E5"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93201.9</w:t>
            </w:r>
          </w:p>
        </w:tc>
        <w:tc>
          <w:tcPr>
            <w:tcW w:w="541" w:type="pct"/>
            <w:tcBorders>
              <w:top w:val="nil"/>
              <w:left w:val="nil"/>
              <w:bottom w:val="single" w:sz="4" w:space="0" w:color="auto"/>
              <w:right w:val="single" w:sz="4" w:space="0" w:color="auto"/>
            </w:tcBorders>
            <w:shd w:val="clear" w:color="auto" w:fill="auto"/>
            <w:noWrap/>
            <w:vAlign w:val="bottom"/>
            <w:hideMark/>
          </w:tcPr>
          <w:p w14:paraId="72A64523"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106820.1</w:t>
            </w:r>
          </w:p>
        </w:tc>
        <w:tc>
          <w:tcPr>
            <w:tcW w:w="541" w:type="pct"/>
            <w:tcBorders>
              <w:top w:val="nil"/>
              <w:left w:val="nil"/>
              <w:bottom w:val="single" w:sz="4" w:space="0" w:color="auto"/>
              <w:right w:val="single" w:sz="4" w:space="0" w:color="auto"/>
            </w:tcBorders>
            <w:shd w:val="clear" w:color="auto" w:fill="auto"/>
            <w:noWrap/>
            <w:vAlign w:val="bottom"/>
            <w:hideMark/>
          </w:tcPr>
          <w:p w14:paraId="6FB748A6"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117938.9</w:t>
            </w:r>
          </w:p>
        </w:tc>
        <w:tc>
          <w:tcPr>
            <w:tcW w:w="541" w:type="pct"/>
            <w:tcBorders>
              <w:top w:val="nil"/>
              <w:left w:val="nil"/>
              <w:bottom w:val="single" w:sz="4" w:space="0" w:color="auto"/>
              <w:right w:val="single" w:sz="4" w:space="0" w:color="auto"/>
            </w:tcBorders>
            <w:shd w:val="clear" w:color="auto" w:fill="auto"/>
            <w:noWrap/>
            <w:vAlign w:val="bottom"/>
            <w:hideMark/>
          </w:tcPr>
          <w:p w14:paraId="656AE8BC"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129058.7</w:t>
            </w:r>
          </w:p>
        </w:tc>
      </w:tr>
    </w:tbl>
    <w:p w14:paraId="3A87B32D"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p>
    <w:p w14:paraId="074A2A95" w14:textId="46C547F9"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Total GHG emissions mitigation potential under scenario 1, without sequestration are projected to slightly decrease from </w:t>
      </w:r>
      <w:r w:rsidRPr="002A4DFC">
        <w:rPr>
          <w:rFonts w:ascii="Times New Roman" w:eastAsia="Calibri" w:hAnsi="Times New Roman" w:cs="Times New Roman"/>
          <w:color w:val="000000" w:themeColor="text1"/>
          <w:sz w:val="24"/>
          <w:szCs w:val="24"/>
        </w:rPr>
        <w:t>120</w:t>
      </w:r>
      <w:r w:rsidR="00C67839" w:rsidRPr="002A4DFC">
        <w:rPr>
          <w:rFonts w:ascii="Times New Roman" w:eastAsia="Calibri" w:hAnsi="Times New Roman" w:cs="Times New Roman"/>
          <w:color w:val="000000" w:themeColor="text1"/>
          <w:sz w:val="24"/>
          <w:szCs w:val="24"/>
        </w:rPr>
        <w:t>,</w:t>
      </w:r>
      <w:r w:rsidRPr="002A4DFC">
        <w:rPr>
          <w:rFonts w:ascii="Times New Roman" w:eastAsia="Calibri" w:hAnsi="Times New Roman" w:cs="Times New Roman"/>
          <w:color w:val="000000" w:themeColor="text1"/>
          <w:sz w:val="24"/>
          <w:szCs w:val="24"/>
        </w:rPr>
        <w:t xml:space="preserve">446.1 </w:t>
      </w:r>
      <w:r w:rsidRPr="00191ACB">
        <w:rPr>
          <w:rFonts w:ascii="Times New Roman" w:eastAsia="Calibri" w:hAnsi="Times New Roman" w:cs="Times New Roman"/>
          <w:color w:val="000000" w:themeColor="text1"/>
          <w:sz w:val="24"/>
          <w:szCs w:val="24"/>
        </w:rPr>
        <w:t>Gg CO</w:t>
      </w:r>
      <w:r w:rsidRPr="002A4DFC">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eq. in 2010 to </w:t>
      </w:r>
      <w:r w:rsidRPr="002A4DFC">
        <w:rPr>
          <w:rFonts w:ascii="Times New Roman" w:eastAsia="Calibri" w:hAnsi="Times New Roman" w:cs="Times New Roman"/>
          <w:color w:val="000000" w:themeColor="text1"/>
          <w:sz w:val="24"/>
          <w:szCs w:val="24"/>
        </w:rPr>
        <w:t>120</w:t>
      </w:r>
      <w:r w:rsidR="00C67839" w:rsidRPr="002A4DFC">
        <w:rPr>
          <w:rFonts w:ascii="Times New Roman" w:eastAsia="Calibri" w:hAnsi="Times New Roman" w:cs="Times New Roman"/>
          <w:color w:val="000000" w:themeColor="text1"/>
          <w:sz w:val="24"/>
          <w:szCs w:val="24"/>
        </w:rPr>
        <w:t>,</w:t>
      </w:r>
      <w:r w:rsidRPr="002A4DFC">
        <w:rPr>
          <w:rFonts w:ascii="Times New Roman" w:eastAsia="Calibri" w:hAnsi="Times New Roman" w:cs="Times New Roman"/>
          <w:color w:val="000000" w:themeColor="text1"/>
          <w:sz w:val="24"/>
          <w:szCs w:val="24"/>
        </w:rPr>
        <w:t xml:space="preserve">289.1 </w:t>
      </w:r>
      <w:r w:rsidRPr="00191ACB">
        <w:rPr>
          <w:rFonts w:ascii="Times New Roman" w:eastAsia="Calibri" w:hAnsi="Times New Roman" w:cs="Times New Roman"/>
          <w:color w:val="000000" w:themeColor="text1"/>
          <w:sz w:val="24"/>
          <w:szCs w:val="24"/>
        </w:rPr>
        <w:t>Gg CO</w:t>
      </w:r>
      <w:r w:rsidRPr="002A4DFC">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eq. in 2050. For scenario 2</w:t>
      </w:r>
      <w:r w:rsidR="00C67839"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emissions mitigation potential </w:t>
      </w:r>
      <w:r w:rsidR="00C67839" w:rsidRPr="00191ACB">
        <w:rPr>
          <w:rFonts w:ascii="Times New Roman" w:eastAsia="Calibri" w:hAnsi="Times New Roman" w:cs="Times New Roman"/>
          <w:color w:val="000000" w:themeColor="text1"/>
          <w:sz w:val="24"/>
          <w:szCs w:val="24"/>
        </w:rPr>
        <w:t>is</w:t>
      </w:r>
      <w:r w:rsidRPr="00191ACB">
        <w:rPr>
          <w:rFonts w:ascii="Times New Roman" w:eastAsia="Calibri" w:hAnsi="Times New Roman" w:cs="Times New Roman"/>
          <w:color w:val="000000" w:themeColor="text1"/>
          <w:sz w:val="24"/>
          <w:szCs w:val="24"/>
        </w:rPr>
        <w:t xml:space="preserve"> projected to decrease</w:t>
      </w:r>
      <w:r w:rsidR="00596C4C" w:rsidRPr="00191ACB">
        <w:rPr>
          <w:rFonts w:ascii="Times New Roman" w:eastAsia="Calibri" w:hAnsi="Times New Roman" w:cs="Times New Roman"/>
          <w:color w:val="000000" w:themeColor="text1"/>
          <w:sz w:val="24"/>
          <w:szCs w:val="24"/>
        </w:rPr>
        <w:t xml:space="preserve"> from</w:t>
      </w:r>
      <w:r w:rsidRPr="00191ACB">
        <w:rPr>
          <w:rFonts w:ascii="Times New Roman" w:eastAsia="Calibri" w:hAnsi="Times New Roman" w:cs="Times New Roman"/>
          <w:color w:val="000000" w:themeColor="text1"/>
          <w:sz w:val="24"/>
          <w:szCs w:val="24"/>
        </w:rPr>
        <w:t xml:space="preserve"> </w:t>
      </w:r>
      <w:r w:rsidRPr="002A4DFC">
        <w:rPr>
          <w:rFonts w:ascii="Times New Roman" w:eastAsia="Calibri" w:hAnsi="Times New Roman" w:cs="Times New Roman"/>
          <w:color w:val="000000" w:themeColor="text1"/>
          <w:sz w:val="24"/>
          <w:szCs w:val="24"/>
        </w:rPr>
        <w:t>120</w:t>
      </w:r>
      <w:r w:rsidR="00C67839" w:rsidRPr="002A4DFC">
        <w:rPr>
          <w:rFonts w:ascii="Times New Roman" w:eastAsia="Calibri" w:hAnsi="Times New Roman" w:cs="Times New Roman"/>
          <w:color w:val="000000" w:themeColor="text1"/>
          <w:sz w:val="24"/>
          <w:szCs w:val="24"/>
        </w:rPr>
        <w:t>,</w:t>
      </w:r>
      <w:r w:rsidRPr="002A4DFC">
        <w:rPr>
          <w:rFonts w:ascii="Times New Roman" w:eastAsia="Calibri" w:hAnsi="Times New Roman" w:cs="Times New Roman"/>
          <w:color w:val="000000" w:themeColor="text1"/>
          <w:sz w:val="24"/>
          <w:szCs w:val="24"/>
        </w:rPr>
        <w:t xml:space="preserve">446.1 </w:t>
      </w:r>
      <w:r w:rsidRPr="00191ACB">
        <w:rPr>
          <w:rFonts w:ascii="Times New Roman" w:eastAsia="Calibri" w:hAnsi="Times New Roman" w:cs="Times New Roman"/>
          <w:color w:val="000000" w:themeColor="text1"/>
          <w:sz w:val="24"/>
          <w:szCs w:val="24"/>
        </w:rPr>
        <w:t>Gg CO</w:t>
      </w:r>
      <w:r w:rsidRPr="002A4DFC">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eq., in 2010 to </w:t>
      </w:r>
      <w:r w:rsidRPr="002A4DFC">
        <w:rPr>
          <w:rFonts w:ascii="Times New Roman" w:eastAsia="Calibri" w:hAnsi="Times New Roman" w:cs="Times New Roman"/>
          <w:color w:val="000000" w:themeColor="text1"/>
          <w:sz w:val="24"/>
          <w:szCs w:val="24"/>
        </w:rPr>
        <w:t xml:space="preserve">75,730.1 </w:t>
      </w:r>
      <w:r w:rsidRPr="00191ACB">
        <w:rPr>
          <w:rFonts w:ascii="Times New Roman" w:eastAsia="Calibri" w:hAnsi="Times New Roman" w:cs="Times New Roman"/>
          <w:color w:val="000000" w:themeColor="text1"/>
          <w:sz w:val="24"/>
          <w:szCs w:val="24"/>
        </w:rPr>
        <w:t>Gg CO</w:t>
      </w:r>
      <w:r w:rsidRPr="002A4DFC">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eq. in 2050 (Table </w:t>
      </w:r>
      <w:r w:rsidR="00D7105F" w:rsidRPr="00191ACB">
        <w:rPr>
          <w:rFonts w:ascii="Times New Roman" w:eastAsia="Calibri" w:hAnsi="Times New Roman" w:cs="Times New Roman"/>
          <w:color w:val="000000" w:themeColor="text1"/>
          <w:sz w:val="24"/>
          <w:szCs w:val="24"/>
        </w:rPr>
        <w:t>4.7)</w:t>
      </w:r>
      <w:r w:rsidRPr="00191ACB">
        <w:rPr>
          <w:rFonts w:ascii="Times New Roman" w:eastAsia="Calibri" w:hAnsi="Times New Roman" w:cs="Times New Roman"/>
          <w:color w:val="000000" w:themeColor="text1"/>
          <w:sz w:val="24"/>
          <w:szCs w:val="24"/>
        </w:rPr>
        <w:t xml:space="preserve">. In case of Scenario 3, national emissions mitigation potential </w:t>
      </w:r>
      <w:r w:rsidR="00C67839" w:rsidRPr="00191ACB">
        <w:rPr>
          <w:rFonts w:ascii="Times New Roman" w:eastAsia="Calibri" w:hAnsi="Times New Roman" w:cs="Times New Roman"/>
          <w:color w:val="000000" w:themeColor="text1"/>
          <w:sz w:val="24"/>
          <w:szCs w:val="24"/>
        </w:rPr>
        <w:t>is</w:t>
      </w:r>
      <w:r w:rsidRPr="00191ACB">
        <w:rPr>
          <w:rFonts w:ascii="Times New Roman" w:eastAsia="Calibri" w:hAnsi="Times New Roman" w:cs="Times New Roman"/>
          <w:color w:val="000000" w:themeColor="text1"/>
          <w:sz w:val="24"/>
          <w:szCs w:val="24"/>
        </w:rPr>
        <w:t xml:space="preserve"> projected to decrease from </w:t>
      </w:r>
      <w:r w:rsidRPr="002A4DFC">
        <w:rPr>
          <w:rFonts w:ascii="Times New Roman" w:eastAsia="Calibri" w:hAnsi="Times New Roman" w:cs="Times New Roman"/>
          <w:color w:val="000000" w:themeColor="text1"/>
          <w:sz w:val="24"/>
          <w:szCs w:val="24"/>
        </w:rPr>
        <w:t>120</w:t>
      </w:r>
      <w:r w:rsidR="00C67839" w:rsidRPr="002A4DFC">
        <w:rPr>
          <w:rFonts w:ascii="Times New Roman" w:eastAsia="Calibri" w:hAnsi="Times New Roman" w:cs="Times New Roman"/>
          <w:color w:val="000000" w:themeColor="text1"/>
          <w:sz w:val="24"/>
          <w:szCs w:val="24"/>
        </w:rPr>
        <w:t>,</w:t>
      </w:r>
      <w:r w:rsidRPr="002A4DFC">
        <w:rPr>
          <w:rFonts w:ascii="Times New Roman" w:eastAsia="Calibri" w:hAnsi="Times New Roman" w:cs="Times New Roman"/>
          <w:color w:val="000000" w:themeColor="text1"/>
          <w:sz w:val="24"/>
          <w:szCs w:val="24"/>
        </w:rPr>
        <w:t xml:space="preserve">446.1 </w:t>
      </w:r>
      <w:r w:rsidRPr="00191ACB">
        <w:rPr>
          <w:rFonts w:ascii="Times New Roman" w:eastAsia="Calibri" w:hAnsi="Times New Roman" w:cs="Times New Roman"/>
          <w:color w:val="000000" w:themeColor="text1"/>
          <w:sz w:val="24"/>
          <w:szCs w:val="24"/>
        </w:rPr>
        <w:t>Gg CO</w:t>
      </w:r>
      <w:r w:rsidRPr="002A4DFC">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eq. in 2010 to </w:t>
      </w:r>
      <w:r w:rsidRPr="002A4DFC">
        <w:rPr>
          <w:rFonts w:ascii="Times New Roman" w:eastAsia="Calibri" w:hAnsi="Times New Roman" w:cs="Times New Roman"/>
          <w:color w:val="000000" w:themeColor="text1"/>
          <w:sz w:val="24"/>
          <w:szCs w:val="24"/>
        </w:rPr>
        <w:t>39,450.4</w:t>
      </w:r>
      <w:r w:rsidRPr="00191ACB">
        <w:rPr>
          <w:rFonts w:ascii="Times New Roman" w:eastAsia="Calibri" w:hAnsi="Times New Roman" w:cs="Times New Roman"/>
          <w:color w:val="000000" w:themeColor="text1"/>
          <w:sz w:val="24"/>
          <w:szCs w:val="24"/>
        </w:rPr>
        <w:t>Gg CO</w:t>
      </w:r>
      <w:r w:rsidRPr="002A4DFC">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eq. in 2050. The </w:t>
      </w:r>
      <w:r w:rsidRPr="00191ACB">
        <w:rPr>
          <w:rFonts w:ascii="Times New Roman" w:eastAsia="Calibri" w:hAnsi="Times New Roman" w:cs="Times New Roman"/>
          <w:color w:val="000000" w:themeColor="text1"/>
          <w:sz w:val="24"/>
          <w:szCs w:val="24"/>
        </w:rPr>
        <w:lastRenderedPageBreak/>
        <w:t>decrease in scenarios 2 and 3 are due to projected higher rates of increase in baseline emission than that of mitigation.</w:t>
      </w:r>
    </w:p>
    <w:p w14:paraId="43505466" w14:textId="28C6E5B9" w:rsidR="006E4714" w:rsidRPr="00191ACB" w:rsidRDefault="00C319A4" w:rsidP="00C319A4">
      <w:pPr>
        <w:pStyle w:val="Caption"/>
        <w:rPr>
          <w:rFonts w:eastAsia="Calibri"/>
          <w:color w:val="000000" w:themeColor="text1"/>
          <w:sz w:val="24"/>
          <w:szCs w:val="24"/>
        </w:rPr>
      </w:pPr>
      <w:bookmarkStart w:id="352" w:name="_Toc56583783"/>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7</w:t>
      </w:r>
      <w:r w:rsidR="00875942">
        <w:rPr>
          <w:sz w:val="24"/>
          <w:szCs w:val="24"/>
        </w:rPr>
        <w:fldChar w:fldCharType="end"/>
      </w:r>
      <w:r w:rsidRPr="00191ACB">
        <w:rPr>
          <w:sz w:val="24"/>
          <w:szCs w:val="24"/>
        </w:rPr>
        <w:t>:Mitigation emissions reduction with and without sequestration</w:t>
      </w:r>
      <w:bookmarkEnd w:id="352"/>
    </w:p>
    <w:tbl>
      <w:tblPr>
        <w:tblW w:w="5000" w:type="pct"/>
        <w:tblLook w:val="04A0" w:firstRow="1" w:lastRow="0" w:firstColumn="1" w:lastColumn="0" w:noHBand="0" w:noVBand="1"/>
      </w:tblPr>
      <w:tblGrid>
        <w:gridCol w:w="1201"/>
        <w:gridCol w:w="1202"/>
        <w:gridCol w:w="1202"/>
        <w:gridCol w:w="1202"/>
        <w:gridCol w:w="1644"/>
        <w:gridCol w:w="1644"/>
        <w:gridCol w:w="1644"/>
      </w:tblGrid>
      <w:tr w:rsidR="006E4714" w:rsidRPr="00191ACB" w14:paraId="34AB92E2" w14:textId="77777777" w:rsidTr="005E626A">
        <w:trPr>
          <w:trHeight w:val="658"/>
        </w:trPr>
        <w:tc>
          <w:tcPr>
            <w:tcW w:w="617"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BC29559"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617" w:type="pct"/>
            <w:tcBorders>
              <w:top w:val="single" w:sz="4" w:space="0" w:color="auto"/>
              <w:left w:val="nil"/>
              <w:bottom w:val="single" w:sz="4" w:space="0" w:color="auto"/>
              <w:right w:val="single" w:sz="4" w:space="0" w:color="auto"/>
            </w:tcBorders>
            <w:shd w:val="clear" w:color="auto" w:fill="auto"/>
            <w:vAlign w:val="bottom"/>
            <w:hideMark/>
          </w:tcPr>
          <w:p w14:paraId="72E8731C"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Scenario 1-</w:t>
            </w:r>
          </w:p>
        </w:tc>
        <w:tc>
          <w:tcPr>
            <w:tcW w:w="617" w:type="pct"/>
            <w:tcBorders>
              <w:top w:val="single" w:sz="4" w:space="0" w:color="auto"/>
              <w:left w:val="nil"/>
              <w:bottom w:val="single" w:sz="4" w:space="0" w:color="auto"/>
              <w:right w:val="single" w:sz="4" w:space="0" w:color="auto"/>
            </w:tcBorders>
            <w:shd w:val="clear" w:color="auto" w:fill="auto"/>
            <w:vAlign w:val="bottom"/>
            <w:hideMark/>
          </w:tcPr>
          <w:p w14:paraId="5A94FC12"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Scenario 2</w:t>
            </w:r>
          </w:p>
        </w:tc>
        <w:tc>
          <w:tcPr>
            <w:tcW w:w="617" w:type="pct"/>
            <w:tcBorders>
              <w:top w:val="single" w:sz="4" w:space="0" w:color="auto"/>
              <w:left w:val="nil"/>
              <w:bottom w:val="single" w:sz="4" w:space="0" w:color="auto"/>
              <w:right w:val="single" w:sz="4" w:space="0" w:color="auto"/>
            </w:tcBorders>
            <w:shd w:val="clear" w:color="auto" w:fill="auto"/>
            <w:vAlign w:val="bottom"/>
            <w:hideMark/>
          </w:tcPr>
          <w:p w14:paraId="209724F8"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Scenario 3</w:t>
            </w:r>
          </w:p>
        </w:tc>
        <w:tc>
          <w:tcPr>
            <w:tcW w:w="844" w:type="pct"/>
            <w:tcBorders>
              <w:top w:val="single" w:sz="4" w:space="0" w:color="auto"/>
              <w:left w:val="nil"/>
              <w:bottom w:val="single" w:sz="4" w:space="0" w:color="auto"/>
              <w:right w:val="single" w:sz="4" w:space="0" w:color="auto"/>
            </w:tcBorders>
            <w:shd w:val="clear" w:color="auto" w:fill="auto"/>
            <w:vAlign w:val="bottom"/>
            <w:hideMark/>
          </w:tcPr>
          <w:p w14:paraId="6171FD2F"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Scenario 1 with Sequestration</w:t>
            </w:r>
          </w:p>
        </w:tc>
        <w:tc>
          <w:tcPr>
            <w:tcW w:w="844" w:type="pct"/>
            <w:tcBorders>
              <w:top w:val="single" w:sz="4" w:space="0" w:color="auto"/>
              <w:left w:val="nil"/>
              <w:bottom w:val="single" w:sz="4" w:space="0" w:color="auto"/>
              <w:right w:val="single" w:sz="4" w:space="0" w:color="auto"/>
            </w:tcBorders>
            <w:shd w:val="clear" w:color="auto" w:fill="auto"/>
            <w:vAlign w:val="bottom"/>
            <w:hideMark/>
          </w:tcPr>
          <w:p w14:paraId="6D0ACBAA"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Scenario 2 With Sequestration</w:t>
            </w:r>
          </w:p>
        </w:tc>
        <w:tc>
          <w:tcPr>
            <w:tcW w:w="844" w:type="pct"/>
            <w:tcBorders>
              <w:top w:val="single" w:sz="4" w:space="0" w:color="auto"/>
              <w:left w:val="nil"/>
              <w:bottom w:val="single" w:sz="4" w:space="0" w:color="auto"/>
              <w:right w:val="single" w:sz="4" w:space="0" w:color="auto"/>
            </w:tcBorders>
            <w:shd w:val="clear" w:color="auto" w:fill="auto"/>
            <w:vAlign w:val="bottom"/>
            <w:hideMark/>
          </w:tcPr>
          <w:p w14:paraId="52341F8F" w14:textId="77777777" w:rsidR="006E4714" w:rsidRPr="00191ACB" w:rsidRDefault="006E4714" w:rsidP="008C6773">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Scenario 3 With Sequestration</w:t>
            </w:r>
          </w:p>
        </w:tc>
      </w:tr>
      <w:tr w:rsidR="006E4714" w:rsidRPr="00191ACB" w14:paraId="48726FA1" w14:textId="77777777" w:rsidTr="005E626A">
        <w:trPr>
          <w:trHeight w:val="288"/>
        </w:trPr>
        <w:tc>
          <w:tcPr>
            <w:tcW w:w="617" w:type="pct"/>
            <w:tcBorders>
              <w:top w:val="nil"/>
              <w:left w:val="single" w:sz="4" w:space="0" w:color="auto"/>
              <w:bottom w:val="single" w:sz="4" w:space="0" w:color="auto"/>
              <w:right w:val="single" w:sz="4" w:space="0" w:color="auto"/>
            </w:tcBorders>
            <w:shd w:val="clear" w:color="auto" w:fill="auto"/>
            <w:noWrap/>
            <w:vAlign w:val="bottom"/>
            <w:hideMark/>
          </w:tcPr>
          <w:p w14:paraId="352EAB17"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617" w:type="pct"/>
            <w:tcBorders>
              <w:top w:val="nil"/>
              <w:left w:val="nil"/>
              <w:bottom w:val="single" w:sz="4" w:space="0" w:color="auto"/>
              <w:right w:val="single" w:sz="4" w:space="0" w:color="auto"/>
            </w:tcBorders>
            <w:shd w:val="clear" w:color="auto" w:fill="auto"/>
            <w:noWrap/>
            <w:vAlign w:val="bottom"/>
            <w:hideMark/>
          </w:tcPr>
          <w:p w14:paraId="5A6653A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120446.1</w:t>
            </w:r>
          </w:p>
        </w:tc>
        <w:tc>
          <w:tcPr>
            <w:tcW w:w="617" w:type="pct"/>
            <w:tcBorders>
              <w:top w:val="nil"/>
              <w:left w:val="nil"/>
              <w:bottom w:val="single" w:sz="4" w:space="0" w:color="auto"/>
              <w:right w:val="single" w:sz="4" w:space="0" w:color="auto"/>
            </w:tcBorders>
            <w:shd w:val="clear" w:color="auto" w:fill="auto"/>
            <w:noWrap/>
            <w:vAlign w:val="bottom"/>
            <w:hideMark/>
          </w:tcPr>
          <w:p w14:paraId="22A49772"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120446.1</w:t>
            </w:r>
          </w:p>
        </w:tc>
        <w:tc>
          <w:tcPr>
            <w:tcW w:w="617" w:type="pct"/>
            <w:tcBorders>
              <w:top w:val="nil"/>
              <w:left w:val="nil"/>
              <w:bottom w:val="single" w:sz="4" w:space="0" w:color="auto"/>
              <w:right w:val="single" w:sz="4" w:space="0" w:color="auto"/>
            </w:tcBorders>
            <w:shd w:val="clear" w:color="auto" w:fill="auto"/>
            <w:noWrap/>
            <w:vAlign w:val="bottom"/>
            <w:hideMark/>
          </w:tcPr>
          <w:p w14:paraId="1F52BF77"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120446.1</w:t>
            </w:r>
          </w:p>
        </w:tc>
        <w:tc>
          <w:tcPr>
            <w:tcW w:w="844" w:type="pct"/>
            <w:tcBorders>
              <w:top w:val="nil"/>
              <w:left w:val="nil"/>
              <w:bottom w:val="single" w:sz="4" w:space="0" w:color="auto"/>
              <w:right w:val="single" w:sz="4" w:space="0" w:color="auto"/>
            </w:tcBorders>
            <w:shd w:val="clear" w:color="auto" w:fill="auto"/>
            <w:noWrap/>
            <w:vAlign w:val="bottom"/>
            <w:hideMark/>
          </w:tcPr>
          <w:p w14:paraId="448803E8"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-16876.8</w:t>
            </w:r>
          </w:p>
        </w:tc>
        <w:tc>
          <w:tcPr>
            <w:tcW w:w="844" w:type="pct"/>
            <w:tcBorders>
              <w:top w:val="nil"/>
              <w:left w:val="nil"/>
              <w:bottom w:val="single" w:sz="4" w:space="0" w:color="auto"/>
              <w:right w:val="single" w:sz="4" w:space="0" w:color="auto"/>
            </w:tcBorders>
            <w:shd w:val="clear" w:color="auto" w:fill="auto"/>
            <w:noWrap/>
            <w:vAlign w:val="bottom"/>
            <w:hideMark/>
          </w:tcPr>
          <w:p w14:paraId="310AC6A8"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-16876.8</w:t>
            </w:r>
          </w:p>
        </w:tc>
        <w:tc>
          <w:tcPr>
            <w:tcW w:w="844" w:type="pct"/>
            <w:tcBorders>
              <w:top w:val="nil"/>
              <w:left w:val="nil"/>
              <w:bottom w:val="single" w:sz="4" w:space="0" w:color="auto"/>
              <w:right w:val="single" w:sz="4" w:space="0" w:color="auto"/>
            </w:tcBorders>
            <w:shd w:val="clear" w:color="auto" w:fill="auto"/>
            <w:noWrap/>
            <w:vAlign w:val="bottom"/>
            <w:hideMark/>
          </w:tcPr>
          <w:p w14:paraId="0573D9A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-16876.8</w:t>
            </w:r>
          </w:p>
        </w:tc>
      </w:tr>
      <w:tr w:rsidR="006E4714" w:rsidRPr="00191ACB" w14:paraId="08D830C6" w14:textId="77777777" w:rsidTr="005E626A">
        <w:trPr>
          <w:trHeight w:val="288"/>
        </w:trPr>
        <w:tc>
          <w:tcPr>
            <w:tcW w:w="617" w:type="pct"/>
            <w:tcBorders>
              <w:top w:val="nil"/>
              <w:left w:val="single" w:sz="4" w:space="0" w:color="auto"/>
              <w:bottom w:val="single" w:sz="4" w:space="0" w:color="auto"/>
              <w:right w:val="single" w:sz="4" w:space="0" w:color="auto"/>
            </w:tcBorders>
            <w:shd w:val="clear" w:color="auto" w:fill="auto"/>
            <w:noWrap/>
            <w:vAlign w:val="bottom"/>
            <w:hideMark/>
          </w:tcPr>
          <w:p w14:paraId="69314CA7"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617" w:type="pct"/>
            <w:tcBorders>
              <w:top w:val="nil"/>
              <w:left w:val="nil"/>
              <w:bottom w:val="single" w:sz="4" w:space="0" w:color="auto"/>
              <w:right w:val="single" w:sz="4" w:space="0" w:color="auto"/>
            </w:tcBorders>
            <w:shd w:val="clear" w:color="auto" w:fill="auto"/>
            <w:noWrap/>
            <w:vAlign w:val="bottom"/>
            <w:hideMark/>
          </w:tcPr>
          <w:p w14:paraId="2356825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124975.1</w:t>
            </w:r>
          </w:p>
        </w:tc>
        <w:tc>
          <w:tcPr>
            <w:tcW w:w="617" w:type="pct"/>
            <w:tcBorders>
              <w:top w:val="nil"/>
              <w:left w:val="nil"/>
              <w:bottom w:val="single" w:sz="4" w:space="0" w:color="auto"/>
              <w:right w:val="single" w:sz="4" w:space="0" w:color="auto"/>
            </w:tcBorders>
            <w:shd w:val="clear" w:color="auto" w:fill="auto"/>
            <w:noWrap/>
            <w:vAlign w:val="bottom"/>
            <w:hideMark/>
          </w:tcPr>
          <w:p w14:paraId="48D38ED0"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124975.1</w:t>
            </w:r>
          </w:p>
        </w:tc>
        <w:tc>
          <w:tcPr>
            <w:tcW w:w="617" w:type="pct"/>
            <w:tcBorders>
              <w:top w:val="nil"/>
              <w:left w:val="nil"/>
              <w:bottom w:val="single" w:sz="4" w:space="0" w:color="auto"/>
              <w:right w:val="single" w:sz="4" w:space="0" w:color="auto"/>
            </w:tcBorders>
            <w:shd w:val="clear" w:color="auto" w:fill="auto"/>
            <w:noWrap/>
            <w:vAlign w:val="bottom"/>
            <w:hideMark/>
          </w:tcPr>
          <w:p w14:paraId="771A8C6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124975.1</w:t>
            </w:r>
          </w:p>
        </w:tc>
        <w:tc>
          <w:tcPr>
            <w:tcW w:w="844" w:type="pct"/>
            <w:tcBorders>
              <w:top w:val="nil"/>
              <w:left w:val="nil"/>
              <w:bottom w:val="single" w:sz="4" w:space="0" w:color="auto"/>
              <w:right w:val="single" w:sz="4" w:space="0" w:color="auto"/>
            </w:tcBorders>
            <w:shd w:val="clear" w:color="auto" w:fill="auto"/>
            <w:noWrap/>
            <w:vAlign w:val="bottom"/>
            <w:hideMark/>
          </w:tcPr>
          <w:p w14:paraId="5089A9F4"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-7608.3</w:t>
            </w:r>
          </w:p>
        </w:tc>
        <w:tc>
          <w:tcPr>
            <w:tcW w:w="844" w:type="pct"/>
            <w:tcBorders>
              <w:top w:val="nil"/>
              <w:left w:val="nil"/>
              <w:bottom w:val="single" w:sz="4" w:space="0" w:color="auto"/>
              <w:right w:val="single" w:sz="4" w:space="0" w:color="auto"/>
            </w:tcBorders>
            <w:shd w:val="clear" w:color="auto" w:fill="auto"/>
            <w:noWrap/>
            <w:vAlign w:val="bottom"/>
            <w:hideMark/>
          </w:tcPr>
          <w:p w14:paraId="4C49E1C3"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-7608.3</w:t>
            </w:r>
          </w:p>
        </w:tc>
        <w:tc>
          <w:tcPr>
            <w:tcW w:w="844" w:type="pct"/>
            <w:tcBorders>
              <w:top w:val="nil"/>
              <w:left w:val="nil"/>
              <w:bottom w:val="single" w:sz="4" w:space="0" w:color="auto"/>
              <w:right w:val="single" w:sz="4" w:space="0" w:color="auto"/>
            </w:tcBorders>
            <w:shd w:val="clear" w:color="auto" w:fill="auto"/>
            <w:noWrap/>
            <w:vAlign w:val="bottom"/>
            <w:hideMark/>
          </w:tcPr>
          <w:p w14:paraId="4966D3C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-7608.3</w:t>
            </w:r>
          </w:p>
        </w:tc>
      </w:tr>
      <w:tr w:rsidR="006E4714" w:rsidRPr="00191ACB" w14:paraId="35204B10" w14:textId="77777777" w:rsidTr="005E626A">
        <w:trPr>
          <w:trHeight w:val="288"/>
        </w:trPr>
        <w:tc>
          <w:tcPr>
            <w:tcW w:w="617" w:type="pct"/>
            <w:tcBorders>
              <w:top w:val="nil"/>
              <w:left w:val="single" w:sz="4" w:space="0" w:color="auto"/>
              <w:bottom w:val="single" w:sz="4" w:space="0" w:color="auto"/>
              <w:right w:val="single" w:sz="4" w:space="0" w:color="auto"/>
            </w:tcBorders>
            <w:shd w:val="clear" w:color="auto" w:fill="auto"/>
            <w:noWrap/>
            <w:vAlign w:val="bottom"/>
            <w:hideMark/>
          </w:tcPr>
          <w:p w14:paraId="68D3D27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2020</w:t>
            </w:r>
          </w:p>
        </w:tc>
        <w:tc>
          <w:tcPr>
            <w:tcW w:w="617" w:type="pct"/>
            <w:tcBorders>
              <w:top w:val="nil"/>
              <w:left w:val="nil"/>
              <w:bottom w:val="single" w:sz="4" w:space="0" w:color="auto"/>
              <w:right w:val="single" w:sz="4" w:space="0" w:color="auto"/>
            </w:tcBorders>
            <w:shd w:val="clear" w:color="auto" w:fill="auto"/>
            <w:noWrap/>
            <w:vAlign w:val="bottom"/>
            <w:hideMark/>
          </w:tcPr>
          <w:p w14:paraId="213E7527"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126138.0</w:t>
            </w:r>
          </w:p>
        </w:tc>
        <w:tc>
          <w:tcPr>
            <w:tcW w:w="617" w:type="pct"/>
            <w:tcBorders>
              <w:top w:val="nil"/>
              <w:left w:val="nil"/>
              <w:bottom w:val="single" w:sz="4" w:space="0" w:color="auto"/>
              <w:right w:val="single" w:sz="4" w:space="0" w:color="auto"/>
            </w:tcBorders>
            <w:shd w:val="clear" w:color="auto" w:fill="auto"/>
            <w:noWrap/>
            <w:vAlign w:val="bottom"/>
            <w:hideMark/>
          </w:tcPr>
          <w:p w14:paraId="7421230B"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115756.1</w:t>
            </w:r>
          </w:p>
        </w:tc>
        <w:tc>
          <w:tcPr>
            <w:tcW w:w="617" w:type="pct"/>
            <w:tcBorders>
              <w:top w:val="nil"/>
              <w:left w:val="nil"/>
              <w:bottom w:val="single" w:sz="4" w:space="0" w:color="auto"/>
              <w:right w:val="single" w:sz="4" w:space="0" w:color="auto"/>
            </w:tcBorders>
            <w:shd w:val="clear" w:color="auto" w:fill="auto"/>
            <w:noWrap/>
            <w:vAlign w:val="bottom"/>
            <w:hideMark/>
          </w:tcPr>
          <w:p w14:paraId="364A60F2"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108316.8</w:t>
            </w:r>
          </w:p>
        </w:tc>
        <w:tc>
          <w:tcPr>
            <w:tcW w:w="844" w:type="pct"/>
            <w:tcBorders>
              <w:top w:val="nil"/>
              <w:left w:val="nil"/>
              <w:bottom w:val="single" w:sz="4" w:space="0" w:color="auto"/>
              <w:right w:val="single" w:sz="4" w:space="0" w:color="auto"/>
            </w:tcBorders>
            <w:shd w:val="clear" w:color="auto" w:fill="auto"/>
            <w:noWrap/>
            <w:vAlign w:val="bottom"/>
            <w:hideMark/>
          </w:tcPr>
          <w:p w14:paraId="5E75F8CE"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-1869.6</w:t>
            </w:r>
          </w:p>
        </w:tc>
        <w:tc>
          <w:tcPr>
            <w:tcW w:w="844" w:type="pct"/>
            <w:tcBorders>
              <w:top w:val="nil"/>
              <w:left w:val="nil"/>
              <w:bottom w:val="single" w:sz="4" w:space="0" w:color="auto"/>
              <w:right w:val="single" w:sz="4" w:space="0" w:color="auto"/>
            </w:tcBorders>
            <w:shd w:val="clear" w:color="auto" w:fill="auto"/>
            <w:noWrap/>
            <w:vAlign w:val="bottom"/>
            <w:hideMark/>
          </w:tcPr>
          <w:p w14:paraId="6ED6EF51"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-12251.5</w:t>
            </w:r>
          </w:p>
        </w:tc>
        <w:tc>
          <w:tcPr>
            <w:tcW w:w="844" w:type="pct"/>
            <w:tcBorders>
              <w:top w:val="nil"/>
              <w:left w:val="nil"/>
              <w:bottom w:val="single" w:sz="4" w:space="0" w:color="auto"/>
              <w:right w:val="single" w:sz="4" w:space="0" w:color="auto"/>
            </w:tcBorders>
            <w:shd w:val="clear" w:color="auto" w:fill="auto"/>
            <w:noWrap/>
            <w:vAlign w:val="bottom"/>
            <w:hideMark/>
          </w:tcPr>
          <w:p w14:paraId="46A7F9A0"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-19690.8</w:t>
            </w:r>
          </w:p>
        </w:tc>
      </w:tr>
      <w:tr w:rsidR="006E4714" w:rsidRPr="00191ACB" w14:paraId="6280E5C1" w14:textId="77777777" w:rsidTr="005E626A">
        <w:trPr>
          <w:trHeight w:val="288"/>
        </w:trPr>
        <w:tc>
          <w:tcPr>
            <w:tcW w:w="617" w:type="pct"/>
            <w:tcBorders>
              <w:top w:val="nil"/>
              <w:left w:val="single" w:sz="4" w:space="0" w:color="auto"/>
              <w:bottom w:val="single" w:sz="4" w:space="0" w:color="auto"/>
              <w:right w:val="single" w:sz="4" w:space="0" w:color="auto"/>
            </w:tcBorders>
            <w:shd w:val="clear" w:color="auto" w:fill="auto"/>
            <w:noWrap/>
            <w:vAlign w:val="bottom"/>
            <w:hideMark/>
          </w:tcPr>
          <w:p w14:paraId="32EC79C8"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2025</w:t>
            </w:r>
          </w:p>
        </w:tc>
        <w:tc>
          <w:tcPr>
            <w:tcW w:w="617" w:type="pct"/>
            <w:tcBorders>
              <w:top w:val="nil"/>
              <w:left w:val="nil"/>
              <w:bottom w:val="single" w:sz="4" w:space="0" w:color="auto"/>
              <w:right w:val="single" w:sz="4" w:space="0" w:color="auto"/>
            </w:tcBorders>
            <w:shd w:val="clear" w:color="auto" w:fill="auto"/>
            <w:noWrap/>
            <w:vAlign w:val="bottom"/>
            <w:hideMark/>
          </w:tcPr>
          <w:p w14:paraId="3508C6BF"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120709.6</w:t>
            </w:r>
          </w:p>
        </w:tc>
        <w:tc>
          <w:tcPr>
            <w:tcW w:w="617" w:type="pct"/>
            <w:tcBorders>
              <w:top w:val="nil"/>
              <w:left w:val="nil"/>
              <w:bottom w:val="single" w:sz="4" w:space="0" w:color="auto"/>
              <w:right w:val="single" w:sz="4" w:space="0" w:color="auto"/>
            </w:tcBorders>
            <w:shd w:val="clear" w:color="auto" w:fill="auto"/>
            <w:noWrap/>
            <w:vAlign w:val="bottom"/>
            <w:hideMark/>
          </w:tcPr>
          <w:p w14:paraId="2CBD661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101934.7</w:t>
            </w:r>
          </w:p>
        </w:tc>
        <w:tc>
          <w:tcPr>
            <w:tcW w:w="617" w:type="pct"/>
            <w:tcBorders>
              <w:top w:val="nil"/>
              <w:left w:val="nil"/>
              <w:bottom w:val="single" w:sz="4" w:space="0" w:color="auto"/>
              <w:right w:val="single" w:sz="4" w:space="0" w:color="auto"/>
            </w:tcBorders>
            <w:shd w:val="clear" w:color="auto" w:fill="auto"/>
            <w:noWrap/>
            <w:vAlign w:val="bottom"/>
            <w:hideMark/>
          </w:tcPr>
          <w:p w14:paraId="7902CFAE"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89688.7</w:t>
            </w:r>
          </w:p>
        </w:tc>
        <w:tc>
          <w:tcPr>
            <w:tcW w:w="844" w:type="pct"/>
            <w:tcBorders>
              <w:top w:val="nil"/>
              <w:left w:val="nil"/>
              <w:bottom w:val="single" w:sz="4" w:space="0" w:color="auto"/>
              <w:right w:val="single" w:sz="4" w:space="0" w:color="auto"/>
            </w:tcBorders>
            <w:shd w:val="clear" w:color="auto" w:fill="auto"/>
            <w:noWrap/>
            <w:vAlign w:val="bottom"/>
            <w:hideMark/>
          </w:tcPr>
          <w:p w14:paraId="7BE6370D"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-2880.0</w:t>
            </w:r>
          </w:p>
        </w:tc>
        <w:tc>
          <w:tcPr>
            <w:tcW w:w="844" w:type="pct"/>
            <w:tcBorders>
              <w:top w:val="nil"/>
              <w:left w:val="nil"/>
              <w:bottom w:val="single" w:sz="4" w:space="0" w:color="auto"/>
              <w:right w:val="single" w:sz="4" w:space="0" w:color="auto"/>
            </w:tcBorders>
            <w:shd w:val="clear" w:color="auto" w:fill="auto"/>
            <w:noWrap/>
            <w:vAlign w:val="bottom"/>
            <w:hideMark/>
          </w:tcPr>
          <w:p w14:paraId="49DADCD7"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-21654.9</w:t>
            </w:r>
          </w:p>
        </w:tc>
        <w:tc>
          <w:tcPr>
            <w:tcW w:w="844" w:type="pct"/>
            <w:tcBorders>
              <w:top w:val="nil"/>
              <w:left w:val="nil"/>
              <w:bottom w:val="single" w:sz="4" w:space="0" w:color="auto"/>
              <w:right w:val="single" w:sz="4" w:space="0" w:color="auto"/>
            </w:tcBorders>
            <w:shd w:val="clear" w:color="auto" w:fill="auto"/>
            <w:noWrap/>
            <w:vAlign w:val="bottom"/>
            <w:hideMark/>
          </w:tcPr>
          <w:p w14:paraId="6C570C54"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-33900.9</w:t>
            </w:r>
          </w:p>
        </w:tc>
      </w:tr>
      <w:tr w:rsidR="006E4714" w:rsidRPr="00191ACB" w14:paraId="658522DB" w14:textId="77777777" w:rsidTr="005E626A">
        <w:trPr>
          <w:trHeight w:val="288"/>
        </w:trPr>
        <w:tc>
          <w:tcPr>
            <w:tcW w:w="617" w:type="pct"/>
            <w:tcBorders>
              <w:top w:val="nil"/>
              <w:left w:val="single" w:sz="4" w:space="0" w:color="auto"/>
              <w:bottom w:val="single" w:sz="4" w:space="0" w:color="auto"/>
              <w:right w:val="single" w:sz="4" w:space="0" w:color="auto"/>
            </w:tcBorders>
            <w:shd w:val="clear" w:color="auto" w:fill="auto"/>
            <w:noWrap/>
            <w:vAlign w:val="bottom"/>
            <w:hideMark/>
          </w:tcPr>
          <w:p w14:paraId="05FB050B"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2030</w:t>
            </w:r>
          </w:p>
        </w:tc>
        <w:tc>
          <w:tcPr>
            <w:tcW w:w="617" w:type="pct"/>
            <w:tcBorders>
              <w:top w:val="nil"/>
              <w:left w:val="nil"/>
              <w:bottom w:val="single" w:sz="4" w:space="0" w:color="auto"/>
              <w:right w:val="single" w:sz="4" w:space="0" w:color="auto"/>
            </w:tcBorders>
            <w:shd w:val="clear" w:color="auto" w:fill="auto"/>
            <w:noWrap/>
            <w:vAlign w:val="bottom"/>
            <w:hideMark/>
          </w:tcPr>
          <w:p w14:paraId="09FD2801"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108479.5</w:t>
            </w:r>
          </w:p>
        </w:tc>
        <w:tc>
          <w:tcPr>
            <w:tcW w:w="617" w:type="pct"/>
            <w:tcBorders>
              <w:top w:val="nil"/>
              <w:left w:val="nil"/>
              <w:bottom w:val="single" w:sz="4" w:space="0" w:color="auto"/>
              <w:right w:val="single" w:sz="4" w:space="0" w:color="auto"/>
            </w:tcBorders>
            <w:shd w:val="clear" w:color="auto" w:fill="auto"/>
            <w:noWrap/>
            <w:vAlign w:val="bottom"/>
            <w:hideMark/>
          </w:tcPr>
          <w:p w14:paraId="4FF459E5"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84534.6</w:t>
            </w:r>
          </w:p>
        </w:tc>
        <w:tc>
          <w:tcPr>
            <w:tcW w:w="617" w:type="pct"/>
            <w:tcBorders>
              <w:top w:val="nil"/>
              <w:left w:val="nil"/>
              <w:bottom w:val="single" w:sz="4" w:space="0" w:color="auto"/>
              <w:right w:val="single" w:sz="4" w:space="0" w:color="auto"/>
            </w:tcBorders>
            <w:shd w:val="clear" w:color="auto" w:fill="auto"/>
            <w:noWrap/>
            <w:vAlign w:val="bottom"/>
            <w:hideMark/>
          </w:tcPr>
          <w:p w14:paraId="6C29947C"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67481.9</w:t>
            </w:r>
          </w:p>
        </w:tc>
        <w:tc>
          <w:tcPr>
            <w:tcW w:w="844" w:type="pct"/>
            <w:tcBorders>
              <w:top w:val="nil"/>
              <w:left w:val="nil"/>
              <w:bottom w:val="single" w:sz="4" w:space="0" w:color="auto"/>
              <w:right w:val="single" w:sz="4" w:space="0" w:color="auto"/>
            </w:tcBorders>
            <w:shd w:val="clear" w:color="auto" w:fill="auto"/>
            <w:noWrap/>
            <w:vAlign w:val="bottom"/>
            <w:hideMark/>
          </w:tcPr>
          <w:p w14:paraId="12324146"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-10844.6</w:t>
            </w:r>
          </w:p>
        </w:tc>
        <w:tc>
          <w:tcPr>
            <w:tcW w:w="844" w:type="pct"/>
            <w:tcBorders>
              <w:top w:val="nil"/>
              <w:left w:val="nil"/>
              <w:bottom w:val="single" w:sz="4" w:space="0" w:color="auto"/>
              <w:right w:val="single" w:sz="4" w:space="0" w:color="auto"/>
            </w:tcBorders>
            <w:shd w:val="clear" w:color="auto" w:fill="auto"/>
            <w:noWrap/>
            <w:vAlign w:val="bottom"/>
            <w:hideMark/>
          </w:tcPr>
          <w:p w14:paraId="2CFEE762"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-34789.4</w:t>
            </w:r>
          </w:p>
        </w:tc>
        <w:tc>
          <w:tcPr>
            <w:tcW w:w="844" w:type="pct"/>
            <w:tcBorders>
              <w:top w:val="nil"/>
              <w:left w:val="nil"/>
              <w:bottom w:val="single" w:sz="4" w:space="0" w:color="auto"/>
              <w:right w:val="single" w:sz="4" w:space="0" w:color="auto"/>
            </w:tcBorders>
            <w:shd w:val="clear" w:color="auto" w:fill="auto"/>
            <w:noWrap/>
            <w:vAlign w:val="bottom"/>
            <w:hideMark/>
          </w:tcPr>
          <w:p w14:paraId="49FF62FB"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-51842.2</w:t>
            </w:r>
          </w:p>
        </w:tc>
      </w:tr>
      <w:tr w:rsidR="006E4714" w:rsidRPr="00191ACB" w14:paraId="588E0CF3" w14:textId="77777777" w:rsidTr="005E626A">
        <w:trPr>
          <w:trHeight w:val="288"/>
        </w:trPr>
        <w:tc>
          <w:tcPr>
            <w:tcW w:w="617" w:type="pct"/>
            <w:tcBorders>
              <w:top w:val="nil"/>
              <w:left w:val="single" w:sz="4" w:space="0" w:color="auto"/>
              <w:bottom w:val="single" w:sz="4" w:space="0" w:color="auto"/>
              <w:right w:val="single" w:sz="4" w:space="0" w:color="auto"/>
            </w:tcBorders>
            <w:shd w:val="clear" w:color="auto" w:fill="auto"/>
            <w:noWrap/>
            <w:vAlign w:val="bottom"/>
            <w:hideMark/>
          </w:tcPr>
          <w:p w14:paraId="3F970613"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2035</w:t>
            </w:r>
          </w:p>
        </w:tc>
        <w:tc>
          <w:tcPr>
            <w:tcW w:w="617" w:type="pct"/>
            <w:tcBorders>
              <w:top w:val="nil"/>
              <w:left w:val="nil"/>
              <w:bottom w:val="single" w:sz="4" w:space="0" w:color="auto"/>
              <w:right w:val="single" w:sz="4" w:space="0" w:color="auto"/>
            </w:tcBorders>
            <w:shd w:val="clear" w:color="auto" w:fill="auto"/>
            <w:noWrap/>
            <w:vAlign w:val="bottom"/>
            <w:hideMark/>
          </w:tcPr>
          <w:p w14:paraId="1FD0CA91"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104761.2</w:t>
            </w:r>
          </w:p>
        </w:tc>
        <w:tc>
          <w:tcPr>
            <w:tcW w:w="617" w:type="pct"/>
            <w:tcBorders>
              <w:top w:val="nil"/>
              <w:left w:val="nil"/>
              <w:bottom w:val="single" w:sz="4" w:space="0" w:color="auto"/>
              <w:right w:val="single" w:sz="4" w:space="0" w:color="auto"/>
            </w:tcBorders>
            <w:shd w:val="clear" w:color="auto" w:fill="auto"/>
            <w:noWrap/>
            <w:vAlign w:val="bottom"/>
            <w:hideMark/>
          </w:tcPr>
          <w:p w14:paraId="27F7D0F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75664.3</w:t>
            </w:r>
          </w:p>
        </w:tc>
        <w:tc>
          <w:tcPr>
            <w:tcW w:w="617" w:type="pct"/>
            <w:tcBorders>
              <w:top w:val="nil"/>
              <w:left w:val="nil"/>
              <w:bottom w:val="single" w:sz="4" w:space="0" w:color="auto"/>
              <w:right w:val="single" w:sz="4" w:space="0" w:color="auto"/>
            </w:tcBorders>
            <w:shd w:val="clear" w:color="auto" w:fill="auto"/>
            <w:noWrap/>
            <w:vAlign w:val="bottom"/>
            <w:hideMark/>
          </w:tcPr>
          <w:p w14:paraId="6918D86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53804.9</w:t>
            </w:r>
          </w:p>
        </w:tc>
        <w:tc>
          <w:tcPr>
            <w:tcW w:w="844" w:type="pct"/>
            <w:tcBorders>
              <w:top w:val="nil"/>
              <w:left w:val="nil"/>
              <w:bottom w:val="single" w:sz="4" w:space="0" w:color="auto"/>
              <w:right w:val="single" w:sz="4" w:space="0" w:color="auto"/>
            </w:tcBorders>
            <w:shd w:val="clear" w:color="auto" w:fill="auto"/>
            <w:noWrap/>
            <w:vAlign w:val="bottom"/>
            <w:hideMark/>
          </w:tcPr>
          <w:p w14:paraId="7933534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-10444.6</w:t>
            </w:r>
          </w:p>
        </w:tc>
        <w:tc>
          <w:tcPr>
            <w:tcW w:w="844" w:type="pct"/>
            <w:tcBorders>
              <w:top w:val="nil"/>
              <w:left w:val="nil"/>
              <w:bottom w:val="single" w:sz="4" w:space="0" w:color="auto"/>
              <w:right w:val="single" w:sz="4" w:space="0" w:color="auto"/>
            </w:tcBorders>
            <w:shd w:val="clear" w:color="auto" w:fill="auto"/>
            <w:noWrap/>
            <w:vAlign w:val="bottom"/>
            <w:hideMark/>
          </w:tcPr>
          <w:p w14:paraId="410F3698"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-39541.4</w:t>
            </w:r>
          </w:p>
        </w:tc>
        <w:tc>
          <w:tcPr>
            <w:tcW w:w="844" w:type="pct"/>
            <w:tcBorders>
              <w:top w:val="nil"/>
              <w:left w:val="nil"/>
              <w:bottom w:val="single" w:sz="4" w:space="0" w:color="auto"/>
              <w:right w:val="single" w:sz="4" w:space="0" w:color="auto"/>
            </w:tcBorders>
            <w:shd w:val="clear" w:color="auto" w:fill="auto"/>
            <w:noWrap/>
            <w:vAlign w:val="bottom"/>
            <w:hideMark/>
          </w:tcPr>
          <w:p w14:paraId="7FAE30AB"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-61400.9</w:t>
            </w:r>
          </w:p>
        </w:tc>
      </w:tr>
      <w:tr w:rsidR="006E4714" w:rsidRPr="00191ACB" w14:paraId="73156F75" w14:textId="77777777" w:rsidTr="005E626A">
        <w:trPr>
          <w:trHeight w:val="288"/>
        </w:trPr>
        <w:tc>
          <w:tcPr>
            <w:tcW w:w="617" w:type="pct"/>
            <w:tcBorders>
              <w:top w:val="nil"/>
              <w:left w:val="single" w:sz="4" w:space="0" w:color="auto"/>
              <w:bottom w:val="single" w:sz="4" w:space="0" w:color="auto"/>
              <w:right w:val="single" w:sz="4" w:space="0" w:color="auto"/>
            </w:tcBorders>
            <w:shd w:val="clear" w:color="auto" w:fill="auto"/>
            <w:noWrap/>
            <w:vAlign w:val="bottom"/>
            <w:hideMark/>
          </w:tcPr>
          <w:p w14:paraId="5C93B7CB"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2040</w:t>
            </w:r>
          </w:p>
        </w:tc>
        <w:tc>
          <w:tcPr>
            <w:tcW w:w="617" w:type="pct"/>
            <w:tcBorders>
              <w:top w:val="nil"/>
              <w:left w:val="nil"/>
              <w:bottom w:val="single" w:sz="4" w:space="0" w:color="auto"/>
              <w:right w:val="single" w:sz="4" w:space="0" w:color="auto"/>
            </w:tcBorders>
            <w:shd w:val="clear" w:color="auto" w:fill="auto"/>
            <w:noWrap/>
            <w:vAlign w:val="bottom"/>
            <w:hideMark/>
          </w:tcPr>
          <w:p w14:paraId="29FEC7B4"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107790.8</w:t>
            </w:r>
          </w:p>
        </w:tc>
        <w:tc>
          <w:tcPr>
            <w:tcW w:w="617" w:type="pct"/>
            <w:tcBorders>
              <w:top w:val="nil"/>
              <w:left w:val="nil"/>
              <w:bottom w:val="single" w:sz="4" w:space="0" w:color="auto"/>
              <w:right w:val="single" w:sz="4" w:space="0" w:color="auto"/>
            </w:tcBorders>
            <w:shd w:val="clear" w:color="auto" w:fill="auto"/>
            <w:noWrap/>
            <w:vAlign w:val="bottom"/>
            <w:hideMark/>
          </w:tcPr>
          <w:p w14:paraId="2E401FE1"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73541.0</w:t>
            </w:r>
          </w:p>
        </w:tc>
        <w:tc>
          <w:tcPr>
            <w:tcW w:w="617" w:type="pct"/>
            <w:tcBorders>
              <w:top w:val="nil"/>
              <w:left w:val="nil"/>
              <w:bottom w:val="single" w:sz="4" w:space="0" w:color="auto"/>
              <w:right w:val="single" w:sz="4" w:space="0" w:color="auto"/>
            </w:tcBorders>
            <w:shd w:val="clear" w:color="auto" w:fill="auto"/>
            <w:noWrap/>
            <w:vAlign w:val="bottom"/>
            <w:hideMark/>
          </w:tcPr>
          <w:p w14:paraId="6D13CC42"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46874.8</w:t>
            </w:r>
          </w:p>
        </w:tc>
        <w:tc>
          <w:tcPr>
            <w:tcW w:w="844" w:type="pct"/>
            <w:tcBorders>
              <w:top w:val="nil"/>
              <w:left w:val="nil"/>
              <w:bottom w:val="single" w:sz="4" w:space="0" w:color="auto"/>
              <w:right w:val="single" w:sz="4" w:space="0" w:color="auto"/>
            </w:tcBorders>
            <w:shd w:val="clear" w:color="auto" w:fill="auto"/>
            <w:noWrap/>
            <w:vAlign w:val="bottom"/>
            <w:hideMark/>
          </w:tcPr>
          <w:p w14:paraId="2B8FF1CB"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-3438.8</w:t>
            </w:r>
          </w:p>
        </w:tc>
        <w:tc>
          <w:tcPr>
            <w:tcW w:w="844" w:type="pct"/>
            <w:tcBorders>
              <w:top w:val="nil"/>
              <w:left w:val="nil"/>
              <w:bottom w:val="single" w:sz="4" w:space="0" w:color="auto"/>
              <w:right w:val="single" w:sz="4" w:space="0" w:color="auto"/>
            </w:tcBorders>
            <w:shd w:val="clear" w:color="auto" w:fill="auto"/>
            <w:noWrap/>
            <w:vAlign w:val="bottom"/>
            <w:hideMark/>
          </w:tcPr>
          <w:p w14:paraId="4C3BCF4A"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-37688.6</w:t>
            </w:r>
          </w:p>
        </w:tc>
        <w:tc>
          <w:tcPr>
            <w:tcW w:w="844" w:type="pct"/>
            <w:tcBorders>
              <w:top w:val="nil"/>
              <w:left w:val="nil"/>
              <w:bottom w:val="single" w:sz="4" w:space="0" w:color="auto"/>
              <w:right w:val="single" w:sz="4" w:space="0" w:color="auto"/>
            </w:tcBorders>
            <w:shd w:val="clear" w:color="auto" w:fill="auto"/>
            <w:noWrap/>
            <w:vAlign w:val="bottom"/>
            <w:hideMark/>
          </w:tcPr>
          <w:p w14:paraId="2D8C1BDB"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-64354.9</w:t>
            </w:r>
          </w:p>
        </w:tc>
      </w:tr>
      <w:tr w:rsidR="006E4714" w:rsidRPr="00191ACB" w14:paraId="7F4CFAC7" w14:textId="77777777" w:rsidTr="005E626A">
        <w:trPr>
          <w:trHeight w:val="288"/>
        </w:trPr>
        <w:tc>
          <w:tcPr>
            <w:tcW w:w="617" w:type="pct"/>
            <w:tcBorders>
              <w:top w:val="nil"/>
              <w:left w:val="single" w:sz="4" w:space="0" w:color="auto"/>
              <w:bottom w:val="single" w:sz="4" w:space="0" w:color="auto"/>
              <w:right w:val="single" w:sz="4" w:space="0" w:color="auto"/>
            </w:tcBorders>
            <w:shd w:val="clear" w:color="auto" w:fill="auto"/>
            <w:noWrap/>
            <w:vAlign w:val="bottom"/>
            <w:hideMark/>
          </w:tcPr>
          <w:p w14:paraId="1861BF9C"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2045</w:t>
            </w:r>
          </w:p>
        </w:tc>
        <w:tc>
          <w:tcPr>
            <w:tcW w:w="617" w:type="pct"/>
            <w:tcBorders>
              <w:top w:val="nil"/>
              <w:left w:val="nil"/>
              <w:bottom w:val="single" w:sz="4" w:space="0" w:color="auto"/>
              <w:right w:val="single" w:sz="4" w:space="0" w:color="auto"/>
            </w:tcBorders>
            <w:shd w:val="clear" w:color="auto" w:fill="auto"/>
            <w:noWrap/>
            <w:vAlign w:val="bottom"/>
            <w:hideMark/>
          </w:tcPr>
          <w:p w14:paraId="790090EB"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113783.2</w:t>
            </w:r>
          </w:p>
        </w:tc>
        <w:tc>
          <w:tcPr>
            <w:tcW w:w="617" w:type="pct"/>
            <w:tcBorders>
              <w:top w:val="nil"/>
              <w:left w:val="nil"/>
              <w:bottom w:val="single" w:sz="4" w:space="0" w:color="auto"/>
              <w:right w:val="single" w:sz="4" w:space="0" w:color="auto"/>
            </w:tcBorders>
            <w:shd w:val="clear" w:color="auto" w:fill="auto"/>
            <w:noWrap/>
            <w:vAlign w:val="bottom"/>
            <w:hideMark/>
          </w:tcPr>
          <w:p w14:paraId="25C491FE"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74379.4</w:t>
            </w:r>
          </w:p>
        </w:tc>
        <w:tc>
          <w:tcPr>
            <w:tcW w:w="617" w:type="pct"/>
            <w:tcBorders>
              <w:top w:val="nil"/>
              <w:left w:val="nil"/>
              <w:bottom w:val="single" w:sz="4" w:space="0" w:color="auto"/>
              <w:right w:val="single" w:sz="4" w:space="0" w:color="auto"/>
            </w:tcBorders>
            <w:shd w:val="clear" w:color="auto" w:fill="auto"/>
            <w:noWrap/>
            <w:vAlign w:val="bottom"/>
            <w:hideMark/>
          </w:tcPr>
          <w:p w14:paraId="01217240"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42906.4</w:t>
            </w:r>
          </w:p>
        </w:tc>
        <w:tc>
          <w:tcPr>
            <w:tcW w:w="844" w:type="pct"/>
            <w:tcBorders>
              <w:top w:val="nil"/>
              <w:left w:val="nil"/>
              <w:bottom w:val="single" w:sz="4" w:space="0" w:color="auto"/>
              <w:right w:val="single" w:sz="4" w:space="0" w:color="auto"/>
            </w:tcBorders>
            <w:shd w:val="clear" w:color="auto" w:fill="auto"/>
            <w:noWrap/>
            <w:vAlign w:val="bottom"/>
            <w:hideMark/>
          </w:tcPr>
          <w:p w14:paraId="7B28C4D5"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6392.5</w:t>
            </w:r>
          </w:p>
        </w:tc>
        <w:tc>
          <w:tcPr>
            <w:tcW w:w="844" w:type="pct"/>
            <w:tcBorders>
              <w:top w:val="nil"/>
              <w:left w:val="nil"/>
              <w:bottom w:val="single" w:sz="4" w:space="0" w:color="auto"/>
              <w:right w:val="single" w:sz="4" w:space="0" w:color="auto"/>
            </w:tcBorders>
            <w:shd w:val="clear" w:color="auto" w:fill="auto"/>
            <w:noWrap/>
            <w:vAlign w:val="bottom"/>
            <w:hideMark/>
          </w:tcPr>
          <w:p w14:paraId="66141970"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-33011.4</w:t>
            </w:r>
          </w:p>
        </w:tc>
        <w:tc>
          <w:tcPr>
            <w:tcW w:w="844" w:type="pct"/>
            <w:tcBorders>
              <w:top w:val="nil"/>
              <w:left w:val="nil"/>
              <w:bottom w:val="single" w:sz="4" w:space="0" w:color="auto"/>
              <w:right w:val="single" w:sz="4" w:space="0" w:color="auto"/>
            </w:tcBorders>
            <w:shd w:val="clear" w:color="auto" w:fill="auto"/>
            <w:noWrap/>
            <w:vAlign w:val="bottom"/>
            <w:hideMark/>
          </w:tcPr>
          <w:p w14:paraId="2C20BF05"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-64484.3</w:t>
            </w:r>
          </w:p>
        </w:tc>
      </w:tr>
      <w:tr w:rsidR="006E4714" w:rsidRPr="00191ACB" w14:paraId="179A8D13" w14:textId="77777777" w:rsidTr="005E626A">
        <w:trPr>
          <w:trHeight w:val="288"/>
        </w:trPr>
        <w:tc>
          <w:tcPr>
            <w:tcW w:w="617" w:type="pct"/>
            <w:tcBorders>
              <w:top w:val="nil"/>
              <w:left w:val="single" w:sz="4" w:space="0" w:color="auto"/>
              <w:bottom w:val="single" w:sz="4" w:space="0" w:color="auto"/>
              <w:right w:val="single" w:sz="4" w:space="0" w:color="auto"/>
            </w:tcBorders>
            <w:shd w:val="clear" w:color="auto" w:fill="auto"/>
            <w:noWrap/>
            <w:vAlign w:val="bottom"/>
            <w:hideMark/>
          </w:tcPr>
          <w:p w14:paraId="473DADF0"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2050</w:t>
            </w:r>
          </w:p>
        </w:tc>
        <w:tc>
          <w:tcPr>
            <w:tcW w:w="617" w:type="pct"/>
            <w:tcBorders>
              <w:top w:val="nil"/>
              <w:left w:val="nil"/>
              <w:bottom w:val="single" w:sz="4" w:space="0" w:color="auto"/>
              <w:right w:val="single" w:sz="4" w:space="0" w:color="auto"/>
            </w:tcBorders>
            <w:shd w:val="clear" w:color="auto" w:fill="auto"/>
            <w:noWrap/>
            <w:vAlign w:val="bottom"/>
            <w:hideMark/>
          </w:tcPr>
          <w:p w14:paraId="24469D97"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120289.1</w:t>
            </w:r>
          </w:p>
        </w:tc>
        <w:tc>
          <w:tcPr>
            <w:tcW w:w="617" w:type="pct"/>
            <w:tcBorders>
              <w:top w:val="nil"/>
              <w:left w:val="nil"/>
              <w:bottom w:val="single" w:sz="4" w:space="0" w:color="auto"/>
              <w:right w:val="single" w:sz="4" w:space="0" w:color="auto"/>
            </w:tcBorders>
            <w:shd w:val="clear" w:color="auto" w:fill="auto"/>
            <w:noWrap/>
            <w:vAlign w:val="bottom"/>
            <w:hideMark/>
          </w:tcPr>
          <w:p w14:paraId="441875AF"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75730.1</w:t>
            </w:r>
          </w:p>
        </w:tc>
        <w:tc>
          <w:tcPr>
            <w:tcW w:w="617" w:type="pct"/>
            <w:tcBorders>
              <w:top w:val="nil"/>
              <w:left w:val="nil"/>
              <w:bottom w:val="single" w:sz="4" w:space="0" w:color="auto"/>
              <w:right w:val="single" w:sz="4" w:space="0" w:color="auto"/>
            </w:tcBorders>
            <w:shd w:val="clear" w:color="auto" w:fill="auto"/>
            <w:noWrap/>
            <w:vAlign w:val="bottom"/>
            <w:hideMark/>
          </w:tcPr>
          <w:p w14:paraId="79678D84"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39450.4</w:t>
            </w:r>
          </w:p>
        </w:tc>
        <w:tc>
          <w:tcPr>
            <w:tcW w:w="844" w:type="pct"/>
            <w:tcBorders>
              <w:top w:val="nil"/>
              <w:left w:val="nil"/>
              <w:bottom w:val="single" w:sz="4" w:space="0" w:color="auto"/>
              <w:right w:val="single" w:sz="4" w:space="0" w:color="auto"/>
            </w:tcBorders>
            <w:shd w:val="clear" w:color="auto" w:fill="auto"/>
            <w:noWrap/>
            <w:vAlign w:val="bottom"/>
            <w:hideMark/>
          </w:tcPr>
          <w:p w14:paraId="14AD0415"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16604.8</w:t>
            </w:r>
          </w:p>
        </w:tc>
        <w:tc>
          <w:tcPr>
            <w:tcW w:w="844" w:type="pct"/>
            <w:tcBorders>
              <w:top w:val="nil"/>
              <w:left w:val="nil"/>
              <w:bottom w:val="single" w:sz="4" w:space="0" w:color="auto"/>
              <w:right w:val="single" w:sz="4" w:space="0" w:color="auto"/>
            </w:tcBorders>
            <w:shd w:val="clear" w:color="auto" w:fill="auto"/>
            <w:noWrap/>
            <w:vAlign w:val="bottom"/>
            <w:hideMark/>
          </w:tcPr>
          <w:p w14:paraId="4C82484F"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-27954.2</w:t>
            </w:r>
          </w:p>
        </w:tc>
        <w:tc>
          <w:tcPr>
            <w:tcW w:w="844" w:type="pct"/>
            <w:tcBorders>
              <w:top w:val="nil"/>
              <w:left w:val="nil"/>
              <w:bottom w:val="single" w:sz="4" w:space="0" w:color="auto"/>
              <w:right w:val="single" w:sz="4" w:space="0" w:color="auto"/>
            </w:tcBorders>
            <w:shd w:val="clear" w:color="auto" w:fill="auto"/>
            <w:noWrap/>
            <w:vAlign w:val="bottom"/>
            <w:hideMark/>
          </w:tcPr>
          <w:p w14:paraId="3D1CDEC2" w14:textId="77777777" w:rsidR="006E4714" w:rsidRPr="00191ACB" w:rsidRDefault="006E4714"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-64233.9</w:t>
            </w:r>
          </w:p>
        </w:tc>
      </w:tr>
    </w:tbl>
    <w:p w14:paraId="1F22C827"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p>
    <w:p w14:paraId="14654721" w14:textId="372910EA"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With sequestration, the emissions profiles across scenarios changes (Figure</w:t>
      </w:r>
      <w:r w:rsidR="00D7105F" w:rsidRPr="00191ACB">
        <w:rPr>
          <w:rFonts w:ascii="Times New Roman" w:eastAsia="Calibri" w:hAnsi="Times New Roman" w:cs="Times New Roman"/>
          <w:color w:val="000000" w:themeColor="text1"/>
          <w:sz w:val="24"/>
          <w:szCs w:val="24"/>
        </w:rPr>
        <w:t xml:space="preserve"> 4.3</w:t>
      </w:r>
      <w:r w:rsidRPr="00191ACB">
        <w:rPr>
          <w:rFonts w:ascii="Times New Roman" w:eastAsia="Calibri" w:hAnsi="Times New Roman" w:cs="Times New Roman"/>
          <w:color w:val="000000" w:themeColor="text1"/>
          <w:sz w:val="24"/>
          <w:szCs w:val="24"/>
        </w:rPr>
        <w:t>). Scenarios 2 and 3 show net sink throug</w:t>
      </w:r>
      <w:r w:rsidR="00FD78C2" w:rsidRPr="00191ACB">
        <w:rPr>
          <w:rFonts w:ascii="Times New Roman" w:eastAsia="Calibri" w:hAnsi="Times New Roman" w:cs="Times New Roman"/>
          <w:color w:val="000000" w:themeColor="text1"/>
          <w:sz w:val="24"/>
          <w:szCs w:val="24"/>
        </w:rPr>
        <w:t>ho</w:t>
      </w:r>
      <w:r w:rsidRPr="00191ACB">
        <w:rPr>
          <w:rFonts w:ascii="Times New Roman" w:eastAsia="Calibri" w:hAnsi="Times New Roman" w:cs="Times New Roman"/>
          <w:color w:val="000000" w:themeColor="text1"/>
          <w:sz w:val="24"/>
          <w:szCs w:val="24"/>
        </w:rPr>
        <w:t xml:space="preserve">ut the projected period while Scenario 1 indicate net sink emissions until after 2040. </w:t>
      </w:r>
    </w:p>
    <w:p w14:paraId="0C6670FE"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r w:rsidRPr="00191ACB">
        <w:rPr>
          <w:rFonts w:ascii="Times New Roman" w:hAnsi="Times New Roman" w:cs="Times New Roman"/>
          <w:noProof/>
          <w:color w:val="000000" w:themeColor="text1"/>
          <w:sz w:val="24"/>
          <w:szCs w:val="24"/>
          <w:lang w:val="en-GB" w:eastAsia="en-GB"/>
        </w:rPr>
        <w:drawing>
          <wp:inline distT="0" distB="0" distL="0" distR="0" wp14:anchorId="380A3B02" wp14:editId="7B8687A0">
            <wp:extent cx="6190615" cy="3361055"/>
            <wp:effectExtent l="0" t="0" r="635" b="1079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510975FF" w14:textId="53898C8B" w:rsidR="006E4714" w:rsidRPr="00191ACB" w:rsidRDefault="00C319A4" w:rsidP="00C319A4">
      <w:pPr>
        <w:pStyle w:val="Caption"/>
        <w:rPr>
          <w:rFonts w:eastAsia="Arial"/>
          <w:color w:val="000000" w:themeColor="text1"/>
          <w:sz w:val="24"/>
          <w:szCs w:val="24"/>
        </w:rPr>
      </w:pPr>
      <w:bookmarkStart w:id="353" w:name="_Toc56583889"/>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4</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3</w:t>
      </w:r>
      <w:r w:rsidR="009D481C">
        <w:rPr>
          <w:sz w:val="24"/>
          <w:szCs w:val="24"/>
        </w:rPr>
        <w:fldChar w:fldCharType="end"/>
      </w:r>
      <w:r w:rsidRPr="00191ACB">
        <w:rPr>
          <w:sz w:val="24"/>
          <w:szCs w:val="24"/>
        </w:rPr>
        <w:t xml:space="preserve">Trends of emissions for mitigation across the scenarios with and without </w:t>
      </w:r>
      <w:r w:rsidR="00D7105F" w:rsidRPr="00191ACB">
        <w:rPr>
          <w:sz w:val="24"/>
          <w:szCs w:val="24"/>
        </w:rPr>
        <w:t>sequestration:</w:t>
      </w:r>
      <w:bookmarkEnd w:id="353"/>
    </w:p>
    <w:p w14:paraId="73009A8A" w14:textId="77777777" w:rsidR="006E4714" w:rsidRPr="00191ACB" w:rsidRDefault="006E4714" w:rsidP="005E626A">
      <w:pPr>
        <w:spacing w:after="120" w:line="240" w:lineRule="auto"/>
        <w:jc w:val="both"/>
        <w:rPr>
          <w:rFonts w:ascii="Times New Roman" w:eastAsia="Calibri" w:hAnsi="Times New Roman" w:cs="Times New Roman"/>
          <w:noProof/>
          <w:color w:val="000000" w:themeColor="text1"/>
          <w:sz w:val="24"/>
          <w:szCs w:val="24"/>
        </w:rPr>
      </w:pPr>
    </w:p>
    <w:p w14:paraId="79359757" w14:textId="7894728A"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In all scenarios</w:t>
      </w:r>
      <w:r w:rsidR="00350268">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(Figure</w:t>
      </w:r>
      <w:r w:rsidR="00D7105F" w:rsidRPr="00191ACB">
        <w:rPr>
          <w:rFonts w:ascii="Times New Roman" w:eastAsia="Calibri" w:hAnsi="Times New Roman" w:cs="Times New Roman"/>
          <w:color w:val="000000" w:themeColor="text1"/>
          <w:sz w:val="24"/>
          <w:szCs w:val="24"/>
        </w:rPr>
        <w:t xml:space="preserve"> 4.3</w:t>
      </w:r>
      <w:r w:rsidRPr="00191ACB">
        <w:rPr>
          <w:rFonts w:ascii="Times New Roman" w:eastAsia="Calibri" w:hAnsi="Times New Roman" w:cs="Times New Roman"/>
          <w:color w:val="000000" w:themeColor="text1"/>
          <w:sz w:val="24"/>
          <w:szCs w:val="24"/>
        </w:rPr>
        <w:t>), emissions begin to d</w:t>
      </w:r>
      <w:r w:rsidR="00FD78C2" w:rsidRPr="00191ACB">
        <w:rPr>
          <w:rFonts w:ascii="Times New Roman" w:eastAsia="Calibri" w:hAnsi="Times New Roman" w:cs="Times New Roman"/>
          <w:color w:val="000000" w:themeColor="text1"/>
          <w:sz w:val="24"/>
          <w:szCs w:val="24"/>
        </w:rPr>
        <w:t>ecline</w:t>
      </w:r>
      <w:r w:rsidRPr="00191ACB">
        <w:rPr>
          <w:rFonts w:ascii="Times New Roman" w:eastAsia="Calibri" w:hAnsi="Times New Roman" w:cs="Times New Roman"/>
          <w:color w:val="000000" w:themeColor="text1"/>
          <w:sz w:val="24"/>
          <w:szCs w:val="24"/>
        </w:rPr>
        <w:t xml:space="preserve"> around 2018 mainly due to a number of renewable energy and energy efficiency projects that are being implemented with a definite timeline either under construction, or with strong indications of being completed by 2030. Mitigation actions </w:t>
      </w:r>
      <w:r w:rsidRPr="00191ACB">
        <w:rPr>
          <w:rFonts w:ascii="Times New Roman" w:eastAsia="Calibri" w:hAnsi="Times New Roman" w:cs="Times New Roman"/>
          <w:color w:val="000000" w:themeColor="text1"/>
          <w:sz w:val="24"/>
          <w:szCs w:val="24"/>
        </w:rPr>
        <w:lastRenderedPageBreak/>
        <w:t>under energy are projected to be the major contributors to emission reductions in scenario 1 and to certain extent scenario</w:t>
      </w:r>
      <w:r w:rsidR="00FD78C2"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2. Mitigation actions in other sectors such as agriculture and forestry are projected to contribute more emission reductions under scenario</w:t>
      </w:r>
      <w:r w:rsidR="00FD78C2"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3. Analysis revealed that under the baseline, Zambia shifted from net sink to net source in 2018. However, with mitigation consideration under scenario1 the net sink is being deferred until 2038. In case of scenarios 2 and 3 the net sink will be maintained throughout the projection period.</w:t>
      </w:r>
    </w:p>
    <w:p w14:paraId="17FBE483"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p>
    <w:p w14:paraId="357A2B77" w14:textId="181BDA66" w:rsidR="006E4714" w:rsidRPr="00176B46" w:rsidRDefault="006E4714" w:rsidP="005D53F6">
      <w:pPr>
        <w:pStyle w:val="Heading4"/>
        <w:numPr>
          <w:ilvl w:val="3"/>
          <w:numId w:val="36"/>
        </w:numPr>
        <w:ind w:left="851" w:hanging="851"/>
      </w:pPr>
      <w:bookmarkStart w:id="354" w:name="_Toc13582217"/>
      <w:bookmarkStart w:id="355" w:name="_Toc26264925"/>
      <w:r w:rsidRPr="00176B46">
        <w:t>Contribution to NDC</w:t>
      </w:r>
      <w:bookmarkEnd w:id="354"/>
      <w:bookmarkEnd w:id="355"/>
    </w:p>
    <w:p w14:paraId="2AE23EB6" w14:textId="3C6C5633" w:rsidR="006E4714" w:rsidRPr="00191ACB" w:rsidRDefault="006E4714" w:rsidP="002A4DFC">
      <w:pPr>
        <w:spacing w:after="120" w:line="276"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This section of the report provides comparison of mitigation emissions against NDC target. Pursuing scenario 1 will achieve a cumulative amount of </w:t>
      </w:r>
      <w:r w:rsidRPr="00191ACB">
        <w:rPr>
          <w:rFonts w:ascii="Times New Roman" w:eastAsia="Times New Roman" w:hAnsi="Times New Roman" w:cs="Times New Roman"/>
          <w:color w:val="000000" w:themeColor="text1"/>
          <w:sz w:val="24"/>
          <w:szCs w:val="24"/>
        </w:rPr>
        <w:t xml:space="preserve">57,409.9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since 2010 base year, almost double the NDC emissions target of 38,000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by 2030.  This implies scenario 1 emissions will have surplus of </w:t>
      </w:r>
      <w:r w:rsidRPr="00191ACB">
        <w:rPr>
          <w:rFonts w:ascii="Times New Roman" w:eastAsia="Times New Roman" w:hAnsi="Times New Roman" w:cs="Times New Roman"/>
          <w:color w:val="000000" w:themeColor="text1"/>
          <w:sz w:val="24"/>
          <w:szCs w:val="24"/>
        </w:rPr>
        <w:t xml:space="preserve">19,409.9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beyond the emissions target for 2030. If Zambia follows scenario 2 emissions trajectory, it will reduce emission to </w:t>
      </w:r>
      <w:r w:rsidR="00FD78C2" w:rsidRPr="00191ACB">
        <w:rPr>
          <w:rFonts w:ascii="Times New Roman" w:eastAsia="Calibri" w:hAnsi="Times New Roman" w:cs="Times New Roman"/>
          <w:color w:val="000000" w:themeColor="text1"/>
          <w:sz w:val="24"/>
          <w:szCs w:val="24"/>
        </w:rPr>
        <w:t xml:space="preserve">approximately </w:t>
      </w:r>
      <w:r w:rsidRPr="00191ACB">
        <w:rPr>
          <w:rFonts w:ascii="Times New Roman" w:eastAsia="Times New Roman" w:hAnsi="Times New Roman" w:cs="Times New Roman"/>
          <w:color w:val="000000" w:themeColor="text1"/>
          <w:sz w:val="24"/>
          <w:szCs w:val="24"/>
        </w:rPr>
        <w:t>104,265.6 Gg CO</w:t>
      </w:r>
      <w:r w:rsidRPr="00191ACB">
        <w:rPr>
          <w:rFonts w:ascii="Times New Roman" w:eastAsia="Times New Roman" w:hAnsi="Times New Roman" w:cs="Times New Roman"/>
          <w:color w:val="000000" w:themeColor="text1"/>
          <w:sz w:val="24"/>
          <w:szCs w:val="24"/>
          <w:vertAlign w:val="subscript"/>
        </w:rPr>
        <w:t>2 eq.</w:t>
      </w:r>
      <w:r w:rsidRPr="00191ACB">
        <w:rPr>
          <w:rFonts w:ascii="Times New Roman" w:eastAsia="Times New Roman" w:hAnsi="Times New Roman" w:cs="Times New Roman"/>
          <w:color w:val="000000" w:themeColor="text1"/>
          <w:sz w:val="24"/>
          <w:szCs w:val="24"/>
        </w:rPr>
        <w:t xml:space="preserve"> by 2030 thereby </w:t>
      </w:r>
      <w:r w:rsidRPr="00191ACB">
        <w:rPr>
          <w:rFonts w:ascii="Times New Roman" w:eastAsia="Calibri" w:hAnsi="Times New Roman" w:cs="Times New Roman"/>
          <w:color w:val="000000" w:themeColor="text1"/>
          <w:sz w:val="24"/>
          <w:szCs w:val="24"/>
        </w:rPr>
        <w:t xml:space="preserve">meeting the 2030 NDC emissions target with surplus emissions reduction of </w:t>
      </w:r>
      <w:r w:rsidRPr="00191ACB">
        <w:rPr>
          <w:rFonts w:ascii="Times New Roman" w:eastAsia="Times New Roman" w:hAnsi="Times New Roman" w:cs="Times New Roman"/>
          <w:color w:val="000000" w:themeColor="text1"/>
          <w:sz w:val="24"/>
          <w:szCs w:val="24"/>
        </w:rPr>
        <w:t>66,265.6GgCO</w:t>
      </w:r>
      <w:r w:rsidRPr="00191ACB">
        <w:rPr>
          <w:rFonts w:ascii="Times New Roman" w:eastAsia="Times New Roman" w:hAnsi="Times New Roman" w:cs="Times New Roman"/>
          <w:color w:val="000000" w:themeColor="text1"/>
          <w:sz w:val="24"/>
          <w:szCs w:val="24"/>
          <w:vertAlign w:val="subscript"/>
        </w:rPr>
        <w:t>2eq.</w:t>
      </w:r>
      <w:r w:rsidRPr="00191ACB">
        <w:rPr>
          <w:rFonts w:ascii="Times New Roman" w:eastAsia="Times New Roman" w:hAnsi="Times New Roman" w:cs="Times New Roman"/>
          <w:color w:val="000000" w:themeColor="text1"/>
          <w:sz w:val="24"/>
          <w:szCs w:val="24"/>
        </w:rPr>
        <w:t xml:space="preserve"> (Figure </w:t>
      </w:r>
      <w:r w:rsidR="00D7105F" w:rsidRPr="00191ACB">
        <w:rPr>
          <w:rFonts w:ascii="Times New Roman" w:eastAsia="Times New Roman" w:hAnsi="Times New Roman" w:cs="Times New Roman"/>
          <w:color w:val="000000" w:themeColor="text1"/>
          <w:sz w:val="24"/>
          <w:szCs w:val="24"/>
        </w:rPr>
        <w:t>4.4</w:t>
      </w:r>
      <w:r w:rsidRPr="00191ACB">
        <w:rPr>
          <w:rFonts w:ascii="Times New Roman" w:eastAsia="Times New Roman" w:hAnsi="Times New Roman" w:cs="Times New Roman"/>
          <w:color w:val="000000" w:themeColor="text1"/>
          <w:sz w:val="24"/>
          <w:szCs w:val="24"/>
        </w:rPr>
        <w:t>).</w:t>
      </w:r>
    </w:p>
    <w:p w14:paraId="448C94B9" w14:textId="77777777" w:rsidR="006E4714" w:rsidRPr="00191ACB" w:rsidRDefault="006E4714" w:rsidP="005B2733">
      <w:pPr>
        <w:spacing w:after="120" w:line="240" w:lineRule="auto"/>
        <w:jc w:val="both"/>
        <w:rPr>
          <w:rFonts w:ascii="Times New Roman" w:eastAsia="Times New Roman" w:hAnsi="Times New Roman" w:cs="Times New Roman"/>
          <w:color w:val="000000" w:themeColor="text1"/>
          <w:sz w:val="24"/>
          <w:szCs w:val="24"/>
        </w:rPr>
      </w:pPr>
    </w:p>
    <w:p w14:paraId="6032576B" w14:textId="77777777" w:rsidR="006E4714" w:rsidRPr="00191ACB" w:rsidRDefault="006E4714" w:rsidP="005B2733">
      <w:pPr>
        <w:spacing w:after="120" w:line="240" w:lineRule="auto"/>
        <w:jc w:val="both"/>
        <w:rPr>
          <w:rFonts w:ascii="Times New Roman" w:eastAsia="Calibri" w:hAnsi="Times New Roman" w:cs="Times New Roman"/>
          <w:color w:val="000000" w:themeColor="text1"/>
          <w:sz w:val="24"/>
          <w:szCs w:val="24"/>
        </w:rPr>
      </w:pPr>
      <w:bookmarkStart w:id="356" w:name="_Toc19284675"/>
      <w:bookmarkStart w:id="357" w:name="_Toc19706062"/>
      <w:r w:rsidRPr="00191ACB">
        <w:rPr>
          <w:rFonts w:ascii="Times New Roman" w:hAnsi="Times New Roman" w:cs="Times New Roman"/>
          <w:noProof/>
          <w:color w:val="000000" w:themeColor="text1"/>
          <w:sz w:val="24"/>
          <w:szCs w:val="24"/>
          <w:lang w:val="en-GB" w:eastAsia="en-GB"/>
        </w:rPr>
        <w:drawing>
          <wp:inline distT="0" distB="0" distL="0" distR="0" wp14:anchorId="730E0566" wp14:editId="7BF2190E">
            <wp:extent cx="5593715" cy="3192780"/>
            <wp:effectExtent l="0" t="0" r="6985" b="762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06509863" w14:textId="7F228151" w:rsidR="006E4714" w:rsidRPr="00191ACB" w:rsidRDefault="00C319A4" w:rsidP="00C319A4">
      <w:pPr>
        <w:pStyle w:val="Caption"/>
        <w:rPr>
          <w:rFonts w:eastAsia="Calibri"/>
          <w:color w:val="000000" w:themeColor="text1"/>
          <w:sz w:val="24"/>
          <w:szCs w:val="24"/>
        </w:rPr>
      </w:pPr>
      <w:bookmarkStart w:id="358" w:name="_Toc56583890"/>
      <w:bookmarkEnd w:id="356"/>
      <w:bookmarkEnd w:id="357"/>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4</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4</w:t>
      </w:r>
      <w:r w:rsidR="009D481C">
        <w:rPr>
          <w:sz w:val="24"/>
          <w:szCs w:val="24"/>
        </w:rPr>
        <w:fldChar w:fldCharType="end"/>
      </w:r>
      <w:r w:rsidRPr="00191ACB">
        <w:rPr>
          <w:sz w:val="24"/>
          <w:szCs w:val="24"/>
        </w:rPr>
        <w:t>:Trends of mitigation pathways against the NDC target</w:t>
      </w:r>
      <w:bookmarkEnd w:id="358"/>
    </w:p>
    <w:p w14:paraId="5CF2D2BF" w14:textId="77777777" w:rsidR="006E4714" w:rsidRPr="00191ACB" w:rsidRDefault="006E4714" w:rsidP="005B2733">
      <w:pPr>
        <w:spacing w:after="120" w:line="240" w:lineRule="auto"/>
        <w:jc w:val="both"/>
        <w:rPr>
          <w:rFonts w:ascii="Times New Roman" w:eastAsia="Calibri" w:hAnsi="Times New Roman" w:cs="Times New Roman"/>
          <w:b/>
          <w:color w:val="000000" w:themeColor="text1"/>
          <w:sz w:val="24"/>
          <w:szCs w:val="24"/>
        </w:rPr>
      </w:pPr>
    </w:p>
    <w:p w14:paraId="237AB96C" w14:textId="77777777" w:rsidR="002A4DFC" w:rsidRDefault="002A4DFC" w:rsidP="002A4DFC">
      <w:pPr>
        <w:spacing w:after="120" w:line="276" w:lineRule="auto"/>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br w:type="page"/>
      </w:r>
    </w:p>
    <w:p w14:paraId="6A8BDFD9" w14:textId="086B9D35" w:rsidR="006E4714" w:rsidRPr="00191ACB" w:rsidRDefault="006E4714" w:rsidP="002A4DFC">
      <w:pPr>
        <w:spacing w:after="120" w:line="276"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lastRenderedPageBreak/>
        <w:t xml:space="preserve">Tracking Scenario 3 emissions reduction profile will enable Zambia attain emissions reduction of </w:t>
      </w:r>
      <w:r w:rsidRPr="00191ACB">
        <w:rPr>
          <w:rFonts w:ascii="Times New Roman" w:eastAsia="Times New Roman" w:hAnsi="Times New Roman" w:cs="Times New Roman"/>
          <w:color w:val="000000" w:themeColor="text1"/>
          <w:sz w:val="24"/>
          <w:szCs w:val="24"/>
        </w:rPr>
        <w:t xml:space="preserve">137,409.7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and achieve the NDC target by 2030.</w:t>
      </w:r>
    </w:p>
    <w:p w14:paraId="13176858" w14:textId="77777777" w:rsidR="006E4714" w:rsidRPr="00191ACB" w:rsidRDefault="006E4714" w:rsidP="005B2733">
      <w:pPr>
        <w:spacing w:after="120" w:line="240" w:lineRule="auto"/>
        <w:jc w:val="both"/>
        <w:rPr>
          <w:rFonts w:ascii="Times New Roman" w:eastAsia="Times New Roman" w:hAnsi="Times New Roman" w:cs="Times New Roman"/>
          <w:color w:val="000000" w:themeColor="text1"/>
          <w:sz w:val="24"/>
          <w:szCs w:val="24"/>
        </w:rPr>
      </w:pPr>
    </w:p>
    <w:p w14:paraId="040AA9A6" w14:textId="520A95DF" w:rsidR="006E4714" w:rsidRPr="00191ACB" w:rsidRDefault="00C319A4" w:rsidP="00C319A4">
      <w:pPr>
        <w:pStyle w:val="Caption"/>
        <w:rPr>
          <w:rFonts w:eastAsia="Calibri"/>
          <w:color w:val="000000" w:themeColor="text1"/>
          <w:sz w:val="24"/>
          <w:szCs w:val="24"/>
        </w:rPr>
      </w:pPr>
      <w:bookmarkStart w:id="359" w:name="_Toc56583784"/>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8</w:t>
      </w:r>
      <w:r w:rsidR="00875942">
        <w:rPr>
          <w:sz w:val="24"/>
          <w:szCs w:val="24"/>
        </w:rPr>
        <w:fldChar w:fldCharType="end"/>
      </w:r>
      <w:r w:rsidRPr="00191ACB">
        <w:rPr>
          <w:sz w:val="24"/>
          <w:szCs w:val="24"/>
        </w:rPr>
        <w:t>: Cumulative mitigation emissions (Gg CO2 eq.) according to three trajectories:</w:t>
      </w:r>
      <w:bookmarkEnd w:id="359"/>
    </w:p>
    <w:tbl>
      <w:tblPr>
        <w:tblW w:w="5000" w:type="pct"/>
        <w:tblLayout w:type="fixed"/>
        <w:tblLook w:val="04A0" w:firstRow="1" w:lastRow="0" w:firstColumn="1" w:lastColumn="0" w:noHBand="0" w:noVBand="1"/>
      </w:tblPr>
      <w:tblGrid>
        <w:gridCol w:w="1103"/>
        <w:gridCol w:w="875"/>
        <w:gridCol w:w="711"/>
        <w:gridCol w:w="843"/>
        <w:gridCol w:w="949"/>
        <w:gridCol w:w="1052"/>
        <w:gridCol w:w="1052"/>
        <w:gridCol w:w="1052"/>
        <w:gridCol w:w="1052"/>
        <w:gridCol w:w="1050"/>
      </w:tblGrid>
      <w:tr w:rsidR="006E4714" w:rsidRPr="00350268" w14:paraId="209C20DD" w14:textId="77777777" w:rsidTr="00D7105F">
        <w:trPr>
          <w:trHeight w:val="300"/>
        </w:trPr>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1B0931" w14:textId="77777777" w:rsidR="006E4714" w:rsidRPr="00350268" w:rsidRDefault="006E4714" w:rsidP="005B2733">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 </w:t>
            </w:r>
          </w:p>
        </w:tc>
        <w:tc>
          <w:tcPr>
            <w:tcW w:w="449" w:type="pct"/>
            <w:tcBorders>
              <w:top w:val="single" w:sz="4" w:space="0" w:color="auto"/>
              <w:left w:val="nil"/>
              <w:bottom w:val="single" w:sz="4" w:space="0" w:color="auto"/>
              <w:right w:val="single" w:sz="4" w:space="0" w:color="auto"/>
            </w:tcBorders>
            <w:shd w:val="clear" w:color="auto" w:fill="auto"/>
            <w:noWrap/>
            <w:vAlign w:val="bottom"/>
            <w:hideMark/>
          </w:tcPr>
          <w:p w14:paraId="303C6602" w14:textId="77777777" w:rsidR="006E4714" w:rsidRPr="00350268" w:rsidRDefault="006E471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2010</w:t>
            </w:r>
          </w:p>
        </w:tc>
        <w:tc>
          <w:tcPr>
            <w:tcW w:w="365" w:type="pct"/>
            <w:tcBorders>
              <w:top w:val="single" w:sz="4" w:space="0" w:color="auto"/>
              <w:left w:val="nil"/>
              <w:bottom w:val="single" w:sz="4" w:space="0" w:color="auto"/>
              <w:right w:val="single" w:sz="4" w:space="0" w:color="auto"/>
            </w:tcBorders>
            <w:shd w:val="clear" w:color="auto" w:fill="auto"/>
            <w:noWrap/>
            <w:vAlign w:val="bottom"/>
            <w:hideMark/>
          </w:tcPr>
          <w:p w14:paraId="18221FF7" w14:textId="77777777" w:rsidR="006E4714" w:rsidRPr="00350268" w:rsidRDefault="006E471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2015</w:t>
            </w:r>
          </w:p>
        </w:tc>
        <w:tc>
          <w:tcPr>
            <w:tcW w:w="433" w:type="pct"/>
            <w:tcBorders>
              <w:top w:val="single" w:sz="4" w:space="0" w:color="auto"/>
              <w:left w:val="nil"/>
              <w:bottom w:val="single" w:sz="4" w:space="0" w:color="auto"/>
              <w:right w:val="single" w:sz="4" w:space="0" w:color="auto"/>
            </w:tcBorders>
            <w:shd w:val="clear" w:color="auto" w:fill="auto"/>
            <w:noWrap/>
            <w:vAlign w:val="bottom"/>
            <w:hideMark/>
          </w:tcPr>
          <w:p w14:paraId="7030F3E9" w14:textId="77777777" w:rsidR="006E4714" w:rsidRPr="00350268" w:rsidRDefault="006E471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2020</w:t>
            </w:r>
          </w:p>
        </w:tc>
        <w:tc>
          <w:tcPr>
            <w:tcW w:w="487" w:type="pct"/>
            <w:tcBorders>
              <w:top w:val="single" w:sz="4" w:space="0" w:color="auto"/>
              <w:left w:val="nil"/>
              <w:bottom w:val="single" w:sz="4" w:space="0" w:color="auto"/>
              <w:right w:val="single" w:sz="4" w:space="0" w:color="auto"/>
            </w:tcBorders>
            <w:shd w:val="clear" w:color="auto" w:fill="auto"/>
            <w:noWrap/>
            <w:vAlign w:val="bottom"/>
            <w:hideMark/>
          </w:tcPr>
          <w:p w14:paraId="210A1FCB" w14:textId="77777777" w:rsidR="006E4714" w:rsidRPr="00350268" w:rsidRDefault="006E471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2025</w:t>
            </w:r>
          </w:p>
        </w:tc>
        <w:tc>
          <w:tcPr>
            <w:tcW w:w="540" w:type="pct"/>
            <w:tcBorders>
              <w:top w:val="single" w:sz="4" w:space="0" w:color="auto"/>
              <w:left w:val="nil"/>
              <w:bottom w:val="single" w:sz="4" w:space="0" w:color="auto"/>
              <w:right w:val="single" w:sz="4" w:space="0" w:color="auto"/>
            </w:tcBorders>
            <w:shd w:val="clear" w:color="auto" w:fill="auto"/>
            <w:noWrap/>
            <w:vAlign w:val="bottom"/>
            <w:hideMark/>
          </w:tcPr>
          <w:p w14:paraId="1C7262D3" w14:textId="77777777" w:rsidR="006E4714" w:rsidRPr="00350268" w:rsidRDefault="006E471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2030</w:t>
            </w:r>
          </w:p>
        </w:tc>
        <w:tc>
          <w:tcPr>
            <w:tcW w:w="540" w:type="pct"/>
            <w:tcBorders>
              <w:top w:val="single" w:sz="4" w:space="0" w:color="auto"/>
              <w:left w:val="nil"/>
              <w:bottom w:val="single" w:sz="4" w:space="0" w:color="auto"/>
              <w:right w:val="single" w:sz="4" w:space="0" w:color="auto"/>
            </w:tcBorders>
            <w:shd w:val="clear" w:color="auto" w:fill="auto"/>
            <w:noWrap/>
            <w:vAlign w:val="bottom"/>
            <w:hideMark/>
          </w:tcPr>
          <w:p w14:paraId="6B45F558" w14:textId="77777777" w:rsidR="006E4714" w:rsidRPr="00350268" w:rsidRDefault="006E471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2035</w:t>
            </w:r>
          </w:p>
        </w:tc>
        <w:tc>
          <w:tcPr>
            <w:tcW w:w="540" w:type="pct"/>
            <w:tcBorders>
              <w:top w:val="single" w:sz="4" w:space="0" w:color="auto"/>
              <w:left w:val="nil"/>
              <w:bottom w:val="single" w:sz="4" w:space="0" w:color="auto"/>
              <w:right w:val="single" w:sz="4" w:space="0" w:color="auto"/>
            </w:tcBorders>
            <w:shd w:val="clear" w:color="auto" w:fill="auto"/>
            <w:noWrap/>
            <w:vAlign w:val="bottom"/>
            <w:hideMark/>
          </w:tcPr>
          <w:p w14:paraId="75E20FC0" w14:textId="77777777" w:rsidR="006E4714" w:rsidRPr="00350268" w:rsidRDefault="006E471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2040</w:t>
            </w:r>
          </w:p>
        </w:tc>
        <w:tc>
          <w:tcPr>
            <w:tcW w:w="540" w:type="pct"/>
            <w:tcBorders>
              <w:top w:val="single" w:sz="4" w:space="0" w:color="auto"/>
              <w:left w:val="nil"/>
              <w:bottom w:val="single" w:sz="4" w:space="0" w:color="auto"/>
              <w:right w:val="single" w:sz="4" w:space="0" w:color="auto"/>
            </w:tcBorders>
            <w:shd w:val="clear" w:color="auto" w:fill="auto"/>
            <w:noWrap/>
            <w:vAlign w:val="bottom"/>
            <w:hideMark/>
          </w:tcPr>
          <w:p w14:paraId="7C833068" w14:textId="77777777" w:rsidR="006E4714" w:rsidRPr="00350268" w:rsidRDefault="006E471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2045</w:t>
            </w:r>
          </w:p>
        </w:tc>
        <w:tc>
          <w:tcPr>
            <w:tcW w:w="539" w:type="pct"/>
            <w:tcBorders>
              <w:top w:val="single" w:sz="4" w:space="0" w:color="auto"/>
              <w:left w:val="nil"/>
              <w:bottom w:val="single" w:sz="4" w:space="0" w:color="auto"/>
              <w:right w:val="single" w:sz="4" w:space="0" w:color="auto"/>
            </w:tcBorders>
            <w:shd w:val="clear" w:color="auto" w:fill="auto"/>
            <w:noWrap/>
            <w:vAlign w:val="bottom"/>
            <w:hideMark/>
          </w:tcPr>
          <w:p w14:paraId="4FE50921" w14:textId="77777777" w:rsidR="006E4714" w:rsidRPr="00350268" w:rsidRDefault="006E471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2050</w:t>
            </w:r>
          </w:p>
        </w:tc>
      </w:tr>
      <w:tr w:rsidR="006E4714" w:rsidRPr="00350268" w14:paraId="20F9F231" w14:textId="77777777" w:rsidTr="00D7105F">
        <w:trPr>
          <w:trHeight w:val="300"/>
        </w:trPr>
        <w:tc>
          <w:tcPr>
            <w:tcW w:w="567" w:type="pct"/>
            <w:tcBorders>
              <w:top w:val="nil"/>
              <w:left w:val="single" w:sz="4" w:space="0" w:color="auto"/>
              <w:bottom w:val="single" w:sz="4" w:space="0" w:color="auto"/>
              <w:right w:val="single" w:sz="4" w:space="0" w:color="auto"/>
            </w:tcBorders>
            <w:shd w:val="clear" w:color="auto" w:fill="auto"/>
            <w:noWrap/>
            <w:vAlign w:val="bottom"/>
            <w:hideMark/>
          </w:tcPr>
          <w:p w14:paraId="20A58B04" w14:textId="77777777" w:rsidR="006E4714" w:rsidRPr="00350268" w:rsidRDefault="006E471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Scenario 1</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D2CBEF"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365" w:type="pct"/>
            <w:tcBorders>
              <w:top w:val="single" w:sz="4" w:space="0" w:color="auto"/>
              <w:left w:val="nil"/>
              <w:bottom w:val="single" w:sz="4" w:space="0" w:color="auto"/>
              <w:right w:val="single" w:sz="4" w:space="0" w:color="auto"/>
            </w:tcBorders>
            <w:shd w:val="clear" w:color="auto" w:fill="auto"/>
            <w:noWrap/>
            <w:vAlign w:val="bottom"/>
            <w:hideMark/>
          </w:tcPr>
          <w:p w14:paraId="76E63B21"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2,901.2</w:t>
            </w:r>
          </w:p>
        </w:tc>
        <w:tc>
          <w:tcPr>
            <w:tcW w:w="433" w:type="pct"/>
            <w:tcBorders>
              <w:top w:val="single" w:sz="4" w:space="0" w:color="auto"/>
              <w:left w:val="nil"/>
              <w:bottom w:val="single" w:sz="4" w:space="0" w:color="auto"/>
              <w:right w:val="single" w:sz="4" w:space="0" w:color="auto"/>
            </w:tcBorders>
            <w:shd w:val="clear" w:color="auto" w:fill="auto"/>
            <w:noWrap/>
            <w:vAlign w:val="bottom"/>
            <w:hideMark/>
          </w:tcPr>
          <w:p w14:paraId="797760BD"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5,524.0</w:t>
            </w:r>
          </w:p>
        </w:tc>
        <w:tc>
          <w:tcPr>
            <w:tcW w:w="487" w:type="pct"/>
            <w:tcBorders>
              <w:top w:val="single" w:sz="4" w:space="0" w:color="auto"/>
              <w:left w:val="nil"/>
              <w:bottom w:val="single" w:sz="4" w:space="0" w:color="auto"/>
              <w:right w:val="single" w:sz="4" w:space="0" w:color="auto"/>
            </w:tcBorders>
            <w:shd w:val="clear" w:color="auto" w:fill="auto"/>
            <w:noWrap/>
            <w:vAlign w:val="bottom"/>
            <w:hideMark/>
          </w:tcPr>
          <w:p w14:paraId="73C72752"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25,147.2</w:t>
            </w:r>
          </w:p>
        </w:tc>
        <w:tc>
          <w:tcPr>
            <w:tcW w:w="540" w:type="pct"/>
            <w:tcBorders>
              <w:top w:val="single" w:sz="4" w:space="0" w:color="auto"/>
              <w:left w:val="nil"/>
              <w:bottom w:val="single" w:sz="4" w:space="0" w:color="auto"/>
              <w:right w:val="single" w:sz="4" w:space="0" w:color="auto"/>
            </w:tcBorders>
            <w:shd w:val="clear" w:color="auto" w:fill="auto"/>
            <w:noWrap/>
            <w:vAlign w:val="bottom"/>
            <w:hideMark/>
          </w:tcPr>
          <w:p w14:paraId="3A3C6DF3"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57,409.9</w:t>
            </w:r>
          </w:p>
        </w:tc>
        <w:tc>
          <w:tcPr>
            <w:tcW w:w="540" w:type="pct"/>
            <w:tcBorders>
              <w:top w:val="single" w:sz="4" w:space="0" w:color="auto"/>
              <w:left w:val="nil"/>
              <w:bottom w:val="single" w:sz="4" w:space="0" w:color="auto"/>
              <w:right w:val="single" w:sz="4" w:space="0" w:color="auto"/>
            </w:tcBorders>
            <w:shd w:val="clear" w:color="auto" w:fill="auto"/>
            <w:noWrap/>
            <w:vAlign w:val="bottom"/>
            <w:hideMark/>
          </w:tcPr>
          <w:p w14:paraId="3B52D22D"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83,289.9</w:t>
            </w:r>
          </w:p>
        </w:tc>
        <w:tc>
          <w:tcPr>
            <w:tcW w:w="540" w:type="pct"/>
            <w:tcBorders>
              <w:top w:val="single" w:sz="4" w:space="0" w:color="auto"/>
              <w:left w:val="nil"/>
              <w:bottom w:val="single" w:sz="4" w:space="0" w:color="auto"/>
              <w:right w:val="single" w:sz="4" w:space="0" w:color="auto"/>
            </w:tcBorders>
            <w:shd w:val="clear" w:color="auto" w:fill="auto"/>
            <w:noWrap/>
            <w:vAlign w:val="bottom"/>
            <w:hideMark/>
          </w:tcPr>
          <w:p w14:paraId="7355EC73"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91,576.5</w:t>
            </w:r>
          </w:p>
        </w:tc>
        <w:tc>
          <w:tcPr>
            <w:tcW w:w="540" w:type="pct"/>
            <w:tcBorders>
              <w:top w:val="single" w:sz="4" w:space="0" w:color="auto"/>
              <w:left w:val="nil"/>
              <w:bottom w:val="single" w:sz="4" w:space="0" w:color="auto"/>
              <w:right w:val="single" w:sz="4" w:space="0" w:color="auto"/>
            </w:tcBorders>
            <w:shd w:val="clear" w:color="auto" w:fill="auto"/>
            <w:noWrap/>
            <w:vAlign w:val="bottom"/>
            <w:hideMark/>
          </w:tcPr>
          <w:p w14:paraId="425CEB64"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93,892.5</w:t>
            </w:r>
          </w:p>
        </w:tc>
        <w:tc>
          <w:tcPr>
            <w:tcW w:w="539" w:type="pct"/>
            <w:tcBorders>
              <w:top w:val="single" w:sz="4" w:space="0" w:color="auto"/>
              <w:left w:val="nil"/>
              <w:bottom w:val="single" w:sz="4" w:space="0" w:color="auto"/>
              <w:right w:val="single" w:sz="4" w:space="0" w:color="auto"/>
            </w:tcBorders>
            <w:shd w:val="clear" w:color="auto" w:fill="auto"/>
            <w:noWrap/>
            <w:vAlign w:val="bottom"/>
            <w:hideMark/>
          </w:tcPr>
          <w:p w14:paraId="01BF3FA9"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96,208.5</w:t>
            </w:r>
          </w:p>
        </w:tc>
      </w:tr>
      <w:tr w:rsidR="006E4714" w:rsidRPr="00350268" w14:paraId="73A62D28" w14:textId="77777777" w:rsidTr="00D7105F">
        <w:trPr>
          <w:trHeight w:val="300"/>
        </w:trPr>
        <w:tc>
          <w:tcPr>
            <w:tcW w:w="567" w:type="pct"/>
            <w:tcBorders>
              <w:top w:val="nil"/>
              <w:left w:val="single" w:sz="4" w:space="0" w:color="auto"/>
              <w:bottom w:val="single" w:sz="4" w:space="0" w:color="auto"/>
              <w:right w:val="single" w:sz="4" w:space="0" w:color="auto"/>
            </w:tcBorders>
            <w:shd w:val="clear" w:color="auto" w:fill="auto"/>
            <w:noWrap/>
            <w:vAlign w:val="bottom"/>
            <w:hideMark/>
          </w:tcPr>
          <w:p w14:paraId="2FCCF355" w14:textId="77777777" w:rsidR="006E4714" w:rsidRPr="00350268" w:rsidRDefault="006E471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Scenario 2</w:t>
            </w:r>
          </w:p>
        </w:tc>
        <w:tc>
          <w:tcPr>
            <w:tcW w:w="449" w:type="pct"/>
            <w:tcBorders>
              <w:top w:val="nil"/>
              <w:left w:val="single" w:sz="4" w:space="0" w:color="auto"/>
              <w:bottom w:val="single" w:sz="4" w:space="0" w:color="auto"/>
              <w:right w:val="single" w:sz="4" w:space="0" w:color="auto"/>
            </w:tcBorders>
            <w:shd w:val="clear" w:color="auto" w:fill="auto"/>
            <w:noWrap/>
            <w:vAlign w:val="bottom"/>
            <w:hideMark/>
          </w:tcPr>
          <w:p w14:paraId="649FD0D4"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365" w:type="pct"/>
            <w:tcBorders>
              <w:top w:val="nil"/>
              <w:left w:val="nil"/>
              <w:bottom w:val="single" w:sz="4" w:space="0" w:color="auto"/>
              <w:right w:val="single" w:sz="4" w:space="0" w:color="auto"/>
            </w:tcBorders>
            <w:shd w:val="clear" w:color="auto" w:fill="auto"/>
            <w:noWrap/>
            <w:vAlign w:val="bottom"/>
            <w:hideMark/>
          </w:tcPr>
          <w:p w14:paraId="621B43C2"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2,901.2</w:t>
            </w:r>
          </w:p>
        </w:tc>
        <w:tc>
          <w:tcPr>
            <w:tcW w:w="433" w:type="pct"/>
            <w:tcBorders>
              <w:top w:val="nil"/>
              <w:left w:val="nil"/>
              <w:bottom w:val="single" w:sz="4" w:space="0" w:color="auto"/>
              <w:right w:val="single" w:sz="4" w:space="0" w:color="auto"/>
            </w:tcBorders>
            <w:shd w:val="clear" w:color="auto" w:fill="auto"/>
            <w:noWrap/>
            <w:vAlign w:val="bottom"/>
            <w:hideMark/>
          </w:tcPr>
          <w:p w14:paraId="4B035526"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15,906.0</w:t>
            </w:r>
          </w:p>
        </w:tc>
        <w:tc>
          <w:tcPr>
            <w:tcW w:w="487" w:type="pct"/>
            <w:tcBorders>
              <w:top w:val="nil"/>
              <w:left w:val="nil"/>
              <w:bottom w:val="single" w:sz="4" w:space="0" w:color="auto"/>
              <w:right w:val="single" w:sz="4" w:space="0" w:color="auto"/>
            </w:tcBorders>
            <w:shd w:val="clear" w:color="auto" w:fill="auto"/>
            <w:noWrap/>
            <w:vAlign w:val="bottom"/>
            <w:hideMark/>
          </w:tcPr>
          <w:p w14:paraId="59E66D51"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61,593.4</w:t>
            </w:r>
          </w:p>
        </w:tc>
        <w:tc>
          <w:tcPr>
            <w:tcW w:w="540" w:type="pct"/>
            <w:tcBorders>
              <w:top w:val="nil"/>
              <w:left w:val="nil"/>
              <w:bottom w:val="single" w:sz="4" w:space="0" w:color="auto"/>
              <w:right w:val="single" w:sz="4" w:space="0" w:color="auto"/>
            </w:tcBorders>
            <w:shd w:val="clear" w:color="auto" w:fill="auto"/>
            <w:noWrap/>
            <w:vAlign w:val="bottom"/>
            <w:hideMark/>
          </w:tcPr>
          <w:p w14:paraId="77FCA672"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104,265.6</w:t>
            </w:r>
          </w:p>
        </w:tc>
        <w:tc>
          <w:tcPr>
            <w:tcW w:w="540" w:type="pct"/>
            <w:tcBorders>
              <w:top w:val="nil"/>
              <w:left w:val="nil"/>
              <w:bottom w:val="single" w:sz="4" w:space="0" w:color="auto"/>
              <w:right w:val="single" w:sz="4" w:space="0" w:color="auto"/>
            </w:tcBorders>
            <w:shd w:val="clear" w:color="auto" w:fill="auto"/>
            <w:noWrap/>
            <w:vAlign w:val="bottom"/>
            <w:hideMark/>
          </w:tcPr>
          <w:p w14:paraId="328A6471"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140,453.1</w:t>
            </w:r>
          </w:p>
        </w:tc>
        <w:tc>
          <w:tcPr>
            <w:tcW w:w="540" w:type="pct"/>
            <w:tcBorders>
              <w:top w:val="nil"/>
              <w:left w:val="nil"/>
              <w:bottom w:val="single" w:sz="4" w:space="0" w:color="auto"/>
              <w:right w:val="single" w:sz="4" w:space="0" w:color="auto"/>
            </w:tcBorders>
            <w:shd w:val="clear" w:color="auto" w:fill="auto"/>
            <w:noWrap/>
            <w:vAlign w:val="bottom"/>
            <w:hideMark/>
          </w:tcPr>
          <w:p w14:paraId="023C14CD"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159,045.5</w:t>
            </w:r>
          </w:p>
        </w:tc>
        <w:tc>
          <w:tcPr>
            <w:tcW w:w="540" w:type="pct"/>
            <w:tcBorders>
              <w:top w:val="nil"/>
              <w:left w:val="nil"/>
              <w:bottom w:val="single" w:sz="4" w:space="0" w:color="auto"/>
              <w:right w:val="single" w:sz="4" w:space="0" w:color="auto"/>
            </w:tcBorders>
            <w:shd w:val="clear" w:color="auto" w:fill="auto"/>
            <w:noWrap/>
            <w:vAlign w:val="bottom"/>
            <w:hideMark/>
          </w:tcPr>
          <w:p w14:paraId="55F6B677"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171,669.3</w:t>
            </w:r>
          </w:p>
        </w:tc>
        <w:tc>
          <w:tcPr>
            <w:tcW w:w="539" w:type="pct"/>
            <w:tcBorders>
              <w:top w:val="nil"/>
              <w:left w:val="nil"/>
              <w:bottom w:val="single" w:sz="4" w:space="0" w:color="auto"/>
              <w:right w:val="single" w:sz="4" w:space="0" w:color="auto"/>
            </w:tcBorders>
            <w:shd w:val="clear" w:color="auto" w:fill="auto"/>
            <w:noWrap/>
            <w:vAlign w:val="bottom"/>
            <w:hideMark/>
          </w:tcPr>
          <w:p w14:paraId="74C2E3B3"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184,295.3</w:t>
            </w:r>
          </w:p>
        </w:tc>
      </w:tr>
      <w:tr w:rsidR="006E4714" w:rsidRPr="00350268" w14:paraId="5A3FC5BD" w14:textId="77777777" w:rsidTr="00D7105F">
        <w:trPr>
          <w:trHeight w:val="300"/>
        </w:trPr>
        <w:tc>
          <w:tcPr>
            <w:tcW w:w="567" w:type="pct"/>
            <w:tcBorders>
              <w:top w:val="nil"/>
              <w:left w:val="single" w:sz="4" w:space="0" w:color="auto"/>
              <w:bottom w:val="single" w:sz="4" w:space="0" w:color="auto"/>
              <w:right w:val="single" w:sz="4" w:space="0" w:color="auto"/>
            </w:tcBorders>
            <w:shd w:val="clear" w:color="auto" w:fill="auto"/>
            <w:noWrap/>
            <w:vAlign w:val="bottom"/>
            <w:hideMark/>
          </w:tcPr>
          <w:p w14:paraId="491F3D5C" w14:textId="77777777" w:rsidR="006E4714" w:rsidRPr="00350268" w:rsidRDefault="006E471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Scenario 3</w:t>
            </w:r>
          </w:p>
        </w:tc>
        <w:tc>
          <w:tcPr>
            <w:tcW w:w="449" w:type="pct"/>
            <w:tcBorders>
              <w:top w:val="nil"/>
              <w:left w:val="single" w:sz="4" w:space="0" w:color="auto"/>
              <w:bottom w:val="single" w:sz="4" w:space="0" w:color="auto"/>
              <w:right w:val="single" w:sz="4" w:space="0" w:color="auto"/>
            </w:tcBorders>
            <w:shd w:val="clear" w:color="auto" w:fill="auto"/>
            <w:noWrap/>
            <w:vAlign w:val="bottom"/>
            <w:hideMark/>
          </w:tcPr>
          <w:p w14:paraId="4E81C691"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365" w:type="pct"/>
            <w:tcBorders>
              <w:top w:val="nil"/>
              <w:left w:val="nil"/>
              <w:bottom w:val="single" w:sz="4" w:space="0" w:color="auto"/>
              <w:right w:val="single" w:sz="4" w:space="0" w:color="auto"/>
            </w:tcBorders>
            <w:shd w:val="clear" w:color="auto" w:fill="auto"/>
            <w:noWrap/>
            <w:vAlign w:val="bottom"/>
            <w:hideMark/>
          </w:tcPr>
          <w:p w14:paraId="63AB81D7"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2,901.2</w:t>
            </w:r>
          </w:p>
        </w:tc>
        <w:tc>
          <w:tcPr>
            <w:tcW w:w="433" w:type="pct"/>
            <w:tcBorders>
              <w:top w:val="nil"/>
              <w:left w:val="nil"/>
              <w:bottom w:val="single" w:sz="4" w:space="0" w:color="auto"/>
              <w:right w:val="single" w:sz="4" w:space="0" w:color="auto"/>
            </w:tcBorders>
            <w:shd w:val="clear" w:color="auto" w:fill="auto"/>
            <w:noWrap/>
            <w:vAlign w:val="bottom"/>
            <w:hideMark/>
          </w:tcPr>
          <w:p w14:paraId="45A0F4CA"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23,345.2</w:t>
            </w:r>
          </w:p>
        </w:tc>
        <w:tc>
          <w:tcPr>
            <w:tcW w:w="487" w:type="pct"/>
            <w:tcBorders>
              <w:top w:val="nil"/>
              <w:left w:val="nil"/>
              <w:bottom w:val="single" w:sz="4" w:space="0" w:color="auto"/>
              <w:right w:val="single" w:sz="4" w:space="0" w:color="auto"/>
            </w:tcBorders>
            <w:shd w:val="clear" w:color="auto" w:fill="auto"/>
            <w:noWrap/>
            <w:vAlign w:val="bottom"/>
            <w:hideMark/>
          </w:tcPr>
          <w:p w14:paraId="4ADBC180"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85,124.0</w:t>
            </w:r>
          </w:p>
        </w:tc>
        <w:tc>
          <w:tcPr>
            <w:tcW w:w="540" w:type="pct"/>
            <w:tcBorders>
              <w:top w:val="nil"/>
              <w:left w:val="nil"/>
              <w:bottom w:val="single" w:sz="4" w:space="0" w:color="auto"/>
              <w:right w:val="single" w:sz="4" w:space="0" w:color="auto"/>
            </w:tcBorders>
            <w:shd w:val="clear" w:color="auto" w:fill="auto"/>
            <w:noWrap/>
            <w:vAlign w:val="bottom"/>
            <w:hideMark/>
          </w:tcPr>
          <w:p w14:paraId="6B9B165A"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137,409.7</w:t>
            </w:r>
          </w:p>
        </w:tc>
        <w:tc>
          <w:tcPr>
            <w:tcW w:w="540" w:type="pct"/>
            <w:tcBorders>
              <w:top w:val="nil"/>
              <w:left w:val="nil"/>
              <w:bottom w:val="single" w:sz="4" w:space="0" w:color="auto"/>
              <w:right w:val="single" w:sz="4" w:space="0" w:color="auto"/>
            </w:tcBorders>
            <w:shd w:val="clear" w:color="auto" w:fill="auto"/>
            <w:noWrap/>
            <w:vAlign w:val="bottom"/>
            <w:hideMark/>
          </w:tcPr>
          <w:p w14:paraId="37B56625"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183,210.7</w:t>
            </w:r>
          </w:p>
        </w:tc>
        <w:tc>
          <w:tcPr>
            <w:tcW w:w="540" w:type="pct"/>
            <w:tcBorders>
              <w:top w:val="nil"/>
              <w:left w:val="nil"/>
              <w:bottom w:val="single" w:sz="4" w:space="0" w:color="auto"/>
              <w:right w:val="single" w:sz="4" w:space="0" w:color="auto"/>
            </w:tcBorders>
            <w:shd w:val="clear" w:color="auto" w:fill="auto"/>
            <w:noWrap/>
            <w:vAlign w:val="bottom"/>
            <w:hideMark/>
          </w:tcPr>
          <w:p w14:paraId="451C5F33"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211,416.6</w:t>
            </w:r>
          </w:p>
        </w:tc>
        <w:tc>
          <w:tcPr>
            <w:tcW w:w="540" w:type="pct"/>
            <w:tcBorders>
              <w:top w:val="nil"/>
              <w:left w:val="nil"/>
              <w:bottom w:val="single" w:sz="4" w:space="0" w:color="auto"/>
              <w:right w:val="single" w:sz="4" w:space="0" w:color="auto"/>
            </w:tcBorders>
            <w:shd w:val="clear" w:color="auto" w:fill="auto"/>
            <w:noWrap/>
            <w:vAlign w:val="bottom"/>
            <w:hideMark/>
          </w:tcPr>
          <w:p w14:paraId="6C7D057C"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233,653.9</w:t>
            </w:r>
          </w:p>
        </w:tc>
        <w:tc>
          <w:tcPr>
            <w:tcW w:w="539" w:type="pct"/>
            <w:tcBorders>
              <w:top w:val="nil"/>
              <w:left w:val="nil"/>
              <w:bottom w:val="single" w:sz="4" w:space="0" w:color="auto"/>
              <w:right w:val="single" w:sz="4" w:space="0" w:color="auto"/>
            </w:tcBorders>
            <w:shd w:val="clear" w:color="auto" w:fill="auto"/>
            <w:noWrap/>
            <w:vAlign w:val="bottom"/>
            <w:hideMark/>
          </w:tcPr>
          <w:p w14:paraId="13485DB6" w14:textId="77777777" w:rsidR="006E4714" w:rsidRPr="00350268" w:rsidRDefault="006E471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255,893.4</w:t>
            </w:r>
          </w:p>
        </w:tc>
      </w:tr>
    </w:tbl>
    <w:p w14:paraId="5B91CD75"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p>
    <w:p w14:paraId="0383EDA1" w14:textId="5F82F79B"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Analysis indicate that, cumulative emissions projections across the scenarios will increase to   96,208.5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184,295.3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255,893.4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by 2050 for scenarios, 1, 2 and 3, respectively. A total of </w:t>
      </w:r>
      <w:r w:rsidRPr="00191ACB">
        <w:rPr>
          <w:rFonts w:ascii="Times New Roman" w:eastAsia="Times New Roman" w:hAnsi="Times New Roman" w:cs="Times New Roman"/>
          <w:color w:val="000000" w:themeColor="text1"/>
          <w:sz w:val="24"/>
          <w:szCs w:val="24"/>
        </w:rPr>
        <w:t>4,328.1</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is projected to be reduced in 2019, representing 11.0</w:t>
      </w:r>
      <w:r w:rsidR="00C8397C"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progress against the 2030 NDC target. The achievement is owing to largely greater ambition and projects being implemented in the renewable energy and energy efficiency sub sector. </w:t>
      </w:r>
    </w:p>
    <w:p w14:paraId="773FF115"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p>
    <w:p w14:paraId="6B10AA49" w14:textId="548A99E5" w:rsidR="006E4714" w:rsidRPr="007D3D9E" w:rsidRDefault="006E4714" w:rsidP="005D53F6">
      <w:pPr>
        <w:pStyle w:val="Heading3"/>
        <w:numPr>
          <w:ilvl w:val="2"/>
          <w:numId w:val="36"/>
        </w:numPr>
        <w:ind w:left="851" w:hanging="851"/>
        <w:rPr>
          <w:color w:val="auto"/>
        </w:rPr>
      </w:pPr>
      <w:bookmarkStart w:id="360" w:name="_Toc13582218"/>
      <w:bookmarkStart w:id="361" w:name="_Toc26264926"/>
      <w:bookmarkStart w:id="362" w:name="_Toc57902872"/>
      <w:r w:rsidRPr="007D3D9E">
        <w:rPr>
          <w:color w:val="auto"/>
        </w:rPr>
        <w:t>Sectoral Baseline and Mitigation Emissions</w:t>
      </w:r>
      <w:bookmarkEnd w:id="360"/>
      <w:bookmarkEnd w:id="361"/>
      <w:bookmarkEnd w:id="362"/>
    </w:p>
    <w:p w14:paraId="7961B5DE" w14:textId="06E6D38C" w:rsidR="006E4714" w:rsidRPr="00191ACB" w:rsidRDefault="006E4714" w:rsidP="005D53F6">
      <w:pPr>
        <w:pStyle w:val="Heading4"/>
        <w:numPr>
          <w:ilvl w:val="3"/>
          <w:numId w:val="36"/>
        </w:numPr>
        <w:ind w:left="851" w:hanging="851"/>
      </w:pPr>
      <w:bookmarkStart w:id="363" w:name="_Toc13582219"/>
      <w:bookmarkStart w:id="364" w:name="_Toc26264927"/>
      <w:r w:rsidRPr="00191ACB">
        <w:t>Baseline Emission Projections under Energy Sector</w:t>
      </w:r>
      <w:bookmarkEnd w:id="363"/>
      <w:bookmarkEnd w:id="364"/>
    </w:p>
    <w:p w14:paraId="348AEF86" w14:textId="0BFC67D9"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Historical emissions for the period 1994-2010 were characterized by increase in emissions trends arising from use of both liquid and solid fuels in all the key socio-economic sectors of the country. The increase in emissions were influenced </w:t>
      </w:r>
      <w:r w:rsidR="00935DBE" w:rsidRPr="00191ACB">
        <w:rPr>
          <w:rFonts w:ascii="Times New Roman" w:eastAsia="Calibri" w:hAnsi="Times New Roman" w:cs="Times New Roman"/>
          <w:color w:val="000000" w:themeColor="text1"/>
          <w:sz w:val="24"/>
          <w:szCs w:val="24"/>
        </w:rPr>
        <w:t>by</w:t>
      </w:r>
      <w:r w:rsidRPr="00191ACB">
        <w:rPr>
          <w:rFonts w:ascii="Times New Roman" w:eastAsia="Calibri" w:hAnsi="Times New Roman" w:cs="Times New Roman"/>
          <w:color w:val="000000" w:themeColor="text1"/>
          <w:sz w:val="24"/>
          <w:szCs w:val="24"/>
        </w:rPr>
        <w:t xml:space="preserve"> population growth and enhanced economic activities. The LEAP was used to ascertain the emissions projections under each category. The sections that follow</w:t>
      </w:r>
      <w:r w:rsidR="00935DBE"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highlight the category breakdown of the emission projections as well as the overall energy sector position using the LEAP model based on assumptions highlighted </w:t>
      </w:r>
      <w:r w:rsidR="00935DBE" w:rsidRPr="00191ACB">
        <w:rPr>
          <w:rFonts w:ascii="Times New Roman" w:eastAsia="Calibri" w:hAnsi="Times New Roman" w:cs="Times New Roman"/>
          <w:color w:val="000000" w:themeColor="text1"/>
          <w:sz w:val="24"/>
          <w:szCs w:val="24"/>
        </w:rPr>
        <w:t xml:space="preserve">in the </w:t>
      </w:r>
      <w:r w:rsidRPr="00191ACB">
        <w:rPr>
          <w:rFonts w:ascii="Times New Roman" w:eastAsia="Calibri" w:hAnsi="Times New Roman" w:cs="Times New Roman"/>
          <w:color w:val="000000" w:themeColor="text1"/>
          <w:sz w:val="24"/>
          <w:szCs w:val="24"/>
        </w:rPr>
        <w:t>previous sections.</w:t>
      </w:r>
    </w:p>
    <w:p w14:paraId="5113B47B" w14:textId="77777777" w:rsidR="006E4714" w:rsidRPr="00191ACB" w:rsidRDefault="006E4714" w:rsidP="005E626A">
      <w:pPr>
        <w:spacing w:after="120" w:line="240" w:lineRule="auto"/>
        <w:jc w:val="both"/>
        <w:rPr>
          <w:rFonts w:ascii="Times New Roman" w:eastAsia="Calibri" w:hAnsi="Times New Roman" w:cs="Times New Roman"/>
          <w:color w:val="000000" w:themeColor="text1"/>
          <w:sz w:val="24"/>
          <w:szCs w:val="24"/>
        </w:rPr>
      </w:pPr>
    </w:p>
    <w:p w14:paraId="7BFFB37D" w14:textId="580C893C" w:rsidR="006E4714" w:rsidRPr="00DA2E5B" w:rsidRDefault="006E4714" w:rsidP="005D53F6">
      <w:pPr>
        <w:pStyle w:val="Heading4"/>
        <w:numPr>
          <w:ilvl w:val="3"/>
          <w:numId w:val="36"/>
        </w:numPr>
        <w:ind w:left="851" w:hanging="851"/>
      </w:pPr>
      <w:bookmarkStart w:id="365" w:name="_Toc19284565"/>
      <w:bookmarkStart w:id="366" w:name="_Toc26264933"/>
      <w:r w:rsidRPr="00DA2E5B">
        <w:t>Overall Projected Baseline in Energy Sector</w:t>
      </w:r>
      <w:bookmarkEnd w:id="365"/>
      <w:bookmarkEnd w:id="366"/>
      <w:r w:rsidRPr="00DA2E5B">
        <w:t xml:space="preserve"> </w:t>
      </w:r>
    </w:p>
    <w:p w14:paraId="1B95B654" w14:textId="007B9ECD" w:rsidR="006E4714" w:rsidRPr="00191ACB" w:rsidRDefault="006E471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Overall projected baseline emissions for the energy sector is projected to increase from 3</w:t>
      </w:r>
      <w:r w:rsidR="00935DBE"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155.8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2010 to </w:t>
      </w:r>
      <w:r w:rsidRPr="00191ACB">
        <w:rPr>
          <w:rFonts w:ascii="Times New Roman" w:eastAsia="Times New Roman" w:hAnsi="Times New Roman" w:cs="Times New Roman"/>
          <w:color w:val="000000" w:themeColor="text1"/>
          <w:sz w:val="24"/>
          <w:szCs w:val="24"/>
        </w:rPr>
        <w:t xml:space="preserve">11,803.2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2050. </w:t>
      </w:r>
    </w:p>
    <w:p w14:paraId="295EFF36" w14:textId="77777777" w:rsidR="00F27434" w:rsidRPr="00191ACB" w:rsidRDefault="00F27434" w:rsidP="005E626A">
      <w:pPr>
        <w:spacing w:after="120" w:line="240" w:lineRule="auto"/>
        <w:jc w:val="both"/>
        <w:rPr>
          <w:rFonts w:ascii="Times New Roman" w:eastAsia="Calibri" w:hAnsi="Times New Roman" w:cs="Times New Roman"/>
          <w:color w:val="000000" w:themeColor="text1"/>
          <w:sz w:val="24"/>
          <w:szCs w:val="24"/>
        </w:rPr>
      </w:pPr>
    </w:p>
    <w:p w14:paraId="3C717E5A" w14:textId="4F3B75C3" w:rsidR="00245464" w:rsidRPr="00350268" w:rsidRDefault="00D57ABF" w:rsidP="005D53F6">
      <w:pPr>
        <w:pStyle w:val="Heading3"/>
        <w:numPr>
          <w:ilvl w:val="2"/>
          <w:numId w:val="36"/>
        </w:numPr>
        <w:ind w:left="851" w:hanging="851"/>
        <w:rPr>
          <w:color w:val="auto"/>
        </w:rPr>
      </w:pPr>
      <w:bookmarkStart w:id="367" w:name="_Toc13582227"/>
      <w:bookmarkStart w:id="368" w:name="_Toc26264934"/>
      <w:bookmarkStart w:id="369" w:name="_Toc57902873"/>
      <w:r w:rsidRPr="00350268">
        <w:rPr>
          <w:color w:val="auto"/>
        </w:rPr>
        <w:t xml:space="preserve">Energy </w:t>
      </w:r>
      <w:r w:rsidR="00935DBE" w:rsidRPr="00350268">
        <w:rPr>
          <w:color w:val="auto"/>
        </w:rPr>
        <w:t>S</w:t>
      </w:r>
      <w:r w:rsidRPr="00350268">
        <w:rPr>
          <w:color w:val="auto"/>
        </w:rPr>
        <w:t>ector</w:t>
      </w:r>
      <w:r w:rsidR="00245464" w:rsidRPr="00350268">
        <w:rPr>
          <w:color w:val="auto"/>
        </w:rPr>
        <w:t xml:space="preserve"> </w:t>
      </w:r>
      <w:r w:rsidR="00935DBE" w:rsidRPr="00350268">
        <w:rPr>
          <w:color w:val="auto"/>
        </w:rPr>
        <w:t>E</w:t>
      </w:r>
      <w:r w:rsidR="00245464" w:rsidRPr="00350268">
        <w:rPr>
          <w:color w:val="auto"/>
        </w:rPr>
        <w:t>mission</w:t>
      </w:r>
      <w:bookmarkEnd w:id="367"/>
      <w:bookmarkEnd w:id="368"/>
      <w:r w:rsidR="00935DBE" w:rsidRPr="00350268">
        <w:rPr>
          <w:color w:val="auto"/>
        </w:rPr>
        <w:t xml:space="preserve"> Reduction</w:t>
      </w:r>
      <w:bookmarkEnd w:id="369"/>
      <w:r w:rsidR="00245464" w:rsidRPr="00350268">
        <w:rPr>
          <w:color w:val="auto"/>
        </w:rPr>
        <w:t xml:space="preserve"> </w:t>
      </w:r>
    </w:p>
    <w:p w14:paraId="69092453" w14:textId="2A0925C1" w:rsidR="00245464" w:rsidRPr="00191ACB" w:rsidRDefault="00245464" w:rsidP="002A4DFC">
      <w:pPr>
        <w:spacing w:after="120" w:line="276"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Actions to mit</w:t>
      </w:r>
      <w:r w:rsidR="00935DBE" w:rsidRPr="00191ACB">
        <w:rPr>
          <w:rFonts w:ascii="Times New Roman" w:eastAsia="Calibri" w:hAnsi="Times New Roman" w:cs="Times New Roman"/>
          <w:color w:val="000000" w:themeColor="text1"/>
          <w:sz w:val="24"/>
          <w:szCs w:val="24"/>
        </w:rPr>
        <w:t>igate</w:t>
      </w:r>
      <w:r w:rsidRPr="00191ACB">
        <w:rPr>
          <w:rFonts w:ascii="Times New Roman" w:eastAsia="Calibri" w:hAnsi="Times New Roman" w:cs="Times New Roman"/>
          <w:color w:val="000000" w:themeColor="text1"/>
          <w:sz w:val="24"/>
          <w:szCs w:val="24"/>
        </w:rPr>
        <w:t xml:space="preserve"> GHG emissions in the energy sector include; rural and urban electrification, </w:t>
      </w:r>
      <w:r w:rsidRPr="00191ACB">
        <w:rPr>
          <w:rFonts w:ascii="Times New Roman" w:eastAsia="Times New Roman" w:hAnsi="Times New Roman" w:cs="Times New Roman"/>
          <w:color w:val="000000" w:themeColor="text1"/>
          <w:sz w:val="24"/>
          <w:szCs w:val="24"/>
        </w:rPr>
        <w:t>solar home systems, electricity generation (i.e. from</w:t>
      </w:r>
      <w:r w:rsidRPr="00191ACB">
        <w:rPr>
          <w:rFonts w:ascii="Times New Roman" w:eastAsia="Calibri" w:hAnsi="Times New Roman" w:cs="Times New Roman"/>
          <w:color w:val="000000" w:themeColor="text1"/>
          <w:sz w:val="24"/>
          <w:szCs w:val="24"/>
        </w:rPr>
        <w:t xml:space="preserve"> on-grid </w:t>
      </w:r>
      <w:r w:rsidRPr="00191ACB">
        <w:rPr>
          <w:rFonts w:ascii="Times New Roman" w:eastAsia="Times New Roman" w:hAnsi="Times New Roman" w:cs="Times New Roman"/>
          <w:color w:val="000000" w:themeColor="text1"/>
          <w:sz w:val="24"/>
          <w:szCs w:val="24"/>
        </w:rPr>
        <w:t>Solar PV utility scale, hydro, biomass, wind, geothermal)</w:t>
      </w:r>
      <w:r w:rsidR="00935DBE" w:rsidRPr="00191ACB">
        <w:rPr>
          <w:rFonts w:ascii="Times New Roman" w:eastAsia="Times New Roman" w:hAnsi="Times New Roman" w:cs="Times New Roman"/>
          <w:color w:val="000000" w:themeColor="text1"/>
          <w:sz w:val="24"/>
          <w:szCs w:val="24"/>
        </w:rPr>
        <w:t>,</w:t>
      </w:r>
      <w:r w:rsidRPr="00191ACB">
        <w:rPr>
          <w:rFonts w:ascii="Times New Roman" w:eastAsia="Times New Roman" w:hAnsi="Times New Roman" w:cs="Times New Roman"/>
          <w:color w:val="000000" w:themeColor="text1"/>
          <w:sz w:val="24"/>
          <w:szCs w:val="24"/>
        </w:rPr>
        <w:t xml:space="preserve"> energy efficiency</w:t>
      </w:r>
      <w:r w:rsidR="00935DBE" w:rsidRPr="00191ACB">
        <w:rPr>
          <w:rFonts w:ascii="Times New Roman" w:eastAsia="Times New Roman" w:hAnsi="Times New Roman" w:cs="Times New Roman"/>
          <w:color w:val="000000" w:themeColor="text1"/>
          <w:sz w:val="24"/>
          <w:szCs w:val="24"/>
        </w:rPr>
        <w:t xml:space="preserve"> and</w:t>
      </w:r>
      <w:r w:rsidRPr="00191ACB">
        <w:rPr>
          <w:rFonts w:ascii="Times New Roman" w:eastAsia="Times New Roman" w:hAnsi="Times New Roman" w:cs="Times New Roman"/>
          <w:color w:val="000000" w:themeColor="text1"/>
          <w:sz w:val="24"/>
          <w:szCs w:val="24"/>
        </w:rPr>
        <w:t xml:space="preserve"> efficient cook-stoves. </w:t>
      </w:r>
    </w:p>
    <w:p w14:paraId="3BFA2D96" w14:textId="77777777" w:rsidR="00C319A4" w:rsidRPr="00191ACB" w:rsidRDefault="00C319A4" w:rsidP="005E626A">
      <w:pPr>
        <w:spacing w:after="120" w:line="240" w:lineRule="auto"/>
        <w:jc w:val="both"/>
        <w:rPr>
          <w:rFonts w:ascii="Times New Roman" w:eastAsia="Times New Roman" w:hAnsi="Times New Roman" w:cs="Times New Roman"/>
          <w:color w:val="000000" w:themeColor="text1"/>
          <w:sz w:val="24"/>
          <w:szCs w:val="24"/>
        </w:rPr>
      </w:pPr>
    </w:p>
    <w:p w14:paraId="7517C9FF" w14:textId="4613284F" w:rsidR="002A4DFC" w:rsidRDefault="002A4DFC" w:rsidP="00C319A4">
      <w:pPr>
        <w:pStyle w:val="Caption"/>
        <w:rPr>
          <w:sz w:val="24"/>
          <w:szCs w:val="24"/>
        </w:rPr>
      </w:pPr>
      <w:bookmarkStart w:id="370" w:name="_Toc56583785"/>
    </w:p>
    <w:p w14:paraId="67FE340A" w14:textId="77777777" w:rsidR="00350268" w:rsidRPr="00350268" w:rsidRDefault="00350268" w:rsidP="00350268">
      <w:pPr>
        <w:rPr>
          <w:lang w:val="en"/>
        </w:rPr>
      </w:pPr>
    </w:p>
    <w:p w14:paraId="1EC377FE" w14:textId="7B33191B" w:rsidR="00245464" w:rsidRPr="00191ACB" w:rsidRDefault="00C319A4" w:rsidP="00C319A4">
      <w:pPr>
        <w:pStyle w:val="Caption"/>
        <w:rPr>
          <w:rFonts w:eastAsia="Calibri"/>
          <w:color w:val="000000" w:themeColor="text1"/>
          <w:sz w:val="24"/>
          <w:szCs w:val="24"/>
        </w:rPr>
      </w:pPr>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9</w:t>
      </w:r>
      <w:r w:rsidR="00875942">
        <w:rPr>
          <w:sz w:val="24"/>
          <w:szCs w:val="24"/>
        </w:rPr>
        <w:fldChar w:fldCharType="end"/>
      </w:r>
      <w:r w:rsidRPr="00191ACB">
        <w:rPr>
          <w:sz w:val="24"/>
          <w:szCs w:val="24"/>
        </w:rPr>
        <w:t>:Emission reductions under energy (Gg CO2 eq.)</w:t>
      </w:r>
      <w:bookmarkEnd w:id="370"/>
    </w:p>
    <w:tbl>
      <w:tblPr>
        <w:tblW w:w="4965" w:type="pct"/>
        <w:tblInd w:w="85" w:type="dxa"/>
        <w:tblLayout w:type="fixed"/>
        <w:tblLook w:val="04A0" w:firstRow="1" w:lastRow="0" w:firstColumn="1" w:lastColumn="0" w:noHBand="0" w:noVBand="1"/>
      </w:tblPr>
      <w:tblGrid>
        <w:gridCol w:w="1918"/>
        <w:gridCol w:w="639"/>
        <w:gridCol w:w="820"/>
        <w:gridCol w:w="822"/>
        <w:gridCol w:w="911"/>
        <w:gridCol w:w="913"/>
        <w:gridCol w:w="913"/>
        <w:gridCol w:w="913"/>
        <w:gridCol w:w="913"/>
        <w:gridCol w:w="909"/>
      </w:tblGrid>
      <w:tr w:rsidR="00245464" w:rsidRPr="00350268" w14:paraId="2E0DAC5C" w14:textId="77777777" w:rsidTr="00A91A48">
        <w:trPr>
          <w:trHeight w:val="300"/>
        </w:trPr>
        <w:tc>
          <w:tcPr>
            <w:tcW w:w="99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DF1E12" w14:textId="77777777" w:rsidR="00245464" w:rsidRPr="00350268" w:rsidRDefault="00245464" w:rsidP="005B2733">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 </w:t>
            </w:r>
          </w:p>
        </w:tc>
        <w:tc>
          <w:tcPr>
            <w:tcW w:w="330" w:type="pct"/>
            <w:tcBorders>
              <w:top w:val="single" w:sz="4" w:space="0" w:color="auto"/>
              <w:left w:val="nil"/>
              <w:bottom w:val="single" w:sz="4" w:space="0" w:color="auto"/>
              <w:right w:val="single" w:sz="4" w:space="0" w:color="auto"/>
            </w:tcBorders>
            <w:shd w:val="clear" w:color="auto" w:fill="auto"/>
            <w:noWrap/>
            <w:vAlign w:val="bottom"/>
            <w:hideMark/>
          </w:tcPr>
          <w:p w14:paraId="4991675D" w14:textId="77777777" w:rsidR="00245464" w:rsidRPr="00350268" w:rsidRDefault="0024546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2010</w:t>
            </w:r>
          </w:p>
        </w:tc>
        <w:tc>
          <w:tcPr>
            <w:tcW w:w="424" w:type="pct"/>
            <w:tcBorders>
              <w:top w:val="single" w:sz="4" w:space="0" w:color="auto"/>
              <w:left w:val="nil"/>
              <w:bottom w:val="single" w:sz="4" w:space="0" w:color="auto"/>
              <w:right w:val="single" w:sz="4" w:space="0" w:color="auto"/>
            </w:tcBorders>
            <w:shd w:val="clear" w:color="auto" w:fill="auto"/>
            <w:noWrap/>
            <w:vAlign w:val="bottom"/>
            <w:hideMark/>
          </w:tcPr>
          <w:p w14:paraId="6A3737EB" w14:textId="77777777" w:rsidR="00245464" w:rsidRPr="00350268" w:rsidRDefault="0024546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2015</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63692A1B" w14:textId="77777777" w:rsidR="00245464" w:rsidRPr="00350268" w:rsidRDefault="0024546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2020</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14:paraId="548131B0" w14:textId="77777777" w:rsidR="00245464" w:rsidRPr="00350268" w:rsidRDefault="0024546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2025</w:t>
            </w:r>
          </w:p>
        </w:tc>
        <w:tc>
          <w:tcPr>
            <w:tcW w:w="472" w:type="pct"/>
            <w:tcBorders>
              <w:top w:val="single" w:sz="4" w:space="0" w:color="auto"/>
              <w:left w:val="nil"/>
              <w:bottom w:val="single" w:sz="4" w:space="0" w:color="auto"/>
              <w:right w:val="single" w:sz="4" w:space="0" w:color="auto"/>
            </w:tcBorders>
            <w:shd w:val="clear" w:color="auto" w:fill="auto"/>
            <w:noWrap/>
            <w:vAlign w:val="bottom"/>
            <w:hideMark/>
          </w:tcPr>
          <w:p w14:paraId="7B5C0BA5" w14:textId="77777777" w:rsidR="00245464" w:rsidRPr="00350268" w:rsidRDefault="0024546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2030</w:t>
            </w:r>
          </w:p>
        </w:tc>
        <w:tc>
          <w:tcPr>
            <w:tcW w:w="472" w:type="pct"/>
            <w:tcBorders>
              <w:top w:val="single" w:sz="4" w:space="0" w:color="auto"/>
              <w:left w:val="nil"/>
              <w:bottom w:val="single" w:sz="4" w:space="0" w:color="auto"/>
              <w:right w:val="single" w:sz="4" w:space="0" w:color="auto"/>
            </w:tcBorders>
            <w:shd w:val="clear" w:color="auto" w:fill="auto"/>
            <w:noWrap/>
            <w:vAlign w:val="bottom"/>
            <w:hideMark/>
          </w:tcPr>
          <w:p w14:paraId="1537A990" w14:textId="77777777" w:rsidR="00245464" w:rsidRPr="00350268" w:rsidRDefault="0024546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2035</w:t>
            </w:r>
          </w:p>
        </w:tc>
        <w:tc>
          <w:tcPr>
            <w:tcW w:w="472" w:type="pct"/>
            <w:tcBorders>
              <w:top w:val="single" w:sz="4" w:space="0" w:color="auto"/>
              <w:left w:val="nil"/>
              <w:bottom w:val="single" w:sz="4" w:space="0" w:color="auto"/>
              <w:right w:val="single" w:sz="4" w:space="0" w:color="auto"/>
            </w:tcBorders>
            <w:shd w:val="clear" w:color="auto" w:fill="auto"/>
            <w:noWrap/>
            <w:vAlign w:val="bottom"/>
            <w:hideMark/>
          </w:tcPr>
          <w:p w14:paraId="1370AD17" w14:textId="77777777" w:rsidR="00245464" w:rsidRPr="00350268" w:rsidRDefault="0024546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2040</w:t>
            </w:r>
          </w:p>
        </w:tc>
        <w:tc>
          <w:tcPr>
            <w:tcW w:w="472" w:type="pct"/>
            <w:tcBorders>
              <w:top w:val="single" w:sz="4" w:space="0" w:color="auto"/>
              <w:left w:val="nil"/>
              <w:bottom w:val="single" w:sz="4" w:space="0" w:color="auto"/>
              <w:right w:val="single" w:sz="4" w:space="0" w:color="auto"/>
            </w:tcBorders>
            <w:shd w:val="clear" w:color="auto" w:fill="auto"/>
            <w:noWrap/>
            <w:vAlign w:val="bottom"/>
            <w:hideMark/>
          </w:tcPr>
          <w:p w14:paraId="64AD1289" w14:textId="77777777" w:rsidR="00245464" w:rsidRPr="00350268" w:rsidRDefault="0024546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2045</w:t>
            </w:r>
          </w:p>
        </w:tc>
        <w:tc>
          <w:tcPr>
            <w:tcW w:w="470" w:type="pct"/>
            <w:tcBorders>
              <w:top w:val="single" w:sz="4" w:space="0" w:color="auto"/>
              <w:left w:val="nil"/>
              <w:bottom w:val="single" w:sz="4" w:space="0" w:color="auto"/>
              <w:right w:val="single" w:sz="4" w:space="0" w:color="auto"/>
            </w:tcBorders>
            <w:shd w:val="clear" w:color="auto" w:fill="auto"/>
            <w:noWrap/>
            <w:vAlign w:val="bottom"/>
            <w:hideMark/>
          </w:tcPr>
          <w:p w14:paraId="5EAD0109" w14:textId="77777777" w:rsidR="00245464" w:rsidRPr="00350268" w:rsidRDefault="00245464" w:rsidP="005B2733">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2050</w:t>
            </w:r>
          </w:p>
        </w:tc>
      </w:tr>
      <w:tr w:rsidR="00245464" w:rsidRPr="00350268" w14:paraId="38F3A8EE" w14:textId="77777777" w:rsidTr="00A91A48">
        <w:trPr>
          <w:trHeight w:val="300"/>
        </w:trPr>
        <w:tc>
          <w:tcPr>
            <w:tcW w:w="991" w:type="pct"/>
            <w:tcBorders>
              <w:top w:val="nil"/>
              <w:left w:val="single" w:sz="4" w:space="0" w:color="auto"/>
              <w:bottom w:val="single" w:sz="4" w:space="0" w:color="auto"/>
              <w:right w:val="single" w:sz="4" w:space="0" w:color="auto"/>
            </w:tcBorders>
            <w:shd w:val="clear" w:color="auto" w:fill="auto"/>
            <w:noWrap/>
            <w:vAlign w:val="bottom"/>
            <w:hideMark/>
          </w:tcPr>
          <w:p w14:paraId="5D9A0316" w14:textId="77777777" w:rsidR="00245464" w:rsidRPr="00350268" w:rsidRDefault="0024546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Electrification</w:t>
            </w:r>
          </w:p>
        </w:tc>
        <w:tc>
          <w:tcPr>
            <w:tcW w:w="33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754FA3"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4" w:type="pct"/>
            <w:tcBorders>
              <w:top w:val="single" w:sz="4" w:space="0" w:color="auto"/>
              <w:left w:val="nil"/>
              <w:bottom w:val="single" w:sz="4" w:space="0" w:color="auto"/>
              <w:right w:val="single" w:sz="4" w:space="0" w:color="auto"/>
            </w:tcBorders>
            <w:shd w:val="clear" w:color="auto" w:fill="auto"/>
            <w:noWrap/>
            <w:vAlign w:val="bottom"/>
            <w:hideMark/>
          </w:tcPr>
          <w:p w14:paraId="477D0897"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22BF63BF"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29.4</w:t>
            </w:r>
          </w:p>
        </w:tc>
        <w:tc>
          <w:tcPr>
            <w:tcW w:w="471" w:type="pct"/>
            <w:tcBorders>
              <w:top w:val="single" w:sz="4" w:space="0" w:color="auto"/>
              <w:left w:val="nil"/>
              <w:bottom w:val="single" w:sz="4" w:space="0" w:color="auto"/>
              <w:right w:val="single" w:sz="4" w:space="0" w:color="auto"/>
            </w:tcBorders>
            <w:shd w:val="clear" w:color="auto" w:fill="auto"/>
            <w:noWrap/>
            <w:vAlign w:val="bottom"/>
            <w:hideMark/>
          </w:tcPr>
          <w:p w14:paraId="23625687"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4637.0</w:t>
            </w:r>
          </w:p>
        </w:tc>
        <w:tc>
          <w:tcPr>
            <w:tcW w:w="472" w:type="pct"/>
            <w:tcBorders>
              <w:top w:val="single" w:sz="4" w:space="0" w:color="auto"/>
              <w:left w:val="nil"/>
              <w:bottom w:val="single" w:sz="4" w:space="0" w:color="auto"/>
              <w:right w:val="single" w:sz="4" w:space="0" w:color="auto"/>
            </w:tcBorders>
            <w:shd w:val="clear" w:color="auto" w:fill="auto"/>
            <w:noWrap/>
            <w:vAlign w:val="bottom"/>
            <w:hideMark/>
          </w:tcPr>
          <w:p w14:paraId="0E9E3F1B"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12288.4</w:t>
            </w:r>
          </w:p>
        </w:tc>
        <w:tc>
          <w:tcPr>
            <w:tcW w:w="472" w:type="pct"/>
            <w:tcBorders>
              <w:top w:val="single" w:sz="4" w:space="0" w:color="auto"/>
              <w:left w:val="nil"/>
              <w:bottom w:val="single" w:sz="4" w:space="0" w:color="auto"/>
              <w:right w:val="single" w:sz="4" w:space="0" w:color="auto"/>
            </w:tcBorders>
            <w:shd w:val="clear" w:color="auto" w:fill="auto"/>
            <w:noWrap/>
            <w:vAlign w:val="bottom"/>
            <w:hideMark/>
          </w:tcPr>
          <w:p w14:paraId="67E79BEA"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14730.1</w:t>
            </w:r>
          </w:p>
        </w:tc>
        <w:tc>
          <w:tcPr>
            <w:tcW w:w="472" w:type="pct"/>
            <w:tcBorders>
              <w:top w:val="single" w:sz="4" w:space="0" w:color="auto"/>
              <w:left w:val="nil"/>
              <w:bottom w:val="single" w:sz="4" w:space="0" w:color="auto"/>
              <w:right w:val="single" w:sz="4" w:space="0" w:color="auto"/>
            </w:tcBorders>
            <w:shd w:val="clear" w:color="auto" w:fill="auto"/>
            <w:noWrap/>
            <w:vAlign w:val="bottom"/>
            <w:hideMark/>
          </w:tcPr>
          <w:p w14:paraId="3B55472F"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15869.3</w:t>
            </w:r>
          </w:p>
        </w:tc>
        <w:tc>
          <w:tcPr>
            <w:tcW w:w="472" w:type="pct"/>
            <w:tcBorders>
              <w:top w:val="single" w:sz="4" w:space="0" w:color="auto"/>
              <w:left w:val="nil"/>
              <w:bottom w:val="single" w:sz="4" w:space="0" w:color="auto"/>
              <w:right w:val="single" w:sz="4" w:space="0" w:color="auto"/>
            </w:tcBorders>
            <w:shd w:val="clear" w:color="auto" w:fill="auto"/>
            <w:noWrap/>
            <w:vAlign w:val="bottom"/>
            <w:hideMark/>
          </w:tcPr>
          <w:p w14:paraId="5198B47C"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17008.6</w:t>
            </w:r>
          </w:p>
        </w:tc>
        <w:tc>
          <w:tcPr>
            <w:tcW w:w="470" w:type="pct"/>
            <w:tcBorders>
              <w:top w:val="single" w:sz="4" w:space="0" w:color="auto"/>
              <w:left w:val="nil"/>
              <w:bottom w:val="single" w:sz="4" w:space="0" w:color="auto"/>
              <w:right w:val="single" w:sz="4" w:space="0" w:color="auto"/>
            </w:tcBorders>
            <w:shd w:val="clear" w:color="auto" w:fill="auto"/>
            <w:noWrap/>
            <w:vAlign w:val="bottom"/>
            <w:hideMark/>
          </w:tcPr>
          <w:p w14:paraId="6A50CDCA"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18147.8</w:t>
            </w:r>
          </w:p>
        </w:tc>
      </w:tr>
      <w:tr w:rsidR="00245464" w:rsidRPr="00350268" w14:paraId="38452712" w14:textId="77777777" w:rsidTr="00A91A48">
        <w:trPr>
          <w:trHeight w:val="300"/>
        </w:trPr>
        <w:tc>
          <w:tcPr>
            <w:tcW w:w="991" w:type="pct"/>
            <w:tcBorders>
              <w:top w:val="nil"/>
              <w:left w:val="single" w:sz="4" w:space="0" w:color="auto"/>
              <w:bottom w:val="single" w:sz="4" w:space="0" w:color="auto"/>
              <w:right w:val="single" w:sz="4" w:space="0" w:color="auto"/>
            </w:tcBorders>
            <w:shd w:val="clear" w:color="auto" w:fill="auto"/>
            <w:noWrap/>
            <w:vAlign w:val="bottom"/>
            <w:hideMark/>
          </w:tcPr>
          <w:p w14:paraId="76A49789" w14:textId="77777777" w:rsidR="00245464" w:rsidRPr="00350268" w:rsidRDefault="0024546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 xml:space="preserve">Solar PV utility </w:t>
            </w:r>
          </w:p>
          <w:p w14:paraId="2356643F" w14:textId="77777777" w:rsidR="00245464" w:rsidRPr="00350268" w:rsidRDefault="0024546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scale-on-grid</w:t>
            </w:r>
          </w:p>
        </w:tc>
        <w:tc>
          <w:tcPr>
            <w:tcW w:w="330" w:type="pct"/>
            <w:tcBorders>
              <w:top w:val="nil"/>
              <w:left w:val="single" w:sz="4" w:space="0" w:color="auto"/>
              <w:bottom w:val="single" w:sz="4" w:space="0" w:color="auto"/>
              <w:right w:val="single" w:sz="4" w:space="0" w:color="auto"/>
            </w:tcBorders>
            <w:shd w:val="clear" w:color="auto" w:fill="auto"/>
            <w:noWrap/>
            <w:vAlign w:val="bottom"/>
            <w:hideMark/>
          </w:tcPr>
          <w:p w14:paraId="445099EE"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4" w:type="pct"/>
            <w:tcBorders>
              <w:top w:val="nil"/>
              <w:left w:val="nil"/>
              <w:bottom w:val="single" w:sz="4" w:space="0" w:color="auto"/>
              <w:right w:val="single" w:sz="4" w:space="0" w:color="auto"/>
            </w:tcBorders>
            <w:shd w:val="clear" w:color="auto" w:fill="auto"/>
            <w:noWrap/>
            <w:vAlign w:val="bottom"/>
            <w:hideMark/>
          </w:tcPr>
          <w:p w14:paraId="632E1F84"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0.1</w:t>
            </w:r>
          </w:p>
        </w:tc>
        <w:tc>
          <w:tcPr>
            <w:tcW w:w="425" w:type="pct"/>
            <w:tcBorders>
              <w:top w:val="nil"/>
              <w:left w:val="nil"/>
              <w:bottom w:val="single" w:sz="4" w:space="0" w:color="auto"/>
              <w:right w:val="single" w:sz="4" w:space="0" w:color="auto"/>
            </w:tcBorders>
            <w:shd w:val="clear" w:color="auto" w:fill="auto"/>
            <w:noWrap/>
            <w:vAlign w:val="bottom"/>
            <w:hideMark/>
          </w:tcPr>
          <w:p w14:paraId="7B7C05E8"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173.5</w:t>
            </w:r>
          </w:p>
        </w:tc>
        <w:tc>
          <w:tcPr>
            <w:tcW w:w="471" w:type="pct"/>
            <w:tcBorders>
              <w:top w:val="nil"/>
              <w:left w:val="nil"/>
              <w:bottom w:val="single" w:sz="4" w:space="0" w:color="auto"/>
              <w:right w:val="single" w:sz="4" w:space="0" w:color="auto"/>
            </w:tcBorders>
            <w:shd w:val="clear" w:color="auto" w:fill="auto"/>
            <w:noWrap/>
            <w:vAlign w:val="bottom"/>
            <w:hideMark/>
          </w:tcPr>
          <w:p w14:paraId="5FFB9841"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1734.9</w:t>
            </w:r>
          </w:p>
        </w:tc>
        <w:tc>
          <w:tcPr>
            <w:tcW w:w="472" w:type="pct"/>
            <w:tcBorders>
              <w:top w:val="nil"/>
              <w:left w:val="nil"/>
              <w:bottom w:val="single" w:sz="4" w:space="0" w:color="auto"/>
              <w:right w:val="single" w:sz="4" w:space="0" w:color="auto"/>
            </w:tcBorders>
            <w:shd w:val="clear" w:color="auto" w:fill="auto"/>
            <w:noWrap/>
            <w:vAlign w:val="bottom"/>
            <w:hideMark/>
          </w:tcPr>
          <w:p w14:paraId="520CE2EF"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1734.9</w:t>
            </w:r>
          </w:p>
        </w:tc>
        <w:tc>
          <w:tcPr>
            <w:tcW w:w="472" w:type="pct"/>
            <w:tcBorders>
              <w:top w:val="nil"/>
              <w:left w:val="nil"/>
              <w:bottom w:val="single" w:sz="4" w:space="0" w:color="auto"/>
              <w:right w:val="single" w:sz="4" w:space="0" w:color="auto"/>
            </w:tcBorders>
            <w:shd w:val="clear" w:color="auto" w:fill="auto"/>
            <w:noWrap/>
            <w:vAlign w:val="bottom"/>
            <w:hideMark/>
          </w:tcPr>
          <w:p w14:paraId="536AC530"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1734.9</w:t>
            </w:r>
          </w:p>
        </w:tc>
        <w:tc>
          <w:tcPr>
            <w:tcW w:w="472" w:type="pct"/>
            <w:tcBorders>
              <w:top w:val="nil"/>
              <w:left w:val="nil"/>
              <w:bottom w:val="single" w:sz="4" w:space="0" w:color="auto"/>
              <w:right w:val="single" w:sz="4" w:space="0" w:color="auto"/>
            </w:tcBorders>
            <w:shd w:val="clear" w:color="auto" w:fill="auto"/>
            <w:noWrap/>
            <w:vAlign w:val="bottom"/>
            <w:hideMark/>
          </w:tcPr>
          <w:p w14:paraId="421B9E86"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1734.9</w:t>
            </w:r>
          </w:p>
        </w:tc>
        <w:tc>
          <w:tcPr>
            <w:tcW w:w="472" w:type="pct"/>
            <w:tcBorders>
              <w:top w:val="nil"/>
              <w:left w:val="nil"/>
              <w:bottom w:val="single" w:sz="4" w:space="0" w:color="auto"/>
              <w:right w:val="single" w:sz="4" w:space="0" w:color="auto"/>
            </w:tcBorders>
            <w:shd w:val="clear" w:color="auto" w:fill="auto"/>
            <w:noWrap/>
            <w:vAlign w:val="bottom"/>
            <w:hideMark/>
          </w:tcPr>
          <w:p w14:paraId="389D5D96"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1734.9</w:t>
            </w:r>
          </w:p>
        </w:tc>
        <w:tc>
          <w:tcPr>
            <w:tcW w:w="470" w:type="pct"/>
            <w:tcBorders>
              <w:top w:val="nil"/>
              <w:left w:val="nil"/>
              <w:bottom w:val="single" w:sz="4" w:space="0" w:color="auto"/>
              <w:right w:val="single" w:sz="4" w:space="0" w:color="auto"/>
            </w:tcBorders>
            <w:shd w:val="clear" w:color="auto" w:fill="auto"/>
            <w:noWrap/>
            <w:vAlign w:val="bottom"/>
            <w:hideMark/>
          </w:tcPr>
          <w:p w14:paraId="081C1458"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1734.9</w:t>
            </w:r>
          </w:p>
        </w:tc>
      </w:tr>
      <w:tr w:rsidR="00245464" w:rsidRPr="00350268" w14:paraId="79E0063D" w14:textId="77777777" w:rsidTr="00A91A48">
        <w:trPr>
          <w:trHeight w:val="300"/>
        </w:trPr>
        <w:tc>
          <w:tcPr>
            <w:tcW w:w="991" w:type="pct"/>
            <w:tcBorders>
              <w:top w:val="nil"/>
              <w:left w:val="single" w:sz="4" w:space="0" w:color="auto"/>
              <w:bottom w:val="single" w:sz="4" w:space="0" w:color="auto"/>
              <w:right w:val="single" w:sz="4" w:space="0" w:color="auto"/>
            </w:tcBorders>
            <w:shd w:val="clear" w:color="auto" w:fill="auto"/>
            <w:noWrap/>
            <w:vAlign w:val="bottom"/>
            <w:hideMark/>
          </w:tcPr>
          <w:p w14:paraId="4FF8B2BB" w14:textId="77777777" w:rsidR="00245464" w:rsidRPr="00350268" w:rsidRDefault="0024546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Solar Home Systems</w:t>
            </w:r>
          </w:p>
        </w:tc>
        <w:tc>
          <w:tcPr>
            <w:tcW w:w="330" w:type="pct"/>
            <w:tcBorders>
              <w:top w:val="nil"/>
              <w:left w:val="single" w:sz="4" w:space="0" w:color="auto"/>
              <w:bottom w:val="single" w:sz="4" w:space="0" w:color="auto"/>
              <w:right w:val="single" w:sz="4" w:space="0" w:color="auto"/>
            </w:tcBorders>
            <w:shd w:val="clear" w:color="auto" w:fill="auto"/>
            <w:noWrap/>
            <w:vAlign w:val="bottom"/>
            <w:hideMark/>
          </w:tcPr>
          <w:p w14:paraId="12ED9DEE"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4" w:type="pct"/>
            <w:tcBorders>
              <w:top w:val="nil"/>
              <w:left w:val="nil"/>
              <w:bottom w:val="single" w:sz="4" w:space="0" w:color="auto"/>
              <w:right w:val="single" w:sz="4" w:space="0" w:color="auto"/>
            </w:tcBorders>
            <w:shd w:val="clear" w:color="auto" w:fill="auto"/>
            <w:noWrap/>
            <w:vAlign w:val="bottom"/>
            <w:hideMark/>
          </w:tcPr>
          <w:p w14:paraId="40D07FD0"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5" w:type="pct"/>
            <w:tcBorders>
              <w:top w:val="nil"/>
              <w:left w:val="nil"/>
              <w:bottom w:val="single" w:sz="4" w:space="0" w:color="auto"/>
              <w:right w:val="single" w:sz="4" w:space="0" w:color="auto"/>
            </w:tcBorders>
            <w:shd w:val="clear" w:color="auto" w:fill="auto"/>
            <w:noWrap/>
            <w:vAlign w:val="bottom"/>
            <w:hideMark/>
          </w:tcPr>
          <w:p w14:paraId="19C42BED"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7.1</w:t>
            </w:r>
          </w:p>
        </w:tc>
        <w:tc>
          <w:tcPr>
            <w:tcW w:w="471" w:type="pct"/>
            <w:tcBorders>
              <w:top w:val="nil"/>
              <w:left w:val="nil"/>
              <w:bottom w:val="single" w:sz="4" w:space="0" w:color="auto"/>
              <w:right w:val="single" w:sz="4" w:space="0" w:color="auto"/>
            </w:tcBorders>
            <w:shd w:val="clear" w:color="auto" w:fill="auto"/>
            <w:noWrap/>
            <w:vAlign w:val="bottom"/>
            <w:hideMark/>
          </w:tcPr>
          <w:p w14:paraId="15D5E304"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7.1</w:t>
            </w:r>
          </w:p>
        </w:tc>
        <w:tc>
          <w:tcPr>
            <w:tcW w:w="472" w:type="pct"/>
            <w:tcBorders>
              <w:top w:val="nil"/>
              <w:left w:val="nil"/>
              <w:bottom w:val="single" w:sz="4" w:space="0" w:color="auto"/>
              <w:right w:val="single" w:sz="4" w:space="0" w:color="auto"/>
            </w:tcBorders>
            <w:shd w:val="clear" w:color="auto" w:fill="auto"/>
            <w:noWrap/>
            <w:vAlign w:val="bottom"/>
            <w:hideMark/>
          </w:tcPr>
          <w:p w14:paraId="4972C19B"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7.1</w:t>
            </w:r>
          </w:p>
        </w:tc>
        <w:tc>
          <w:tcPr>
            <w:tcW w:w="472" w:type="pct"/>
            <w:tcBorders>
              <w:top w:val="nil"/>
              <w:left w:val="nil"/>
              <w:bottom w:val="single" w:sz="4" w:space="0" w:color="auto"/>
              <w:right w:val="single" w:sz="4" w:space="0" w:color="auto"/>
            </w:tcBorders>
            <w:shd w:val="clear" w:color="auto" w:fill="auto"/>
            <w:noWrap/>
            <w:vAlign w:val="bottom"/>
            <w:hideMark/>
          </w:tcPr>
          <w:p w14:paraId="527A3724"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7.1</w:t>
            </w:r>
          </w:p>
        </w:tc>
        <w:tc>
          <w:tcPr>
            <w:tcW w:w="472" w:type="pct"/>
            <w:tcBorders>
              <w:top w:val="nil"/>
              <w:left w:val="nil"/>
              <w:bottom w:val="single" w:sz="4" w:space="0" w:color="auto"/>
              <w:right w:val="single" w:sz="4" w:space="0" w:color="auto"/>
            </w:tcBorders>
            <w:shd w:val="clear" w:color="auto" w:fill="auto"/>
            <w:noWrap/>
            <w:vAlign w:val="bottom"/>
            <w:hideMark/>
          </w:tcPr>
          <w:p w14:paraId="35A24622"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7.1</w:t>
            </w:r>
          </w:p>
        </w:tc>
        <w:tc>
          <w:tcPr>
            <w:tcW w:w="472" w:type="pct"/>
            <w:tcBorders>
              <w:top w:val="nil"/>
              <w:left w:val="nil"/>
              <w:bottom w:val="single" w:sz="4" w:space="0" w:color="auto"/>
              <w:right w:val="single" w:sz="4" w:space="0" w:color="auto"/>
            </w:tcBorders>
            <w:shd w:val="clear" w:color="auto" w:fill="auto"/>
            <w:noWrap/>
            <w:vAlign w:val="bottom"/>
            <w:hideMark/>
          </w:tcPr>
          <w:p w14:paraId="2D6948F7"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7.1</w:t>
            </w:r>
          </w:p>
        </w:tc>
        <w:tc>
          <w:tcPr>
            <w:tcW w:w="470" w:type="pct"/>
            <w:tcBorders>
              <w:top w:val="nil"/>
              <w:left w:val="nil"/>
              <w:bottom w:val="single" w:sz="4" w:space="0" w:color="auto"/>
              <w:right w:val="single" w:sz="4" w:space="0" w:color="auto"/>
            </w:tcBorders>
            <w:shd w:val="clear" w:color="auto" w:fill="auto"/>
            <w:noWrap/>
            <w:vAlign w:val="bottom"/>
            <w:hideMark/>
          </w:tcPr>
          <w:p w14:paraId="3B20F190"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7.1</w:t>
            </w:r>
          </w:p>
        </w:tc>
      </w:tr>
      <w:tr w:rsidR="00245464" w:rsidRPr="00350268" w14:paraId="5ACDF10C" w14:textId="77777777" w:rsidTr="00A91A48">
        <w:trPr>
          <w:trHeight w:val="300"/>
        </w:trPr>
        <w:tc>
          <w:tcPr>
            <w:tcW w:w="991" w:type="pct"/>
            <w:tcBorders>
              <w:top w:val="nil"/>
              <w:left w:val="single" w:sz="4" w:space="0" w:color="auto"/>
              <w:bottom w:val="single" w:sz="4" w:space="0" w:color="auto"/>
              <w:right w:val="single" w:sz="4" w:space="0" w:color="auto"/>
            </w:tcBorders>
            <w:shd w:val="clear" w:color="auto" w:fill="auto"/>
            <w:noWrap/>
            <w:vAlign w:val="bottom"/>
            <w:hideMark/>
          </w:tcPr>
          <w:p w14:paraId="225C45B4" w14:textId="77777777" w:rsidR="00245464" w:rsidRPr="00350268" w:rsidRDefault="0024546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Small hydro Off grid</w:t>
            </w:r>
          </w:p>
        </w:tc>
        <w:tc>
          <w:tcPr>
            <w:tcW w:w="330" w:type="pct"/>
            <w:tcBorders>
              <w:top w:val="nil"/>
              <w:left w:val="single" w:sz="4" w:space="0" w:color="auto"/>
              <w:bottom w:val="single" w:sz="4" w:space="0" w:color="auto"/>
              <w:right w:val="single" w:sz="4" w:space="0" w:color="auto"/>
            </w:tcBorders>
            <w:shd w:val="clear" w:color="auto" w:fill="auto"/>
            <w:noWrap/>
            <w:vAlign w:val="bottom"/>
            <w:hideMark/>
          </w:tcPr>
          <w:p w14:paraId="48EAC176"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4" w:type="pct"/>
            <w:tcBorders>
              <w:top w:val="nil"/>
              <w:left w:val="nil"/>
              <w:bottom w:val="single" w:sz="4" w:space="0" w:color="auto"/>
              <w:right w:val="single" w:sz="4" w:space="0" w:color="auto"/>
            </w:tcBorders>
            <w:shd w:val="clear" w:color="auto" w:fill="auto"/>
            <w:noWrap/>
            <w:vAlign w:val="bottom"/>
            <w:hideMark/>
          </w:tcPr>
          <w:p w14:paraId="710CB91C"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5" w:type="pct"/>
            <w:tcBorders>
              <w:top w:val="nil"/>
              <w:left w:val="nil"/>
              <w:bottom w:val="single" w:sz="4" w:space="0" w:color="auto"/>
              <w:right w:val="single" w:sz="4" w:space="0" w:color="auto"/>
            </w:tcBorders>
            <w:shd w:val="clear" w:color="auto" w:fill="auto"/>
            <w:noWrap/>
            <w:vAlign w:val="bottom"/>
            <w:hideMark/>
          </w:tcPr>
          <w:p w14:paraId="102660EF"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179.5</w:t>
            </w:r>
          </w:p>
        </w:tc>
        <w:tc>
          <w:tcPr>
            <w:tcW w:w="471" w:type="pct"/>
            <w:tcBorders>
              <w:top w:val="nil"/>
              <w:left w:val="nil"/>
              <w:bottom w:val="single" w:sz="4" w:space="0" w:color="auto"/>
              <w:right w:val="single" w:sz="4" w:space="0" w:color="auto"/>
            </w:tcBorders>
            <w:shd w:val="clear" w:color="auto" w:fill="auto"/>
            <w:noWrap/>
            <w:vAlign w:val="bottom"/>
            <w:hideMark/>
          </w:tcPr>
          <w:p w14:paraId="2B616ABF"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179.5</w:t>
            </w:r>
          </w:p>
        </w:tc>
        <w:tc>
          <w:tcPr>
            <w:tcW w:w="472" w:type="pct"/>
            <w:tcBorders>
              <w:top w:val="nil"/>
              <w:left w:val="nil"/>
              <w:bottom w:val="single" w:sz="4" w:space="0" w:color="auto"/>
              <w:right w:val="single" w:sz="4" w:space="0" w:color="auto"/>
            </w:tcBorders>
            <w:shd w:val="clear" w:color="auto" w:fill="auto"/>
            <w:noWrap/>
            <w:vAlign w:val="bottom"/>
            <w:hideMark/>
          </w:tcPr>
          <w:p w14:paraId="5348E486"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179.5</w:t>
            </w:r>
          </w:p>
        </w:tc>
        <w:tc>
          <w:tcPr>
            <w:tcW w:w="472" w:type="pct"/>
            <w:tcBorders>
              <w:top w:val="nil"/>
              <w:left w:val="nil"/>
              <w:bottom w:val="single" w:sz="4" w:space="0" w:color="auto"/>
              <w:right w:val="single" w:sz="4" w:space="0" w:color="auto"/>
            </w:tcBorders>
            <w:shd w:val="clear" w:color="auto" w:fill="auto"/>
            <w:noWrap/>
            <w:vAlign w:val="bottom"/>
            <w:hideMark/>
          </w:tcPr>
          <w:p w14:paraId="2E73B8EE"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179.5</w:t>
            </w:r>
          </w:p>
        </w:tc>
        <w:tc>
          <w:tcPr>
            <w:tcW w:w="472" w:type="pct"/>
            <w:tcBorders>
              <w:top w:val="nil"/>
              <w:left w:val="nil"/>
              <w:bottom w:val="single" w:sz="4" w:space="0" w:color="auto"/>
              <w:right w:val="single" w:sz="4" w:space="0" w:color="auto"/>
            </w:tcBorders>
            <w:shd w:val="clear" w:color="auto" w:fill="auto"/>
            <w:noWrap/>
            <w:vAlign w:val="bottom"/>
            <w:hideMark/>
          </w:tcPr>
          <w:p w14:paraId="288A4A8B"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179.5</w:t>
            </w:r>
          </w:p>
        </w:tc>
        <w:tc>
          <w:tcPr>
            <w:tcW w:w="472" w:type="pct"/>
            <w:tcBorders>
              <w:top w:val="nil"/>
              <w:left w:val="nil"/>
              <w:bottom w:val="single" w:sz="4" w:space="0" w:color="auto"/>
              <w:right w:val="single" w:sz="4" w:space="0" w:color="auto"/>
            </w:tcBorders>
            <w:shd w:val="clear" w:color="auto" w:fill="auto"/>
            <w:noWrap/>
            <w:vAlign w:val="bottom"/>
            <w:hideMark/>
          </w:tcPr>
          <w:p w14:paraId="5C5A864B"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179.5</w:t>
            </w:r>
          </w:p>
        </w:tc>
        <w:tc>
          <w:tcPr>
            <w:tcW w:w="470" w:type="pct"/>
            <w:tcBorders>
              <w:top w:val="nil"/>
              <w:left w:val="nil"/>
              <w:bottom w:val="single" w:sz="4" w:space="0" w:color="auto"/>
              <w:right w:val="single" w:sz="4" w:space="0" w:color="auto"/>
            </w:tcBorders>
            <w:shd w:val="clear" w:color="auto" w:fill="auto"/>
            <w:noWrap/>
            <w:vAlign w:val="bottom"/>
            <w:hideMark/>
          </w:tcPr>
          <w:p w14:paraId="17DED63F"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179.5</w:t>
            </w:r>
          </w:p>
        </w:tc>
      </w:tr>
      <w:tr w:rsidR="00245464" w:rsidRPr="00350268" w14:paraId="1530E40E" w14:textId="77777777" w:rsidTr="00A91A48">
        <w:trPr>
          <w:trHeight w:val="300"/>
        </w:trPr>
        <w:tc>
          <w:tcPr>
            <w:tcW w:w="991" w:type="pct"/>
            <w:tcBorders>
              <w:top w:val="nil"/>
              <w:left w:val="single" w:sz="4" w:space="0" w:color="auto"/>
              <w:bottom w:val="single" w:sz="4" w:space="0" w:color="auto"/>
              <w:right w:val="single" w:sz="4" w:space="0" w:color="auto"/>
            </w:tcBorders>
            <w:shd w:val="clear" w:color="auto" w:fill="auto"/>
            <w:noWrap/>
            <w:vAlign w:val="bottom"/>
            <w:hideMark/>
          </w:tcPr>
          <w:p w14:paraId="29A5421C" w14:textId="77777777" w:rsidR="00245464" w:rsidRPr="00350268" w:rsidRDefault="0024546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Hydro –on-grid</w:t>
            </w:r>
          </w:p>
        </w:tc>
        <w:tc>
          <w:tcPr>
            <w:tcW w:w="330" w:type="pct"/>
            <w:tcBorders>
              <w:top w:val="nil"/>
              <w:left w:val="single" w:sz="4" w:space="0" w:color="auto"/>
              <w:bottom w:val="single" w:sz="4" w:space="0" w:color="auto"/>
              <w:right w:val="single" w:sz="4" w:space="0" w:color="auto"/>
            </w:tcBorders>
            <w:shd w:val="clear" w:color="auto" w:fill="auto"/>
            <w:noWrap/>
            <w:vAlign w:val="bottom"/>
            <w:hideMark/>
          </w:tcPr>
          <w:p w14:paraId="43E60377"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4" w:type="pct"/>
            <w:tcBorders>
              <w:top w:val="nil"/>
              <w:left w:val="nil"/>
              <w:bottom w:val="single" w:sz="4" w:space="0" w:color="auto"/>
              <w:right w:val="single" w:sz="4" w:space="0" w:color="auto"/>
            </w:tcBorders>
            <w:shd w:val="clear" w:color="auto" w:fill="auto"/>
            <w:noWrap/>
            <w:vAlign w:val="bottom"/>
            <w:hideMark/>
          </w:tcPr>
          <w:p w14:paraId="6A1FB728"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1417.1</w:t>
            </w:r>
          </w:p>
        </w:tc>
        <w:tc>
          <w:tcPr>
            <w:tcW w:w="425" w:type="pct"/>
            <w:tcBorders>
              <w:top w:val="nil"/>
              <w:left w:val="nil"/>
              <w:bottom w:val="single" w:sz="4" w:space="0" w:color="auto"/>
              <w:right w:val="single" w:sz="4" w:space="0" w:color="auto"/>
            </w:tcBorders>
            <w:shd w:val="clear" w:color="auto" w:fill="auto"/>
            <w:noWrap/>
            <w:vAlign w:val="bottom"/>
            <w:hideMark/>
          </w:tcPr>
          <w:p w14:paraId="5DC26BF2"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2496.6</w:t>
            </w:r>
          </w:p>
        </w:tc>
        <w:tc>
          <w:tcPr>
            <w:tcW w:w="471" w:type="pct"/>
            <w:tcBorders>
              <w:top w:val="nil"/>
              <w:left w:val="nil"/>
              <w:bottom w:val="single" w:sz="4" w:space="0" w:color="auto"/>
              <w:right w:val="single" w:sz="4" w:space="0" w:color="auto"/>
            </w:tcBorders>
            <w:shd w:val="clear" w:color="auto" w:fill="auto"/>
            <w:noWrap/>
            <w:vAlign w:val="bottom"/>
            <w:hideMark/>
          </w:tcPr>
          <w:p w14:paraId="06B40AC5"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6225.8</w:t>
            </w:r>
          </w:p>
        </w:tc>
        <w:tc>
          <w:tcPr>
            <w:tcW w:w="472" w:type="pct"/>
            <w:tcBorders>
              <w:top w:val="nil"/>
              <w:left w:val="nil"/>
              <w:bottom w:val="single" w:sz="4" w:space="0" w:color="auto"/>
              <w:right w:val="single" w:sz="4" w:space="0" w:color="auto"/>
            </w:tcBorders>
            <w:shd w:val="clear" w:color="auto" w:fill="auto"/>
            <w:noWrap/>
            <w:vAlign w:val="bottom"/>
            <w:hideMark/>
          </w:tcPr>
          <w:p w14:paraId="440DD19A"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15819.5</w:t>
            </w:r>
          </w:p>
        </w:tc>
        <w:tc>
          <w:tcPr>
            <w:tcW w:w="472" w:type="pct"/>
            <w:tcBorders>
              <w:top w:val="nil"/>
              <w:left w:val="nil"/>
              <w:bottom w:val="single" w:sz="4" w:space="0" w:color="auto"/>
              <w:right w:val="single" w:sz="4" w:space="0" w:color="auto"/>
            </w:tcBorders>
            <w:shd w:val="clear" w:color="auto" w:fill="auto"/>
            <w:noWrap/>
            <w:vAlign w:val="bottom"/>
            <w:hideMark/>
          </w:tcPr>
          <w:p w14:paraId="612ED6F6"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23348.1</w:t>
            </w:r>
          </w:p>
        </w:tc>
        <w:tc>
          <w:tcPr>
            <w:tcW w:w="472" w:type="pct"/>
            <w:tcBorders>
              <w:top w:val="nil"/>
              <w:left w:val="nil"/>
              <w:bottom w:val="single" w:sz="4" w:space="0" w:color="auto"/>
              <w:right w:val="single" w:sz="4" w:space="0" w:color="auto"/>
            </w:tcBorders>
            <w:shd w:val="clear" w:color="auto" w:fill="auto"/>
            <w:noWrap/>
            <w:vAlign w:val="bottom"/>
            <w:hideMark/>
          </w:tcPr>
          <w:p w14:paraId="5CF98949"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25848.6</w:t>
            </w:r>
          </w:p>
        </w:tc>
        <w:tc>
          <w:tcPr>
            <w:tcW w:w="472" w:type="pct"/>
            <w:tcBorders>
              <w:top w:val="nil"/>
              <w:left w:val="nil"/>
              <w:bottom w:val="single" w:sz="4" w:space="0" w:color="auto"/>
              <w:right w:val="single" w:sz="4" w:space="0" w:color="auto"/>
            </w:tcBorders>
            <w:shd w:val="clear" w:color="auto" w:fill="auto"/>
            <w:noWrap/>
            <w:vAlign w:val="bottom"/>
            <w:hideMark/>
          </w:tcPr>
          <w:p w14:paraId="6C14A144"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25848.6</w:t>
            </w:r>
          </w:p>
        </w:tc>
        <w:tc>
          <w:tcPr>
            <w:tcW w:w="470" w:type="pct"/>
            <w:tcBorders>
              <w:top w:val="nil"/>
              <w:left w:val="nil"/>
              <w:bottom w:val="single" w:sz="4" w:space="0" w:color="auto"/>
              <w:right w:val="single" w:sz="4" w:space="0" w:color="auto"/>
            </w:tcBorders>
            <w:shd w:val="clear" w:color="auto" w:fill="auto"/>
            <w:noWrap/>
            <w:vAlign w:val="bottom"/>
            <w:hideMark/>
          </w:tcPr>
          <w:p w14:paraId="6E7B8F2F"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25848.6</w:t>
            </w:r>
          </w:p>
        </w:tc>
      </w:tr>
      <w:tr w:rsidR="00245464" w:rsidRPr="00350268" w14:paraId="353EC180" w14:textId="77777777" w:rsidTr="00A91A48">
        <w:trPr>
          <w:trHeight w:val="300"/>
        </w:trPr>
        <w:tc>
          <w:tcPr>
            <w:tcW w:w="991" w:type="pct"/>
            <w:tcBorders>
              <w:top w:val="nil"/>
              <w:left w:val="single" w:sz="4" w:space="0" w:color="auto"/>
              <w:bottom w:val="single" w:sz="4" w:space="0" w:color="auto"/>
              <w:right w:val="single" w:sz="4" w:space="0" w:color="auto"/>
            </w:tcBorders>
            <w:shd w:val="clear" w:color="auto" w:fill="auto"/>
            <w:noWrap/>
            <w:vAlign w:val="bottom"/>
            <w:hideMark/>
          </w:tcPr>
          <w:p w14:paraId="0FA9A8CF" w14:textId="77777777" w:rsidR="00245464" w:rsidRPr="00350268" w:rsidRDefault="0024546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Energy Efficiency</w:t>
            </w:r>
          </w:p>
        </w:tc>
        <w:tc>
          <w:tcPr>
            <w:tcW w:w="330" w:type="pct"/>
            <w:tcBorders>
              <w:top w:val="nil"/>
              <w:left w:val="single" w:sz="4" w:space="0" w:color="auto"/>
              <w:bottom w:val="single" w:sz="4" w:space="0" w:color="auto"/>
              <w:right w:val="single" w:sz="4" w:space="0" w:color="auto"/>
            </w:tcBorders>
            <w:shd w:val="clear" w:color="auto" w:fill="auto"/>
            <w:noWrap/>
            <w:vAlign w:val="bottom"/>
            <w:hideMark/>
          </w:tcPr>
          <w:p w14:paraId="7ABDB7C1"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4" w:type="pct"/>
            <w:tcBorders>
              <w:top w:val="nil"/>
              <w:left w:val="nil"/>
              <w:bottom w:val="single" w:sz="4" w:space="0" w:color="auto"/>
              <w:right w:val="single" w:sz="4" w:space="0" w:color="auto"/>
            </w:tcBorders>
            <w:shd w:val="clear" w:color="auto" w:fill="auto"/>
            <w:noWrap/>
            <w:vAlign w:val="bottom"/>
            <w:hideMark/>
          </w:tcPr>
          <w:p w14:paraId="5B3F6DE8"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5" w:type="pct"/>
            <w:tcBorders>
              <w:top w:val="nil"/>
              <w:left w:val="nil"/>
              <w:bottom w:val="single" w:sz="4" w:space="0" w:color="auto"/>
              <w:right w:val="single" w:sz="4" w:space="0" w:color="auto"/>
            </w:tcBorders>
            <w:shd w:val="clear" w:color="auto" w:fill="auto"/>
            <w:noWrap/>
            <w:vAlign w:val="bottom"/>
            <w:hideMark/>
          </w:tcPr>
          <w:p w14:paraId="2B6854CB"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127.6</w:t>
            </w:r>
          </w:p>
        </w:tc>
        <w:tc>
          <w:tcPr>
            <w:tcW w:w="471" w:type="pct"/>
            <w:tcBorders>
              <w:top w:val="nil"/>
              <w:left w:val="nil"/>
              <w:bottom w:val="single" w:sz="4" w:space="0" w:color="auto"/>
              <w:right w:val="single" w:sz="4" w:space="0" w:color="auto"/>
            </w:tcBorders>
            <w:shd w:val="clear" w:color="auto" w:fill="auto"/>
            <w:noWrap/>
            <w:vAlign w:val="bottom"/>
            <w:hideMark/>
          </w:tcPr>
          <w:p w14:paraId="5C89BEB8"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127.6</w:t>
            </w:r>
          </w:p>
        </w:tc>
        <w:tc>
          <w:tcPr>
            <w:tcW w:w="472" w:type="pct"/>
            <w:tcBorders>
              <w:top w:val="nil"/>
              <w:left w:val="nil"/>
              <w:bottom w:val="single" w:sz="4" w:space="0" w:color="auto"/>
              <w:right w:val="single" w:sz="4" w:space="0" w:color="auto"/>
            </w:tcBorders>
            <w:shd w:val="clear" w:color="auto" w:fill="auto"/>
            <w:noWrap/>
            <w:vAlign w:val="bottom"/>
            <w:hideMark/>
          </w:tcPr>
          <w:p w14:paraId="2B6683EB"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127.6</w:t>
            </w:r>
          </w:p>
        </w:tc>
        <w:tc>
          <w:tcPr>
            <w:tcW w:w="472" w:type="pct"/>
            <w:tcBorders>
              <w:top w:val="nil"/>
              <w:left w:val="nil"/>
              <w:bottom w:val="single" w:sz="4" w:space="0" w:color="auto"/>
              <w:right w:val="single" w:sz="4" w:space="0" w:color="auto"/>
            </w:tcBorders>
            <w:shd w:val="clear" w:color="auto" w:fill="auto"/>
            <w:noWrap/>
            <w:vAlign w:val="bottom"/>
            <w:hideMark/>
          </w:tcPr>
          <w:p w14:paraId="16DF9781"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127.6</w:t>
            </w:r>
          </w:p>
        </w:tc>
        <w:tc>
          <w:tcPr>
            <w:tcW w:w="472" w:type="pct"/>
            <w:tcBorders>
              <w:top w:val="nil"/>
              <w:left w:val="nil"/>
              <w:bottom w:val="single" w:sz="4" w:space="0" w:color="auto"/>
              <w:right w:val="single" w:sz="4" w:space="0" w:color="auto"/>
            </w:tcBorders>
            <w:shd w:val="clear" w:color="auto" w:fill="auto"/>
            <w:noWrap/>
            <w:vAlign w:val="bottom"/>
            <w:hideMark/>
          </w:tcPr>
          <w:p w14:paraId="1AC3EE22"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127.6</w:t>
            </w:r>
          </w:p>
        </w:tc>
        <w:tc>
          <w:tcPr>
            <w:tcW w:w="472" w:type="pct"/>
            <w:tcBorders>
              <w:top w:val="nil"/>
              <w:left w:val="nil"/>
              <w:bottom w:val="single" w:sz="4" w:space="0" w:color="auto"/>
              <w:right w:val="single" w:sz="4" w:space="0" w:color="auto"/>
            </w:tcBorders>
            <w:shd w:val="clear" w:color="auto" w:fill="auto"/>
            <w:noWrap/>
            <w:vAlign w:val="bottom"/>
            <w:hideMark/>
          </w:tcPr>
          <w:p w14:paraId="69933FA7"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127.6</w:t>
            </w:r>
          </w:p>
        </w:tc>
        <w:tc>
          <w:tcPr>
            <w:tcW w:w="470" w:type="pct"/>
            <w:tcBorders>
              <w:top w:val="nil"/>
              <w:left w:val="nil"/>
              <w:bottom w:val="single" w:sz="4" w:space="0" w:color="auto"/>
              <w:right w:val="single" w:sz="4" w:space="0" w:color="auto"/>
            </w:tcBorders>
            <w:shd w:val="clear" w:color="auto" w:fill="auto"/>
            <w:noWrap/>
            <w:vAlign w:val="bottom"/>
            <w:hideMark/>
          </w:tcPr>
          <w:p w14:paraId="50FDD770"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127.6</w:t>
            </w:r>
          </w:p>
        </w:tc>
      </w:tr>
      <w:tr w:rsidR="00245464" w:rsidRPr="00350268" w14:paraId="3B3B1ED4" w14:textId="77777777" w:rsidTr="00A91A48">
        <w:trPr>
          <w:trHeight w:val="300"/>
        </w:trPr>
        <w:tc>
          <w:tcPr>
            <w:tcW w:w="991" w:type="pct"/>
            <w:tcBorders>
              <w:top w:val="nil"/>
              <w:left w:val="single" w:sz="4" w:space="0" w:color="auto"/>
              <w:bottom w:val="single" w:sz="4" w:space="0" w:color="auto"/>
              <w:right w:val="single" w:sz="4" w:space="0" w:color="auto"/>
            </w:tcBorders>
            <w:shd w:val="clear" w:color="auto" w:fill="auto"/>
            <w:noWrap/>
            <w:vAlign w:val="bottom"/>
            <w:hideMark/>
          </w:tcPr>
          <w:p w14:paraId="43920EDC" w14:textId="77777777" w:rsidR="00245464" w:rsidRPr="00350268" w:rsidRDefault="0024546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Wind</w:t>
            </w:r>
          </w:p>
        </w:tc>
        <w:tc>
          <w:tcPr>
            <w:tcW w:w="330" w:type="pct"/>
            <w:tcBorders>
              <w:top w:val="nil"/>
              <w:left w:val="single" w:sz="4" w:space="0" w:color="auto"/>
              <w:bottom w:val="single" w:sz="4" w:space="0" w:color="auto"/>
              <w:right w:val="single" w:sz="4" w:space="0" w:color="auto"/>
            </w:tcBorders>
            <w:shd w:val="clear" w:color="auto" w:fill="auto"/>
            <w:noWrap/>
            <w:vAlign w:val="bottom"/>
            <w:hideMark/>
          </w:tcPr>
          <w:p w14:paraId="5550F313"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4" w:type="pct"/>
            <w:tcBorders>
              <w:top w:val="nil"/>
              <w:left w:val="nil"/>
              <w:bottom w:val="single" w:sz="4" w:space="0" w:color="auto"/>
              <w:right w:val="single" w:sz="4" w:space="0" w:color="auto"/>
            </w:tcBorders>
            <w:shd w:val="clear" w:color="auto" w:fill="auto"/>
            <w:noWrap/>
            <w:vAlign w:val="bottom"/>
            <w:hideMark/>
          </w:tcPr>
          <w:p w14:paraId="1D8A01FC"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5" w:type="pct"/>
            <w:tcBorders>
              <w:top w:val="nil"/>
              <w:left w:val="nil"/>
              <w:bottom w:val="single" w:sz="4" w:space="0" w:color="auto"/>
              <w:right w:val="single" w:sz="4" w:space="0" w:color="auto"/>
            </w:tcBorders>
            <w:shd w:val="clear" w:color="auto" w:fill="auto"/>
            <w:noWrap/>
            <w:vAlign w:val="bottom"/>
            <w:hideMark/>
          </w:tcPr>
          <w:p w14:paraId="527AF178"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71" w:type="pct"/>
            <w:tcBorders>
              <w:top w:val="nil"/>
              <w:left w:val="nil"/>
              <w:bottom w:val="single" w:sz="4" w:space="0" w:color="auto"/>
              <w:right w:val="single" w:sz="4" w:space="0" w:color="auto"/>
            </w:tcBorders>
            <w:shd w:val="clear" w:color="auto" w:fill="auto"/>
            <w:noWrap/>
            <w:vAlign w:val="bottom"/>
            <w:hideMark/>
          </w:tcPr>
          <w:p w14:paraId="518E6907"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257.6</w:t>
            </w:r>
          </w:p>
        </w:tc>
        <w:tc>
          <w:tcPr>
            <w:tcW w:w="472" w:type="pct"/>
            <w:tcBorders>
              <w:top w:val="nil"/>
              <w:left w:val="nil"/>
              <w:bottom w:val="single" w:sz="4" w:space="0" w:color="auto"/>
              <w:right w:val="single" w:sz="4" w:space="0" w:color="auto"/>
            </w:tcBorders>
            <w:shd w:val="clear" w:color="auto" w:fill="auto"/>
            <w:noWrap/>
            <w:vAlign w:val="bottom"/>
            <w:hideMark/>
          </w:tcPr>
          <w:p w14:paraId="5F60029D"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1116.1</w:t>
            </w:r>
          </w:p>
        </w:tc>
        <w:tc>
          <w:tcPr>
            <w:tcW w:w="472" w:type="pct"/>
            <w:tcBorders>
              <w:top w:val="nil"/>
              <w:left w:val="nil"/>
              <w:bottom w:val="single" w:sz="4" w:space="0" w:color="auto"/>
              <w:right w:val="single" w:sz="4" w:space="0" w:color="auto"/>
            </w:tcBorders>
            <w:shd w:val="clear" w:color="auto" w:fill="auto"/>
            <w:noWrap/>
            <w:vAlign w:val="bottom"/>
            <w:hideMark/>
          </w:tcPr>
          <w:p w14:paraId="01512F69"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1116.1</w:t>
            </w:r>
          </w:p>
        </w:tc>
        <w:tc>
          <w:tcPr>
            <w:tcW w:w="472" w:type="pct"/>
            <w:tcBorders>
              <w:top w:val="nil"/>
              <w:left w:val="nil"/>
              <w:bottom w:val="single" w:sz="4" w:space="0" w:color="auto"/>
              <w:right w:val="single" w:sz="4" w:space="0" w:color="auto"/>
            </w:tcBorders>
            <w:shd w:val="clear" w:color="auto" w:fill="auto"/>
            <w:noWrap/>
            <w:vAlign w:val="bottom"/>
            <w:hideMark/>
          </w:tcPr>
          <w:p w14:paraId="2294719D"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1116.1</w:t>
            </w:r>
          </w:p>
        </w:tc>
        <w:tc>
          <w:tcPr>
            <w:tcW w:w="472" w:type="pct"/>
            <w:tcBorders>
              <w:top w:val="nil"/>
              <w:left w:val="nil"/>
              <w:bottom w:val="single" w:sz="4" w:space="0" w:color="auto"/>
              <w:right w:val="single" w:sz="4" w:space="0" w:color="auto"/>
            </w:tcBorders>
            <w:shd w:val="clear" w:color="auto" w:fill="auto"/>
            <w:noWrap/>
            <w:vAlign w:val="bottom"/>
            <w:hideMark/>
          </w:tcPr>
          <w:p w14:paraId="33D75CCB"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1116.1</w:t>
            </w:r>
          </w:p>
        </w:tc>
        <w:tc>
          <w:tcPr>
            <w:tcW w:w="470" w:type="pct"/>
            <w:tcBorders>
              <w:top w:val="nil"/>
              <w:left w:val="nil"/>
              <w:bottom w:val="single" w:sz="4" w:space="0" w:color="auto"/>
              <w:right w:val="single" w:sz="4" w:space="0" w:color="auto"/>
            </w:tcBorders>
            <w:shd w:val="clear" w:color="auto" w:fill="auto"/>
            <w:noWrap/>
            <w:vAlign w:val="bottom"/>
            <w:hideMark/>
          </w:tcPr>
          <w:p w14:paraId="680FA508"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1116.1</w:t>
            </w:r>
          </w:p>
        </w:tc>
      </w:tr>
      <w:tr w:rsidR="00245464" w:rsidRPr="00350268" w14:paraId="44808709" w14:textId="77777777" w:rsidTr="00A91A48">
        <w:trPr>
          <w:trHeight w:val="300"/>
        </w:trPr>
        <w:tc>
          <w:tcPr>
            <w:tcW w:w="991" w:type="pct"/>
            <w:tcBorders>
              <w:top w:val="nil"/>
              <w:left w:val="single" w:sz="4" w:space="0" w:color="auto"/>
              <w:bottom w:val="single" w:sz="4" w:space="0" w:color="auto"/>
              <w:right w:val="single" w:sz="4" w:space="0" w:color="auto"/>
            </w:tcBorders>
            <w:shd w:val="clear" w:color="auto" w:fill="auto"/>
            <w:noWrap/>
            <w:vAlign w:val="bottom"/>
            <w:hideMark/>
          </w:tcPr>
          <w:p w14:paraId="661A70FF" w14:textId="77777777" w:rsidR="00245464" w:rsidRPr="00350268" w:rsidRDefault="0024546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Biomass</w:t>
            </w:r>
          </w:p>
        </w:tc>
        <w:tc>
          <w:tcPr>
            <w:tcW w:w="330" w:type="pct"/>
            <w:tcBorders>
              <w:top w:val="nil"/>
              <w:left w:val="single" w:sz="4" w:space="0" w:color="auto"/>
              <w:bottom w:val="single" w:sz="4" w:space="0" w:color="auto"/>
              <w:right w:val="single" w:sz="4" w:space="0" w:color="auto"/>
            </w:tcBorders>
            <w:shd w:val="clear" w:color="auto" w:fill="auto"/>
            <w:noWrap/>
            <w:vAlign w:val="bottom"/>
            <w:hideMark/>
          </w:tcPr>
          <w:p w14:paraId="1F6DD981"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4" w:type="pct"/>
            <w:tcBorders>
              <w:top w:val="nil"/>
              <w:left w:val="nil"/>
              <w:bottom w:val="single" w:sz="4" w:space="0" w:color="auto"/>
              <w:right w:val="single" w:sz="4" w:space="0" w:color="auto"/>
            </w:tcBorders>
            <w:shd w:val="clear" w:color="auto" w:fill="auto"/>
            <w:noWrap/>
            <w:vAlign w:val="bottom"/>
            <w:hideMark/>
          </w:tcPr>
          <w:p w14:paraId="543DEECC"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5" w:type="pct"/>
            <w:tcBorders>
              <w:top w:val="nil"/>
              <w:left w:val="nil"/>
              <w:bottom w:val="single" w:sz="4" w:space="0" w:color="auto"/>
              <w:right w:val="single" w:sz="4" w:space="0" w:color="auto"/>
            </w:tcBorders>
            <w:shd w:val="clear" w:color="auto" w:fill="auto"/>
            <w:noWrap/>
            <w:vAlign w:val="bottom"/>
            <w:hideMark/>
          </w:tcPr>
          <w:p w14:paraId="66FEE624"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49.3</w:t>
            </w:r>
          </w:p>
        </w:tc>
        <w:tc>
          <w:tcPr>
            <w:tcW w:w="471" w:type="pct"/>
            <w:tcBorders>
              <w:top w:val="nil"/>
              <w:left w:val="nil"/>
              <w:bottom w:val="single" w:sz="4" w:space="0" w:color="auto"/>
              <w:right w:val="single" w:sz="4" w:space="0" w:color="auto"/>
            </w:tcBorders>
            <w:shd w:val="clear" w:color="auto" w:fill="auto"/>
            <w:noWrap/>
            <w:vAlign w:val="bottom"/>
            <w:hideMark/>
          </w:tcPr>
          <w:p w14:paraId="5BCFF1B5"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842.7</w:t>
            </w:r>
          </w:p>
        </w:tc>
        <w:tc>
          <w:tcPr>
            <w:tcW w:w="472" w:type="pct"/>
            <w:tcBorders>
              <w:top w:val="nil"/>
              <w:left w:val="nil"/>
              <w:bottom w:val="single" w:sz="4" w:space="0" w:color="auto"/>
              <w:right w:val="single" w:sz="4" w:space="0" w:color="auto"/>
            </w:tcBorders>
            <w:shd w:val="clear" w:color="auto" w:fill="auto"/>
            <w:noWrap/>
            <w:vAlign w:val="bottom"/>
            <w:hideMark/>
          </w:tcPr>
          <w:p w14:paraId="5378858B"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842.7</w:t>
            </w:r>
          </w:p>
        </w:tc>
        <w:tc>
          <w:tcPr>
            <w:tcW w:w="472" w:type="pct"/>
            <w:tcBorders>
              <w:top w:val="nil"/>
              <w:left w:val="nil"/>
              <w:bottom w:val="single" w:sz="4" w:space="0" w:color="auto"/>
              <w:right w:val="single" w:sz="4" w:space="0" w:color="auto"/>
            </w:tcBorders>
            <w:shd w:val="clear" w:color="auto" w:fill="auto"/>
            <w:noWrap/>
            <w:vAlign w:val="bottom"/>
            <w:hideMark/>
          </w:tcPr>
          <w:p w14:paraId="51A808B3"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842.7</w:t>
            </w:r>
          </w:p>
        </w:tc>
        <w:tc>
          <w:tcPr>
            <w:tcW w:w="472" w:type="pct"/>
            <w:tcBorders>
              <w:top w:val="nil"/>
              <w:left w:val="nil"/>
              <w:bottom w:val="single" w:sz="4" w:space="0" w:color="auto"/>
              <w:right w:val="single" w:sz="4" w:space="0" w:color="auto"/>
            </w:tcBorders>
            <w:shd w:val="clear" w:color="auto" w:fill="auto"/>
            <w:noWrap/>
            <w:vAlign w:val="bottom"/>
            <w:hideMark/>
          </w:tcPr>
          <w:p w14:paraId="3662A7C0"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842.7</w:t>
            </w:r>
          </w:p>
        </w:tc>
        <w:tc>
          <w:tcPr>
            <w:tcW w:w="472" w:type="pct"/>
            <w:tcBorders>
              <w:top w:val="nil"/>
              <w:left w:val="nil"/>
              <w:bottom w:val="single" w:sz="4" w:space="0" w:color="auto"/>
              <w:right w:val="single" w:sz="4" w:space="0" w:color="auto"/>
            </w:tcBorders>
            <w:shd w:val="clear" w:color="auto" w:fill="auto"/>
            <w:noWrap/>
            <w:vAlign w:val="bottom"/>
            <w:hideMark/>
          </w:tcPr>
          <w:p w14:paraId="01CA39BC"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842.7</w:t>
            </w:r>
          </w:p>
        </w:tc>
        <w:tc>
          <w:tcPr>
            <w:tcW w:w="470" w:type="pct"/>
            <w:tcBorders>
              <w:top w:val="nil"/>
              <w:left w:val="nil"/>
              <w:bottom w:val="single" w:sz="4" w:space="0" w:color="auto"/>
              <w:right w:val="single" w:sz="4" w:space="0" w:color="auto"/>
            </w:tcBorders>
            <w:shd w:val="clear" w:color="auto" w:fill="auto"/>
            <w:noWrap/>
            <w:vAlign w:val="bottom"/>
            <w:hideMark/>
          </w:tcPr>
          <w:p w14:paraId="461591A0"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842.7</w:t>
            </w:r>
          </w:p>
        </w:tc>
      </w:tr>
      <w:tr w:rsidR="00245464" w:rsidRPr="00350268" w14:paraId="61FD13A2" w14:textId="77777777" w:rsidTr="00A91A48">
        <w:trPr>
          <w:trHeight w:val="300"/>
        </w:trPr>
        <w:tc>
          <w:tcPr>
            <w:tcW w:w="991" w:type="pct"/>
            <w:tcBorders>
              <w:top w:val="nil"/>
              <w:left w:val="single" w:sz="4" w:space="0" w:color="auto"/>
              <w:bottom w:val="single" w:sz="4" w:space="0" w:color="auto"/>
              <w:right w:val="single" w:sz="4" w:space="0" w:color="auto"/>
            </w:tcBorders>
            <w:shd w:val="clear" w:color="auto" w:fill="auto"/>
            <w:noWrap/>
            <w:vAlign w:val="bottom"/>
            <w:hideMark/>
          </w:tcPr>
          <w:p w14:paraId="11C941EF" w14:textId="77777777" w:rsidR="00245464" w:rsidRPr="00350268" w:rsidRDefault="0024546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Geothermal</w:t>
            </w:r>
          </w:p>
        </w:tc>
        <w:tc>
          <w:tcPr>
            <w:tcW w:w="330" w:type="pct"/>
            <w:tcBorders>
              <w:top w:val="nil"/>
              <w:left w:val="single" w:sz="4" w:space="0" w:color="auto"/>
              <w:bottom w:val="single" w:sz="4" w:space="0" w:color="auto"/>
              <w:right w:val="single" w:sz="4" w:space="0" w:color="auto"/>
            </w:tcBorders>
            <w:shd w:val="clear" w:color="auto" w:fill="auto"/>
            <w:noWrap/>
            <w:vAlign w:val="bottom"/>
            <w:hideMark/>
          </w:tcPr>
          <w:p w14:paraId="70F3233F"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4" w:type="pct"/>
            <w:tcBorders>
              <w:top w:val="nil"/>
              <w:left w:val="nil"/>
              <w:bottom w:val="single" w:sz="4" w:space="0" w:color="auto"/>
              <w:right w:val="single" w:sz="4" w:space="0" w:color="auto"/>
            </w:tcBorders>
            <w:shd w:val="clear" w:color="auto" w:fill="auto"/>
            <w:noWrap/>
            <w:vAlign w:val="bottom"/>
            <w:hideMark/>
          </w:tcPr>
          <w:p w14:paraId="3A9C1548"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5" w:type="pct"/>
            <w:tcBorders>
              <w:top w:val="nil"/>
              <w:left w:val="nil"/>
              <w:bottom w:val="single" w:sz="4" w:space="0" w:color="auto"/>
              <w:right w:val="single" w:sz="4" w:space="0" w:color="auto"/>
            </w:tcBorders>
            <w:shd w:val="clear" w:color="auto" w:fill="auto"/>
            <w:noWrap/>
            <w:vAlign w:val="bottom"/>
            <w:hideMark/>
          </w:tcPr>
          <w:p w14:paraId="10E94C7E"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71" w:type="pct"/>
            <w:tcBorders>
              <w:top w:val="nil"/>
              <w:left w:val="nil"/>
              <w:bottom w:val="single" w:sz="4" w:space="0" w:color="auto"/>
              <w:right w:val="single" w:sz="4" w:space="0" w:color="auto"/>
            </w:tcBorders>
            <w:shd w:val="clear" w:color="auto" w:fill="auto"/>
            <w:noWrap/>
            <w:vAlign w:val="bottom"/>
            <w:hideMark/>
          </w:tcPr>
          <w:p w14:paraId="61282F60"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8.3</w:t>
            </w:r>
          </w:p>
        </w:tc>
        <w:tc>
          <w:tcPr>
            <w:tcW w:w="472" w:type="pct"/>
            <w:tcBorders>
              <w:top w:val="nil"/>
              <w:left w:val="nil"/>
              <w:bottom w:val="single" w:sz="4" w:space="0" w:color="auto"/>
              <w:right w:val="single" w:sz="4" w:space="0" w:color="auto"/>
            </w:tcBorders>
            <w:shd w:val="clear" w:color="auto" w:fill="auto"/>
            <w:noWrap/>
            <w:vAlign w:val="bottom"/>
            <w:hideMark/>
          </w:tcPr>
          <w:p w14:paraId="5DAE5927"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8.3</w:t>
            </w:r>
          </w:p>
        </w:tc>
        <w:tc>
          <w:tcPr>
            <w:tcW w:w="472" w:type="pct"/>
            <w:tcBorders>
              <w:top w:val="nil"/>
              <w:left w:val="nil"/>
              <w:bottom w:val="single" w:sz="4" w:space="0" w:color="auto"/>
              <w:right w:val="single" w:sz="4" w:space="0" w:color="auto"/>
            </w:tcBorders>
            <w:shd w:val="clear" w:color="auto" w:fill="auto"/>
            <w:noWrap/>
            <w:vAlign w:val="bottom"/>
            <w:hideMark/>
          </w:tcPr>
          <w:p w14:paraId="049F20DC"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8.3</w:t>
            </w:r>
          </w:p>
        </w:tc>
        <w:tc>
          <w:tcPr>
            <w:tcW w:w="472" w:type="pct"/>
            <w:tcBorders>
              <w:top w:val="nil"/>
              <w:left w:val="nil"/>
              <w:bottom w:val="single" w:sz="4" w:space="0" w:color="auto"/>
              <w:right w:val="single" w:sz="4" w:space="0" w:color="auto"/>
            </w:tcBorders>
            <w:shd w:val="clear" w:color="auto" w:fill="auto"/>
            <w:noWrap/>
            <w:vAlign w:val="bottom"/>
            <w:hideMark/>
          </w:tcPr>
          <w:p w14:paraId="67BC5CC7"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8.3</w:t>
            </w:r>
          </w:p>
        </w:tc>
        <w:tc>
          <w:tcPr>
            <w:tcW w:w="472" w:type="pct"/>
            <w:tcBorders>
              <w:top w:val="nil"/>
              <w:left w:val="nil"/>
              <w:bottom w:val="single" w:sz="4" w:space="0" w:color="auto"/>
              <w:right w:val="single" w:sz="4" w:space="0" w:color="auto"/>
            </w:tcBorders>
            <w:shd w:val="clear" w:color="auto" w:fill="auto"/>
            <w:noWrap/>
            <w:vAlign w:val="bottom"/>
            <w:hideMark/>
          </w:tcPr>
          <w:p w14:paraId="40403BB9"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8.3</w:t>
            </w:r>
          </w:p>
        </w:tc>
        <w:tc>
          <w:tcPr>
            <w:tcW w:w="470" w:type="pct"/>
            <w:tcBorders>
              <w:top w:val="nil"/>
              <w:left w:val="nil"/>
              <w:bottom w:val="single" w:sz="4" w:space="0" w:color="auto"/>
              <w:right w:val="single" w:sz="4" w:space="0" w:color="auto"/>
            </w:tcBorders>
            <w:shd w:val="clear" w:color="auto" w:fill="auto"/>
            <w:noWrap/>
            <w:vAlign w:val="bottom"/>
            <w:hideMark/>
          </w:tcPr>
          <w:p w14:paraId="7B400497"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8.3</w:t>
            </w:r>
          </w:p>
        </w:tc>
      </w:tr>
      <w:tr w:rsidR="00245464" w:rsidRPr="00350268" w14:paraId="2559EF7E" w14:textId="77777777" w:rsidTr="00A91A48">
        <w:trPr>
          <w:trHeight w:val="300"/>
        </w:trPr>
        <w:tc>
          <w:tcPr>
            <w:tcW w:w="991" w:type="pct"/>
            <w:tcBorders>
              <w:top w:val="nil"/>
              <w:left w:val="single" w:sz="4" w:space="0" w:color="auto"/>
              <w:bottom w:val="single" w:sz="4" w:space="0" w:color="auto"/>
              <w:right w:val="single" w:sz="4" w:space="0" w:color="auto"/>
            </w:tcBorders>
            <w:shd w:val="clear" w:color="000000" w:fill="DDEBF7"/>
            <w:noWrap/>
            <w:vAlign w:val="bottom"/>
            <w:hideMark/>
          </w:tcPr>
          <w:p w14:paraId="44E71494" w14:textId="77777777" w:rsidR="00245464" w:rsidRPr="00350268" w:rsidRDefault="00245464" w:rsidP="005E626A">
            <w:pPr>
              <w:spacing w:after="120" w:line="240" w:lineRule="auto"/>
              <w:rPr>
                <w:rFonts w:ascii="Times New Roman" w:eastAsia="Times New Roman" w:hAnsi="Times New Roman" w:cs="Times New Roman"/>
                <w:color w:val="000000" w:themeColor="text1"/>
                <w:sz w:val="20"/>
                <w:szCs w:val="20"/>
              </w:rPr>
            </w:pPr>
            <w:r w:rsidRPr="00350268">
              <w:rPr>
                <w:rFonts w:ascii="Times New Roman" w:eastAsia="Times New Roman" w:hAnsi="Times New Roman" w:cs="Times New Roman"/>
                <w:color w:val="000000" w:themeColor="text1"/>
                <w:sz w:val="20"/>
                <w:szCs w:val="20"/>
              </w:rPr>
              <w:t>Total</w:t>
            </w:r>
          </w:p>
        </w:tc>
        <w:tc>
          <w:tcPr>
            <w:tcW w:w="330" w:type="pct"/>
            <w:tcBorders>
              <w:top w:val="nil"/>
              <w:left w:val="single" w:sz="4" w:space="0" w:color="auto"/>
              <w:bottom w:val="single" w:sz="4" w:space="0" w:color="auto"/>
              <w:right w:val="single" w:sz="4" w:space="0" w:color="auto"/>
            </w:tcBorders>
            <w:shd w:val="clear" w:color="000000" w:fill="DDEBF7"/>
            <w:noWrap/>
            <w:vAlign w:val="bottom"/>
            <w:hideMark/>
          </w:tcPr>
          <w:p w14:paraId="700D4CBA"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0.0</w:t>
            </w:r>
          </w:p>
        </w:tc>
        <w:tc>
          <w:tcPr>
            <w:tcW w:w="424" w:type="pct"/>
            <w:tcBorders>
              <w:top w:val="nil"/>
              <w:left w:val="nil"/>
              <w:bottom w:val="single" w:sz="4" w:space="0" w:color="auto"/>
              <w:right w:val="single" w:sz="4" w:space="0" w:color="auto"/>
            </w:tcBorders>
            <w:shd w:val="clear" w:color="000000" w:fill="DDEBF7"/>
            <w:noWrap/>
            <w:vAlign w:val="bottom"/>
            <w:hideMark/>
          </w:tcPr>
          <w:p w14:paraId="4945690A"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1417.2</w:t>
            </w:r>
          </w:p>
        </w:tc>
        <w:tc>
          <w:tcPr>
            <w:tcW w:w="425" w:type="pct"/>
            <w:tcBorders>
              <w:top w:val="nil"/>
              <w:left w:val="nil"/>
              <w:bottom w:val="single" w:sz="4" w:space="0" w:color="auto"/>
              <w:right w:val="single" w:sz="4" w:space="0" w:color="auto"/>
            </w:tcBorders>
            <w:shd w:val="clear" w:color="000000" w:fill="DDEBF7"/>
            <w:noWrap/>
            <w:vAlign w:val="bottom"/>
            <w:hideMark/>
          </w:tcPr>
          <w:p w14:paraId="06DB8D03"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3062.9</w:t>
            </w:r>
          </w:p>
        </w:tc>
        <w:tc>
          <w:tcPr>
            <w:tcW w:w="471" w:type="pct"/>
            <w:tcBorders>
              <w:top w:val="nil"/>
              <w:left w:val="nil"/>
              <w:bottom w:val="single" w:sz="4" w:space="0" w:color="auto"/>
              <w:right w:val="single" w:sz="4" w:space="0" w:color="auto"/>
            </w:tcBorders>
            <w:shd w:val="clear" w:color="000000" w:fill="DDEBF7"/>
            <w:noWrap/>
            <w:vAlign w:val="bottom"/>
            <w:hideMark/>
          </w:tcPr>
          <w:p w14:paraId="2FBD608A"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14020.4</w:t>
            </w:r>
          </w:p>
        </w:tc>
        <w:tc>
          <w:tcPr>
            <w:tcW w:w="472" w:type="pct"/>
            <w:tcBorders>
              <w:top w:val="nil"/>
              <w:left w:val="nil"/>
              <w:bottom w:val="single" w:sz="4" w:space="0" w:color="auto"/>
              <w:right w:val="single" w:sz="4" w:space="0" w:color="auto"/>
            </w:tcBorders>
            <w:shd w:val="clear" w:color="000000" w:fill="DDEBF7"/>
            <w:noWrap/>
            <w:vAlign w:val="bottom"/>
            <w:hideMark/>
          </w:tcPr>
          <w:p w14:paraId="0F2D6DAB"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32124.1</w:t>
            </w:r>
          </w:p>
        </w:tc>
        <w:tc>
          <w:tcPr>
            <w:tcW w:w="472" w:type="pct"/>
            <w:tcBorders>
              <w:top w:val="nil"/>
              <w:left w:val="nil"/>
              <w:bottom w:val="single" w:sz="4" w:space="0" w:color="auto"/>
              <w:right w:val="single" w:sz="4" w:space="0" w:color="auto"/>
            </w:tcBorders>
            <w:shd w:val="clear" w:color="000000" w:fill="DDEBF7"/>
            <w:noWrap/>
            <w:vAlign w:val="bottom"/>
            <w:hideMark/>
          </w:tcPr>
          <w:p w14:paraId="5CD5034C"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42094.4</w:t>
            </w:r>
          </w:p>
        </w:tc>
        <w:tc>
          <w:tcPr>
            <w:tcW w:w="472" w:type="pct"/>
            <w:tcBorders>
              <w:top w:val="nil"/>
              <w:left w:val="nil"/>
              <w:bottom w:val="single" w:sz="4" w:space="0" w:color="auto"/>
              <w:right w:val="single" w:sz="4" w:space="0" w:color="auto"/>
            </w:tcBorders>
            <w:shd w:val="clear" w:color="000000" w:fill="DDEBF7"/>
            <w:noWrap/>
            <w:vAlign w:val="bottom"/>
            <w:hideMark/>
          </w:tcPr>
          <w:p w14:paraId="72EC7411"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45734.1</w:t>
            </w:r>
          </w:p>
        </w:tc>
        <w:tc>
          <w:tcPr>
            <w:tcW w:w="472" w:type="pct"/>
            <w:tcBorders>
              <w:top w:val="nil"/>
              <w:left w:val="nil"/>
              <w:bottom w:val="single" w:sz="4" w:space="0" w:color="auto"/>
              <w:right w:val="single" w:sz="4" w:space="0" w:color="auto"/>
            </w:tcBorders>
            <w:shd w:val="clear" w:color="000000" w:fill="DDEBF7"/>
            <w:noWrap/>
            <w:vAlign w:val="bottom"/>
            <w:hideMark/>
          </w:tcPr>
          <w:p w14:paraId="742D9ADF"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46873.3</w:t>
            </w:r>
          </w:p>
        </w:tc>
        <w:tc>
          <w:tcPr>
            <w:tcW w:w="470" w:type="pct"/>
            <w:tcBorders>
              <w:top w:val="nil"/>
              <w:left w:val="nil"/>
              <w:bottom w:val="single" w:sz="4" w:space="0" w:color="auto"/>
              <w:right w:val="single" w:sz="4" w:space="0" w:color="auto"/>
            </w:tcBorders>
            <w:shd w:val="clear" w:color="000000" w:fill="DDEBF7"/>
            <w:noWrap/>
            <w:vAlign w:val="bottom"/>
            <w:hideMark/>
          </w:tcPr>
          <w:p w14:paraId="149B5008" w14:textId="77777777" w:rsidR="00245464" w:rsidRPr="00350268" w:rsidRDefault="00245464" w:rsidP="005E626A">
            <w:pPr>
              <w:spacing w:after="120" w:line="240" w:lineRule="auto"/>
              <w:jc w:val="right"/>
              <w:rPr>
                <w:rFonts w:ascii="Times New Roman" w:eastAsia="Times New Roman" w:hAnsi="Times New Roman" w:cs="Times New Roman"/>
                <w:color w:val="000000" w:themeColor="text1"/>
                <w:sz w:val="20"/>
                <w:szCs w:val="20"/>
              </w:rPr>
            </w:pPr>
            <w:r w:rsidRPr="00350268">
              <w:rPr>
                <w:rFonts w:ascii="Times New Roman" w:eastAsia="Calibri" w:hAnsi="Times New Roman" w:cs="Times New Roman"/>
                <w:color w:val="000000" w:themeColor="text1"/>
                <w:sz w:val="20"/>
                <w:szCs w:val="20"/>
              </w:rPr>
              <w:t>48012.6</w:t>
            </w:r>
          </w:p>
        </w:tc>
      </w:tr>
    </w:tbl>
    <w:p w14:paraId="06456B2D" w14:textId="77777777" w:rsidR="00245464" w:rsidRPr="00191ACB" w:rsidRDefault="00245464" w:rsidP="005E626A">
      <w:pPr>
        <w:spacing w:after="120" w:line="240" w:lineRule="auto"/>
        <w:jc w:val="both"/>
        <w:rPr>
          <w:rFonts w:ascii="Times New Roman" w:eastAsia="Calibri" w:hAnsi="Times New Roman" w:cs="Times New Roman"/>
          <w:color w:val="000000" w:themeColor="text1"/>
          <w:sz w:val="24"/>
          <w:szCs w:val="24"/>
        </w:rPr>
      </w:pPr>
    </w:p>
    <w:p w14:paraId="302D4BE1" w14:textId="1643EBD4" w:rsidR="00245464" w:rsidRPr="00191ACB"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Across the projected period (2010-2050), hydro electricity generation is projected to contribute to more emission reduction in the energy sector. The contribution from hydro was marginal in 2015, but is projected to increase substantially after 2030 when it is envisaged most planned hydro power stations will be completed. Electrification of rural and peri-urban areas will increasingly become more prominent in emissions reduction through switching from use of firewood and charcoal to electricity in electrified houses,</w:t>
      </w:r>
      <w:r w:rsidR="000B3778" w:rsidRPr="00191ACB">
        <w:rPr>
          <w:rFonts w:ascii="Times New Roman" w:eastAsia="Calibri" w:hAnsi="Times New Roman" w:cs="Times New Roman"/>
          <w:color w:val="000000" w:themeColor="text1"/>
          <w:sz w:val="24"/>
          <w:szCs w:val="24"/>
        </w:rPr>
        <w:t xml:space="preserve"> especially after 2025 (Figure</w:t>
      </w:r>
      <w:r w:rsidR="00D7105F" w:rsidRPr="00191ACB">
        <w:rPr>
          <w:rFonts w:ascii="Times New Roman" w:eastAsia="Calibri" w:hAnsi="Times New Roman" w:cs="Times New Roman"/>
          <w:color w:val="000000" w:themeColor="text1"/>
          <w:sz w:val="24"/>
          <w:szCs w:val="24"/>
        </w:rPr>
        <w:t xml:space="preserve"> 4.5</w:t>
      </w:r>
      <w:r w:rsidRPr="00191ACB">
        <w:rPr>
          <w:rFonts w:ascii="Times New Roman" w:eastAsia="Calibri" w:hAnsi="Times New Roman" w:cs="Times New Roman"/>
          <w:color w:val="000000" w:themeColor="text1"/>
          <w:sz w:val="24"/>
          <w:szCs w:val="24"/>
        </w:rPr>
        <w:t>). The mitigation analysis for electrification took into consideration the fact that switch from charcoal or firewood to electric stove is not 100</w:t>
      </w:r>
      <w:r w:rsidR="00935DBE"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after a household is electrified. Households still continue to use charcoal event after being electrified but the quantities reduce considerably. Solar home systems will also continue to play a Signiant role in emissions reduction through switch from kerosene, diesel and candle use to solar lighting, across the projected period.</w:t>
      </w:r>
    </w:p>
    <w:p w14:paraId="1C5A7CC3" w14:textId="77777777" w:rsidR="00245464" w:rsidRPr="00191ACB" w:rsidRDefault="00245464" w:rsidP="005B2733">
      <w:pPr>
        <w:spacing w:after="12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noProof/>
          <w:color w:val="000000" w:themeColor="text1"/>
          <w:sz w:val="24"/>
          <w:szCs w:val="24"/>
          <w:lang w:val="en-GB" w:eastAsia="en-GB"/>
        </w:rPr>
        <w:drawing>
          <wp:inline distT="0" distB="0" distL="0" distR="0" wp14:anchorId="516AE458" wp14:editId="0CC6E501">
            <wp:extent cx="5162550" cy="241935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5670FA56" w14:textId="420A0AEA" w:rsidR="00245464" w:rsidRPr="00191ACB" w:rsidRDefault="00C319A4" w:rsidP="00C319A4">
      <w:pPr>
        <w:pStyle w:val="Caption"/>
        <w:rPr>
          <w:rFonts w:eastAsia="Calibri"/>
          <w:color w:val="000000" w:themeColor="text1"/>
          <w:sz w:val="24"/>
          <w:szCs w:val="24"/>
        </w:rPr>
      </w:pPr>
      <w:bookmarkStart w:id="371" w:name="_Toc56583891"/>
      <w:r w:rsidRPr="00191ACB">
        <w:rPr>
          <w:sz w:val="24"/>
          <w:szCs w:val="24"/>
        </w:rPr>
        <w:t xml:space="preserve">Figure </w:t>
      </w:r>
      <w:r w:rsidR="009D481C">
        <w:rPr>
          <w:sz w:val="24"/>
          <w:szCs w:val="24"/>
        </w:rPr>
        <w:fldChar w:fldCharType="begin"/>
      </w:r>
      <w:r w:rsidR="009D481C">
        <w:rPr>
          <w:sz w:val="24"/>
          <w:szCs w:val="24"/>
        </w:rPr>
        <w:instrText xml:space="preserve"> STYLEREF 1 \s </w:instrText>
      </w:r>
      <w:r w:rsidR="009D481C">
        <w:rPr>
          <w:sz w:val="24"/>
          <w:szCs w:val="24"/>
        </w:rPr>
        <w:fldChar w:fldCharType="separate"/>
      </w:r>
      <w:r w:rsidR="009D481C">
        <w:rPr>
          <w:noProof/>
          <w:sz w:val="24"/>
          <w:szCs w:val="24"/>
        </w:rPr>
        <w:t>4</w:t>
      </w:r>
      <w:r w:rsidR="009D481C">
        <w:rPr>
          <w:sz w:val="24"/>
          <w:szCs w:val="24"/>
        </w:rPr>
        <w:fldChar w:fldCharType="end"/>
      </w:r>
      <w:r w:rsidR="009D481C">
        <w:rPr>
          <w:sz w:val="24"/>
          <w:szCs w:val="24"/>
        </w:rPr>
        <w:t>.</w:t>
      </w:r>
      <w:r w:rsidR="009D481C">
        <w:rPr>
          <w:sz w:val="24"/>
          <w:szCs w:val="24"/>
        </w:rPr>
        <w:fldChar w:fldCharType="begin"/>
      </w:r>
      <w:r w:rsidR="009D481C">
        <w:rPr>
          <w:sz w:val="24"/>
          <w:szCs w:val="24"/>
        </w:rPr>
        <w:instrText xml:space="preserve"> SEQ Figure \* ARABIC \s 1 </w:instrText>
      </w:r>
      <w:r w:rsidR="009D481C">
        <w:rPr>
          <w:sz w:val="24"/>
          <w:szCs w:val="24"/>
        </w:rPr>
        <w:fldChar w:fldCharType="separate"/>
      </w:r>
      <w:r w:rsidR="009D481C">
        <w:rPr>
          <w:noProof/>
          <w:sz w:val="24"/>
          <w:szCs w:val="24"/>
        </w:rPr>
        <w:t>5</w:t>
      </w:r>
      <w:r w:rsidR="009D481C">
        <w:rPr>
          <w:sz w:val="24"/>
          <w:szCs w:val="24"/>
        </w:rPr>
        <w:fldChar w:fldCharType="end"/>
      </w:r>
      <w:r w:rsidRPr="00191ACB">
        <w:rPr>
          <w:sz w:val="24"/>
          <w:szCs w:val="24"/>
        </w:rPr>
        <w:t>: Contribution to emissions reduction by each mitigation action</w:t>
      </w:r>
      <w:bookmarkEnd w:id="371"/>
    </w:p>
    <w:p w14:paraId="4740A99B" w14:textId="77777777" w:rsidR="00245464" w:rsidRPr="00191ACB" w:rsidRDefault="00245464" w:rsidP="005E626A">
      <w:pPr>
        <w:spacing w:after="120" w:line="240" w:lineRule="auto"/>
        <w:rPr>
          <w:rFonts w:ascii="Times New Roman" w:eastAsia="Calibri" w:hAnsi="Times New Roman" w:cs="Times New Roman"/>
          <w:color w:val="000000" w:themeColor="text1"/>
          <w:sz w:val="24"/>
          <w:szCs w:val="24"/>
        </w:rPr>
      </w:pPr>
    </w:p>
    <w:p w14:paraId="16B77C86" w14:textId="4DAEF447" w:rsidR="00245464" w:rsidRPr="00191ACB" w:rsidRDefault="00F27434" w:rsidP="005D53F6">
      <w:pPr>
        <w:pStyle w:val="Heading4"/>
        <w:numPr>
          <w:ilvl w:val="3"/>
          <w:numId w:val="36"/>
        </w:numPr>
        <w:ind w:left="851" w:hanging="851"/>
      </w:pPr>
      <w:bookmarkStart w:id="372" w:name="_Toc13582228"/>
      <w:bookmarkStart w:id="373" w:name="_Toc26264935"/>
      <w:r w:rsidRPr="00191ACB">
        <w:lastRenderedPageBreak/>
        <w:t>E</w:t>
      </w:r>
      <w:r w:rsidR="00245464" w:rsidRPr="00191ACB">
        <w:t xml:space="preserve">missions </w:t>
      </w:r>
      <w:r w:rsidR="001B2AEB" w:rsidRPr="00191ACB">
        <w:t>Reductions Under Electrification</w:t>
      </w:r>
      <w:bookmarkEnd w:id="372"/>
      <w:bookmarkEnd w:id="373"/>
    </w:p>
    <w:p w14:paraId="1830D2A9" w14:textId="2D73CBAD" w:rsidR="00245464" w:rsidRPr="002A4DFC" w:rsidRDefault="00245464" w:rsidP="002A4DFC">
      <w:pPr>
        <w:spacing w:after="120" w:line="276" w:lineRule="auto"/>
        <w:jc w:val="both"/>
        <w:rPr>
          <w:rFonts w:ascii="Times New Roman" w:eastAsia="Calibri" w:hAnsi="Times New Roman" w:cs="Times New Roman"/>
          <w:color w:val="000000" w:themeColor="text1"/>
          <w:sz w:val="24"/>
          <w:szCs w:val="24"/>
        </w:rPr>
      </w:pPr>
      <w:r w:rsidRPr="002A4DFC">
        <w:rPr>
          <w:rFonts w:ascii="Times New Roman" w:eastAsia="Calibri" w:hAnsi="Times New Roman" w:cs="Times New Roman"/>
          <w:color w:val="000000" w:themeColor="text1"/>
          <w:sz w:val="24"/>
          <w:szCs w:val="24"/>
        </w:rPr>
        <w:t>The Rural Electrification Authority (REA) is a statutory body created by an Act of Parliament (Act No. 20 of 2003) with a core mandate of providing electricity infrastructure to all rural areas using appropriate technologies in order to increase access, productivity and contribute to improved quality of life.</w:t>
      </w:r>
      <w:r w:rsidR="00F2236B" w:rsidRPr="002A4DFC">
        <w:rPr>
          <w:rFonts w:ascii="Times New Roman" w:eastAsia="Calibri" w:hAnsi="Times New Roman" w:cs="Times New Roman"/>
          <w:color w:val="000000" w:themeColor="text1"/>
          <w:sz w:val="24"/>
          <w:szCs w:val="24"/>
        </w:rPr>
        <w:t xml:space="preserve"> REA is implementing the Electricity Service Access Project (ESAP) towards scaling up the Rural Electrification Programme, with support from the World Bank. </w:t>
      </w:r>
      <w:r w:rsidRPr="002A4DFC">
        <w:rPr>
          <w:rFonts w:ascii="Times New Roman" w:eastAsia="Calibri" w:hAnsi="Times New Roman" w:cs="Times New Roman"/>
          <w:color w:val="000000" w:themeColor="text1"/>
          <w:sz w:val="24"/>
          <w:szCs w:val="24"/>
        </w:rPr>
        <w:t xml:space="preserve"> </w:t>
      </w:r>
    </w:p>
    <w:p w14:paraId="240E56CB" w14:textId="55CD449E" w:rsidR="00245464" w:rsidRPr="002A4DFC" w:rsidRDefault="00245464" w:rsidP="002A4DFC">
      <w:pPr>
        <w:spacing w:after="120" w:line="276" w:lineRule="auto"/>
        <w:jc w:val="both"/>
        <w:rPr>
          <w:rFonts w:ascii="Times New Roman" w:eastAsia="Calibri" w:hAnsi="Times New Roman" w:cs="Times New Roman"/>
          <w:color w:val="000000" w:themeColor="text1"/>
          <w:sz w:val="24"/>
          <w:szCs w:val="24"/>
        </w:rPr>
      </w:pPr>
      <w:r w:rsidRPr="002A4DFC">
        <w:rPr>
          <w:rFonts w:ascii="Times New Roman" w:eastAsia="Calibri" w:hAnsi="Times New Roman" w:cs="Times New Roman"/>
          <w:color w:val="000000" w:themeColor="text1"/>
          <w:sz w:val="24"/>
          <w:szCs w:val="24"/>
        </w:rPr>
        <w:t>The project will provide</w:t>
      </w:r>
      <w:r w:rsidR="00F2236B" w:rsidRPr="002A4DFC">
        <w:rPr>
          <w:rFonts w:ascii="Times New Roman" w:eastAsia="Calibri" w:hAnsi="Times New Roman" w:cs="Times New Roman"/>
          <w:color w:val="000000" w:themeColor="text1"/>
          <w:sz w:val="24"/>
          <w:szCs w:val="24"/>
        </w:rPr>
        <w:t xml:space="preserve"> connectivity </w:t>
      </w:r>
      <w:r w:rsidRPr="002A4DFC">
        <w:rPr>
          <w:rFonts w:ascii="Times New Roman" w:eastAsia="Calibri" w:hAnsi="Times New Roman" w:cs="Times New Roman"/>
          <w:color w:val="000000" w:themeColor="text1"/>
          <w:sz w:val="24"/>
          <w:szCs w:val="24"/>
        </w:rPr>
        <w:t xml:space="preserve">to the national grid to about 22,000 low-income households and about 1,000 medium and Small-Scale Enterprises (MSEs) in rural areas. This will generally translate into over an estimated 115,000 beneficiaries. The project, which is being implemented between 2017 and 2022, will benefit households, businesses, communities, public facilities, and farmers across the 10 provinces located in rural areas of Zambia. The beneficiaries (households and SMEs) will be connected to electricity through the main grid at a subsidized rate. And those in more dispersed areas under the project, will benefit from independent solar systems or separate mini-grids. </w:t>
      </w:r>
    </w:p>
    <w:p w14:paraId="55246277" w14:textId="61A17D1D" w:rsidR="00245464" w:rsidRPr="002A4DFC" w:rsidRDefault="00245464" w:rsidP="002A4DFC">
      <w:pPr>
        <w:spacing w:after="120" w:line="276" w:lineRule="auto"/>
        <w:jc w:val="both"/>
        <w:rPr>
          <w:rFonts w:ascii="Times New Roman" w:eastAsia="Calibri" w:hAnsi="Times New Roman" w:cs="Times New Roman"/>
          <w:color w:val="000000" w:themeColor="text1"/>
          <w:sz w:val="24"/>
          <w:szCs w:val="24"/>
        </w:rPr>
      </w:pPr>
      <w:r w:rsidRPr="002A4DFC">
        <w:rPr>
          <w:rFonts w:ascii="Times New Roman" w:eastAsia="Calibri" w:hAnsi="Times New Roman" w:cs="Times New Roman"/>
          <w:color w:val="000000" w:themeColor="text1"/>
          <w:sz w:val="24"/>
          <w:szCs w:val="24"/>
        </w:rPr>
        <w:t>Further</w:t>
      </w:r>
      <w:r w:rsidR="00F2236B" w:rsidRPr="002A4DFC">
        <w:rPr>
          <w:rFonts w:ascii="Times New Roman" w:eastAsia="Calibri" w:hAnsi="Times New Roman" w:cs="Times New Roman"/>
          <w:color w:val="000000" w:themeColor="text1"/>
          <w:sz w:val="24"/>
          <w:szCs w:val="24"/>
        </w:rPr>
        <w:t>,</w:t>
      </w:r>
      <w:r w:rsidRPr="002A4DFC">
        <w:rPr>
          <w:rFonts w:ascii="Times New Roman" w:eastAsia="Calibri" w:hAnsi="Times New Roman" w:cs="Times New Roman"/>
          <w:color w:val="000000" w:themeColor="text1"/>
          <w:sz w:val="24"/>
          <w:szCs w:val="24"/>
        </w:rPr>
        <w:t xml:space="preserve"> G</w:t>
      </w:r>
      <w:r w:rsidR="00F2236B" w:rsidRPr="002A4DFC">
        <w:rPr>
          <w:rFonts w:ascii="Times New Roman" w:eastAsia="Calibri" w:hAnsi="Times New Roman" w:cs="Times New Roman"/>
          <w:color w:val="000000" w:themeColor="text1"/>
          <w:sz w:val="24"/>
          <w:szCs w:val="24"/>
        </w:rPr>
        <w:t xml:space="preserve">overnment with support from </w:t>
      </w:r>
      <w:r w:rsidRPr="002A4DFC">
        <w:rPr>
          <w:rFonts w:ascii="Times New Roman" w:eastAsia="Calibri" w:hAnsi="Times New Roman" w:cs="Times New Roman"/>
          <w:color w:val="000000" w:themeColor="text1"/>
          <w:sz w:val="24"/>
          <w:szCs w:val="24"/>
        </w:rPr>
        <w:t xml:space="preserve">the European Union </w:t>
      </w:r>
      <w:bookmarkStart w:id="374" w:name="_Hlk507660976"/>
      <w:r w:rsidR="00F2236B" w:rsidRPr="002A4DFC">
        <w:rPr>
          <w:rFonts w:ascii="Times New Roman" w:eastAsia="Calibri" w:hAnsi="Times New Roman" w:cs="Times New Roman"/>
          <w:color w:val="000000" w:themeColor="text1"/>
          <w:sz w:val="24"/>
          <w:szCs w:val="24"/>
        </w:rPr>
        <w:t xml:space="preserve">is implementing the </w:t>
      </w:r>
      <w:r w:rsidRPr="002A4DFC">
        <w:rPr>
          <w:rFonts w:ascii="Times New Roman" w:eastAsia="Calibri" w:hAnsi="Times New Roman" w:cs="Times New Roman"/>
          <w:color w:val="000000" w:themeColor="text1"/>
          <w:sz w:val="24"/>
          <w:szCs w:val="24"/>
        </w:rPr>
        <w:t>Increased Access to Electricity and Renewable Energy Production</w:t>
      </w:r>
      <w:bookmarkEnd w:id="374"/>
      <w:r w:rsidR="00F2236B" w:rsidRPr="002A4DFC">
        <w:rPr>
          <w:rFonts w:ascii="Times New Roman" w:eastAsia="Calibri" w:hAnsi="Times New Roman" w:cs="Times New Roman"/>
          <w:color w:val="000000" w:themeColor="text1"/>
          <w:sz w:val="24"/>
          <w:szCs w:val="24"/>
        </w:rPr>
        <w:t xml:space="preserve"> Project</w:t>
      </w:r>
      <w:r w:rsidRPr="002A4DFC">
        <w:rPr>
          <w:rFonts w:ascii="Times New Roman" w:eastAsia="Calibri" w:hAnsi="Times New Roman" w:cs="Times New Roman"/>
          <w:color w:val="000000" w:themeColor="text1"/>
          <w:sz w:val="24"/>
          <w:szCs w:val="24"/>
        </w:rPr>
        <w:t xml:space="preserve">.  The overall objective of the project is to increase access to clean, reliable and affordable energy and promote renewable energy production and energy efficiency in Zambia. The project will be implemented over a period of 5 years from 2017 to 2022 and will comprise of two (2) components </w:t>
      </w:r>
      <w:r w:rsidR="00F2236B" w:rsidRPr="002A4DFC">
        <w:rPr>
          <w:rFonts w:ascii="Times New Roman" w:eastAsia="Calibri" w:hAnsi="Times New Roman" w:cs="Times New Roman"/>
          <w:color w:val="000000" w:themeColor="text1"/>
          <w:sz w:val="24"/>
          <w:szCs w:val="24"/>
        </w:rPr>
        <w:t>namely</w:t>
      </w:r>
      <w:r w:rsidRPr="002A4DFC">
        <w:rPr>
          <w:rFonts w:ascii="Times New Roman" w:eastAsia="Calibri" w:hAnsi="Times New Roman" w:cs="Times New Roman"/>
          <w:color w:val="000000" w:themeColor="text1"/>
          <w:sz w:val="24"/>
          <w:szCs w:val="24"/>
        </w:rPr>
        <w:t>;</w:t>
      </w:r>
      <w:r w:rsidR="002A4DFC">
        <w:rPr>
          <w:rFonts w:ascii="Times New Roman" w:eastAsia="Calibri" w:hAnsi="Times New Roman" w:cs="Times New Roman"/>
          <w:color w:val="000000" w:themeColor="text1"/>
          <w:sz w:val="24"/>
          <w:szCs w:val="24"/>
        </w:rPr>
        <w:t xml:space="preserve"> </w:t>
      </w:r>
    </w:p>
    <w:p w14:paraId="6FE25C53" w14:textId="14FE2219" w:rsidR="00245464" w:rsidRPr="00191ACB" w:rsidRDefault="00245464" w:rsidP="002A4DFC">
      <w:pPr>
        <w:numPr>
          <w:ilvl w:val="0"/>
          <w:numId w:val="19"/>
        </w:numPr>
        <w:spacing w:after="120" w:line="276" w:lineRule="auto"/>
        <w:contextualSpacing/>
        <w:jc w:val="both"/>
        <w:outlineLvl w:val="4"/>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Enhancement of Policy, Legal and Regulatory Environment and Capacity Building for Renewable Energy and Energy Efficiency</w:t>
      </w:r>
      <w:r w:rsidR="00F2236B" w:rsidRPr="00191ACB">
        <w:rPr>
          <w:rFonts w:ascii="Times New Roman" w:hAnsi="Times New Roman" w:cs="Times New Roman"/>
          <w:color w:val="000000" w:themeColor="text1"/>
          <w:sz w:val="24"/>
          <w:szCs w:val="24"/>
        </w:rPr>
        <w:t>; and</w:t>
      </w:r>
      <w:r w:rsidRPr="00191ACB">
        <w:rPr>
          <w:rFonts w:ascii="Times New Roman" w:hAnsi="Times New Roman" w:cs="Times New Roman"/>
          <w:color w:val="000000" w:themeColor="text1"/>
          <w:sz w:val="24"/>
          <w:szCs w:val="24"/>
        </w:rPr>
        <w:t xml:space="preserve"> </w:t>
      </w:r>
    </w:p>
    <w:p w14:paraId="59FCC7F9" w14:textId="73AFA5E7" w:rsidR="00245464" w:rsidRPr="00191ACB" w:rsidRDefault="00245464" w:rsidP="002A4DFC">
      <w:pPr>
        <w:numPr>
          <w:ilvl w:val="0"/>
          <w:numId w:val="19"/>
        </w:numPr>
        <w:spacing w:after="120" w:line="276" w:lineRule="auto"/>
        <w:contextualSpacing/>
        <w:jc w:val="both"/>
        <w:outlineLvl w:val="4"/>
        <w:rPr>
          <w:rFonts w:ascii="Times New Roman" w:hAnsi="Times New Roman" w:cs="Times New Roman"/>
          <w:color w:val="000000" w:themeColor="text1"/>
          <w:sz w:val="24"/>
          <w:szCs w:val="24"/>
          <w:lang w:val="en-GB"/>
        </w:rPr>
      </w:pPr>
      <w:r w:rsidRPr="00191ACB">
        <w:rPr>
          <w:rFonts w:ascii="Times New Roman" w:hAnsi="Times New Roman" w:cs="Times New Roman"/>
          <w:color w:val="000000" w:themeColor="text1"/>
          <w:sz w:val="24"/>
          <w:szCs w:val="24"/>
        </w:rPr>
        <w:t xml:space="preserve">Capacity Building for Renewable Energy and Energy Efficiency-Feasibility Studies and Demonstration Projects. </w:t>
      </w:r>
    </w:p>
    <w:p w14:paraId="32A1863B" w14:textId="77777777" w:rsidR="005B2733" w:rsidRPr="00191ACB" w:rsidRDefault="005B2733" w:rsidP="005B2733">
      <w:pPr>
        <w:spacing w:after="120" w:line="240" w:lineRule="auto"/>
        <w:ind w:left="720"/>
        <w:contextualSpacing/>
        <w:jc w:val="both"/>
        <w:outlineLvl w:val="4"/>
        <w:rPr>
          <w:rFonts w:ascii="Times New Roman" w:hAnsi="Times New Roman" w:cs="Times New Roman"/>
          <w:color w:val="000000" w:themeColor="text1"/>
          <w:sz w:val="24"/>
          <w:szCs w:val="24"/>
          <w:lang w:val="en-GB"/>
        </w:rPr>
      </w:pPr>
    </w:p>
    <w:p w14:paraId="519083FB" w14:textId="44F4F430" w:rsidR="00245464" w:rsidRPr="00191ACB" w:rsidRDefault="001C3616" w:rsidP="002A4DFC">
      <w:pPr>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w:t>
      </w:r>
      <w:r w:rsidR="00245464" w:rsidRPr="00191ACB">
        <w:rPr>
          <w:rFonts w:ascii="Times New Roman" w:hAnsi="Times New Roman" w:cs="Times New Roman"/>
          <w:color w:val="000000" w:themeColor="text1"/>
          <w:sz w:val="24"/>
          <w:szCs w:val="24"/>
        </w:rPr>
        <w:t xml:space="preserve">lectrification of households will </w:t>
      </w:r>
      <w:r w:rsidRPr="00191ACB">
        <w:rPr>
          <w:rFonts w:ascii="Times New Roman" w:hAnsi="Times New Roman" w:cs="Times New Roman"/>
          <w:color w:val="000000" w:themeColor="text1"/>
          <w:sz w:val="24"/>
          <w:szCs w:val="24"/>
        </w:rPr>
        <w:t>also be</w:t>
      </w:r>
      <w:r w:rsidR="00245464" w:rsidRPr="00191ACB">
        <w:rPr>
          <w:rFonts w:ascii="Times New Roman" w:hAnsi="Times New Roman" w:cs="Times New Roman"/>
          <w:color w:val="000000" w:themeColor="text1"/>
          <w:sz w:val="24"/>
          <w:szCs w:val="24"/>
        </w:rPr>
        <w:t xml:space="preserve"> part of the Rural Electrification Master Plan (REMP) which is the blue print for the Rural Electrification Programme. The overall target for the REMP is to increase the rural electrification access rate from 3</w:t>
      </w:r>
      <w:r w:rsidR="00DB6903" w:rsidRPr="00191ACB">
        <w:rPr>
          <w:rFonts w:ascii="Times New Roman" w:hAnsi="Times New Roman" w:cs="Times New Roman"/>
          <w:color w:val="000000" w:themeColor="text1"/>
          <w:sz w:val="24"/>
          <w:szCs w:val="24"/>
        </w:rPr>
        <w:t xml:space="preserve"> percent</w:t>
      </w:r>
      <w:r w:rsidR="00245464" w:rsidRPr="00191ACB">
        <w:rPr>
          <w:rFonts w:ascii="Times New Roman" w:hAnsi="Times New Roman" w:cs="Times New Roman"/>
          <w:color w:val="000000" w:themeColor="text1"/>
          <w:sz w:val="24"/>
          <w:szCs w:val="24"/>
        </w:rPr>
        <w:t xml:space="preserve"> to 51</w:t>
      </w:r>
      <w:r w:rsidR="00DB6903" w:rsidRPr="00191ACB">
        <w:rPr>
          <w:rFonts w:ascii="Times New Roman" w:hAnsi="Times New Roman" w:cs="Times New Roman"/>
          <w:color w:val="000000" w:themeColor="text1"/>
          <w:sz w:val="24"/>
          <w:szCs w:val="24"/>
        </w:rPr>
        <w:t xml:space="preserve"> percent</w:t>
      </w:r>
      <w:r w:rsidR="00245464" w:rsidRPr="00191ACB">
        <w:rPr>
          <w:rFonts w:ascii="Times New Roman" w:hAnsi="Times New Roman" w:cs="Times New Roman"/>
          <w:color w:val="000000" w:themeColor="text1"/>
          <w:sz w:val="24"/>
          <w:szCs w:val="24"/>
        </w:rPr>
        <w:t xml:space="preserve"> by 2030. </w:t>
      </w:r>
      <w:r w:rsidRPr="00191ACB">
        <w:rPr>
          <w:rFonts w:ascii="Times New Roman" w:hAnsi="Times New Roman" w:cs="Times New Roman"/>
          <w:color w:val="000000" w:themeColor="text1"/>
          <w:sz w:val="24"/>
          <w:szCs w:val="24"/>
        </w:rPr>
        <w:t xml:space="preserve">Additionally, </w:t>
      </w:r>
      <w:r w:rsidR="00245464" w:rsidRPr="00191ACB">
        <w:rPr>
          <w:rFonts w:ascii="Times New Roman" w:hAnsi="Times New Roman" w:cs="Times New Roman"/>
          <w:color w:val="000000" w:themeColor="text1"/>
          <w:sz w:val="24"/>
          <w:szCs w:val="24"/>
        </w:rPr>
        <w:t xml:space="preserve">ZESCO has been undertaking National grid extension projects to northwestern grid extension at 132kv and connection of Luangwa to the grid at 132kv. The aim is to decommission diesel power stations and provide a backbone for increased access to electricity services. ZESCO has already decommissioned all diesel generators except Luangwa and Shangombo. </w:t>
      </w:r>
      <w:r w:rsidRPr="00191ACB">
        <w:rPr>
          <w:rFonts w:ascii="Times New Roman" w:hAnsi="Times New Roman" w:cs="Times New Roman"/>
          <w:color w:val="000000" w:themeColor="text1"/>
          <w:sz w:val="24"/>
          <w:szCs w:val="24"/>
        </w:rPr>
        <w:t>Further, the Ministry of Energy with support from World Bank</w:t>
      </w:r>
      <w:r w:rsidR="00245464" w:rsidRPr="00191ACB">
        <w:rPr>
          <w:rFonts w:ascii="Times New Roman" w:hAnsi="Times New Roman" w:cs="Times New Roman"/>
          <w:color w:val="000000" w:themeColor="text1"/>
          <w:sz w:val="24"/>
          <w:szCs w:val="24"/>
        </w:rPr>
        <w:t xml:space="preserve"> is implement</w:t>
      </w:r>
      <w:r w:rsidRPr="00191ACB">
        <w:rPr>
          <w:rFonts w:ascii="Times New Roman" w:hAnsi="Times New Roman" w:cs="Times New Roman"/>
          <w:color w:val="000000" w:themeColor="text1"/>
          <w:sz w:val="24"/>
          <w:szCs w:val="24"/>
        </w:rPr>
        <w:t>ing</w:t>
      </w:r>
      <w:r w:rsidR="00245464" w:rsidRPr="00191ACB">
        <w:rPr>
          <w:rFonts w:ascii="Times New Roman" w:hAnsi="Times New Roman" w:cs="Times New Roman"/>
          <w:color w:val="000000" w:themeColor="text1"/>
          <w:sz w:val="24"/>
          <w:szCs w:val="24"/>
        </w:rPr>
        <w:t xml:space="preserve"> a 5</w:t>
      </w:r>
      <w:r w:rsidRPr="00191ACB">
        <w:rPr>
          <w:rFonts w:ascii="Times New Roman" w:hAnsi="Times New Roman" w:cs="Times New Roman"/>
          <w:color w:val="000000" w:themeColor="text1"/>
          <w:sz w:val="24"/>
          <w:szCs w:val="24"/>
        </w:rPr>
        <w:t>-</w:t>
      </w:r>
      <w:r w:rsidR="00245464" w:rsidRPr="00191ACB">
        <w:rPr>
          <w:rFonts w:ascii="Times New Roman" w:hAnsi="Times New Roman" w:cs="Times New Roman"/>
          <w:color w:val="000000" w:themeColor="text1"/>
          <w:sz w:val="24"/>
          <w:szCs w:val="24"/>
        </w:rPr>
        <w:t>year National Electrification Project (NEP) which subsidizes low income/SME connections to the grid</w:t>
      </w:r>
      <w:r w:rsidRPr="00191ACB">
        <w:rPr>
          <w:rFonts w:ascii="Times New Roman" w:hAnsi="Times New Roman" w:cs="Times New Roman"/>
          <w:color w:val="000000" w:themeColor="text1"/>
          <w:sz w:val="24"/>
          <w:szCs w:val="24"/>
        </w:rPr>
        <w:t xml:space="preserve"> as a way of</w:t>
      </w:r>
      <w:r w:rsidR="00245464" w:rsidRPr="00191ACB">
        <w:rPr>
          <w:rFonts w:ascii="Times New Roman" w:hAnsi="Times New Roman" w:cs="Times New Roman"/>
          <w:color w:val="000000" w:themeColor="text1"/>
          <w:sz w:val="24"/>
          <w:szCs w:val="24"/>
        </w:rPr>
        <w:t xml:space="preserve"> increas</w:t>
      </w:r>
      <w:r w:rsidRPr="00191ACB">
        <w:rPr>
          <w:rFonts w:ascii="Times New Roman" w:hAnsi="Times New Roman" w:cs="Times New Roman"/>
          <w:color w:val="000000" w:themeColor="text1"/>
          <w:sz w:val="24"/>
          <w:szCs w:val="24"/>
        </w:rPr>
        <w:t>ing</w:t>
      </w:r>
      <w:r w:rsidR="00245464" w:rsidRPr="00191ACB">
        <w:rPr>
          <w:rFonts w:ascii="Times New Roman" w:hAnsi="Times New Roman" w:cs="Times New Roman"/>
          <w:color w:val="000000" w:themeColor="text1"/>
          <w:sz w:val="24"/>
          <w:szCs w:val="24"/>
        </w:rPr>
        <w:t xml:space="preserve"> electricity access in targeted rural areas in Zambia</w:t>
      </w:r>
      <w:r w:rsidRPr="00191ACB">
        <w:rPr>
          <w:rFonts w:ascii="Times New Roman" w:hAnsi="Times New Roman" w:cs="Times New Roman"/>
          <w:color w:val="000000" w:themeColor="text1"/>
          <w:sz w:val="24"/>
          <w:szCs w:val="24"/>
        </w:rPr>
        <w:t>.</w:t>
      </w:r>
    </w:p>
    <w:p w14:paraId="30241CEF" w14:textId="0B8ABEC8" w:rsidR="00245464" w:rsidRPr="00191ACB" w:rsidRDefault="00B2278F" w:rsidP="002A4DFC">
      <w:pPr>
        <w:autoSpaceDE w:val="0"/>
        <w:autoSpaceDN w:val="0"/>
        <w:adjustRightInd w:val="0"/>
        <w:spacing w:after="120" w:line="276" w:lineRule="auto"/>
        <w:jc w:val="both"/>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E</w:t>
      </w:r>
      <w:r w:rsidR="00245464" w:rsidRPr="00191ACB">
        <w:rPr>
          <w:rFonts w:ascii="Times New Roman" w:hAnsi="Times New Roman" w:cs="Times New Roman"/>
          <w:color w:val="000000" w:themeColor="text1"/>
          <w:sz w:val="24"/>
          <w:szCs w:val="24"/>
        </w:rPr>
        <w:t>mission reduction</w:t>
      </w:r>
      <w:r w:rsidR="001C3616" w:rsidRPr="00191ACB">
        <w:rPr>
          <w:rFonts w:ascii="Times New Roman" w:hAnsi="Times New Roman" w:cs="Times New Roman"/>
          <w:color w:val="000000" w:themeColor="text1"/>
          <w:sz w:val="24"/>
          <w:szCs w:val="24"/>
        </w:rPr>
        <w:t>s</w:t>
      </w:r>
      <w:r w:rsidR="00245464" w:rsidRPr="00191ACB">
        <w:rPr>
          <w:rFonts w:ascii="Times New Roman" w:hAnsi="Times New Roman" w:cs="Times New Roman"/>
          <w:color w:val="000000" w:themeColor="text1"/>
          <w:sz w:val="24"/>
          <w:szCs w:val="24"/>
        </w:rPr>
        <w:t xml:space="preserve"> from electrification of households in rural and peri-urban areas are projected to increase from 12.6 Gg CO</w:t>
      </w:r>
      <w:r w:rsidR="00245464" w:rsidRPr="00191ACB">
        <w:rPr>
          <w:rFonts w:ascii="Times New Roman" w:hAnsi="Times New Roman" w:cs="Times New Roman"/>
          <w:color w:val="000000" w:themeColor="text1"/>
          <w:sz w:val="24"/>
          <w:szCs w:val="24"/>
          <w:vertAlign w:val="subscript"/>
        </w:rPr>
        <w:t>2 eq.</w:t>
      </w:r>
      <w:r w:rsidR="00245464" w:rsidRPr="00191ACB">
        <w:rPr>
          <w:rFonts w:ascii="Times New Roman" w:hAnsi="Times New Roman" w:cs="Times New Roman"/>
          <w:color w:val="000000" w:themeColor="text1"/>
          <w:sz w:val="24"/>
          <w:szCs w:val="24"/>
        </w:rPr>
        <w:t xml:space="preserve"> in 2018 to 18,147.8 Gg CO</w:t>
      </w:r>
      <w:r w:rsidR="00245464" w:rsidRPr="00191ACB">
        <w:rPr>
          <w:rFonts w:ascii="Times New Roman" w:hAnsi="Times New Roman" w:cs="Times New Roman"/>
          <w:color w:val="000000" w:themeColor="text1"/>
          <w:sz w:val="24"/>
          <w:szCs w:val="24"/>
          <w:vertAlign w:val="subscript"/>
        </w:rPr>
        <w:t>2 eq.</w:t>
      </w:r>
      <w:r w:rsidR="00245464" w:rsidRPr="00191ACB">
        <w:rPr>
          <w:rFonts w:ascii="Times New Roman" w:hAnsi="Times New Roman" w:cs="Times New Roman"/>
          <w:color w:val="000000" w:themeColor="text1"/>
          <w:sz w:val="24"/>
          <w:szCs w:val="24"/>
        </w:rPr>
        <w:t xml:space="preserve"> in 2050 (Table </w:t>
      </w:r>
      <w:r w:rsidR="00D7105F" w:rsidRPr="00191ACB">
        <w:rPr>
          <w:rFonts w:ascii="Times New Roman" w:hAnsi="Times New Roman" w:cs="Times New Roman"/>
          <w:color w:val="000000" w:themeColor="text1"/>
          <w:sz w:val="24"/>
          <w:szCs w:val="24"/>
        </w:rPr>
        <w:t>4.10</w:t>
      </w:r>
      <w:r w:rsidR="00245464" w:rsidRPr="00191ACB">
        <w:rPr>
          <w:rFonts w:ascii="Times New Roman" w:hAnsi="Times New Roman" w:cs="Times New Roman"/>
          <w:color w:val="000000" w:themeColor="text1"/>
          <w:sz w:val="24"/>
          <w:szCs w:val="24"/>
        </w:rPr>
        <w:t xml:space="preserve">). </w:t>
      </w:r>
    </w:p>
    <w:p w14:paraId="0DB44DD5" w14:textId="7C0EC09B" w:rsidR="00245464" w:rsidRPr="00191ACB" w:rsidRDefault="00245464" w:rsidP="005B2733">
      <w:pPr>
        <w:autoSpaceDE w:val="0"/>
        <w:autoSpaceDN w:val="0"/>
        <w:adjustRightInd w:val="0"/>
        <w:spacing w:after="120" w:line="240" w:lineRule="auto"/>
        <w:jc w:val="both"/>
        <w:rPr>
          <w:rFonts w:ascii="Times New Roman" w:hAnsi="Times New Roman" w:cs="Times New Roman"/>
          <w:color w:val="000000" w:themeColor="text1"/>
          <w:sz w:val="24"/>
          <w:szCs w:val="24"/>
        </w:rPr>
      </w:pPr>
    </w:p>
    <w:p w14:paraId="5CFFE767" w14:textId="3ABF0B9A" w:rsidR="00C319A4" w:rsidRPr="00191ACB" w:rsidRDefault="00C319A4" w:rsidP="00C319A4">
      <w:pPr>
        <w:pStyle w:val="Caption"/>
        <w:rPr>
          <w:rFonts w:eastAsia="Calibri"/>
          <w:color w:val="000000" w:themeColor="text1"/>
          <w:sz w:val="24"/>
          <w:szCs w:val="24"/>
        </w:rPr>
      </w:pPr>
      <w:bookmarkStart w:id="375" w:name="_Toc56583786"/>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10</w:t>
      </w:r>
      <w:r w:rsidR="00875942">
        <w:rPr>
          <w:sz w:val="24"/>
          <w:szCs w:val="24"/>
        </w:rPr>
        <w:fldChar w:fldCharType="end"/>
      </w:r>
      <w:r w:rsidRPr="00191ACB">
        <w:rPr>
          <w:sz w:val="24"/>
          <w:szCs w:val="24"/>
        </w:rPr>
        <w:t>:Electrification emissions</w:t>
      </w:r>
      <w:bookmarkEnd w:id="375"/>
    </w:p>
    <w:tbl>
      <w:tblPr>
        <w:tblW w:w="5000" w:type="pct"/>
        <w:tblLook w:val="04A0" w:firstRow="1" w:lastRow="0" w:firstColumn="1" w:lastColumn="0" w:noHBand="0" w:noVBand="1"/>
      </w:tblPr>
      <w:tblGrid>
        <w:gridCol w:w="1795"/>
        <w:gridCol w:w="696"/>
        <w:gridCol w:w="696"/>
        <w:gridCol w:w="696"/>
        <w:gridCol w:w="876"/>
        <w:gridCol w:w="996"/>
        <w:gridCol w:w="996"/>
        <w:gridCol w:w="996"/>
        <w:gridCol w:w="996"/>
        <w:gridCol w:w="996"/>
      </w:tblGrid>
      <w:tr w:rsidR="00245464" w:rsidRPr="00191ACB" w14:paraId="30D35B67" w14:textId="77777777" w:rsidTr="00A91A48">
        <w:trPr>
          <w:trHeight w:val="300"/>
        </w:trPr>
        <w:tc>
          <w:tcPr>
            <w:tcW w:w="126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A8A11"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28" w:type="pct"/>
            <w:tcBorders>
              <w:top w:val="single" w:sz="4" w:space="0" w:color="auto"/>
              <w:left w:val="nil"/>
              <w:bottom w:val="single" w:sz="4" w:space="0" w:color="auto"/>
              <w:right w:val="single" w:sz="4" w:space="0" w:color="auto"/>
            </w:tcBorders>
            <w:shd w:val="clear" w:color="auto" w:fill="auto"/>
            <w:noWrap/>
            <w:vAlign w:val="bottom"/>
            <w:hideMark/>
          </w:tcPr>
          <w:p w14:paraId="6A2F9606"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328" w:type="pct"/>
            <w:tcBorders>
              <w:top w:val="single" w:sz="4" w:space="0" w:color="auto"/>
              <w:left w:val="nil"/>
              <w:bottom w:val="single" w:sz="4" w:space="0" w:color="auto"/>
              <w:right w:val="single" w:sz="4" w:space="0" w:color="auto"/>
            </w:tcBorders>
            <w:shd w:val="clear" w:color="auto" w:fill="auto"/>
            <w:noWrap/>
            <w:vAlign w:val="bottom"/>
            <w:hideMark/>
          </w:tcPr>
          <w:p w14:paraId="3E9B5AF1"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327" w:type="pct"/>
            <w:tcBorders>
              <w:top w:val="single" w:sz="4" w:space="0" w:color="auto"/>
              <w:left w:val="nil"/>
              <w:bottom w:val="single" w:sz="4" w:space="0" w:color="auto"/>
              <w:right w:val="single" w:sz="4" w:space="0" w:color="auto"/>
            </w:tcBorders>
            <w:shd w:val="clear" w:color="auto" w:fill="auto"/>
            <w:noWrap/>
            <w:vAlign w:val="bottom"/>
            <w:hideMark/>
          </w:tcPr>
          <w:p w14:paraId="68FCA591"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2020</w:t>
            </w:r>
          </w:p>
        </w:tc>
        <w:tc>
          <w:tcPr>
            <w:tcW w:w="422" w:type="pct"/>
            <w:tcBorders>
              <w:top w:val="single" w:sz="4" w:space="0" w:color="auto"/>
              <w:left w:val="nil"/>
              <w:bottom w:val="single" w:sz="4" w:space="0" w:color="auto"/>
              <w:right w:val="single" w:sz="4" w:space="0" w:color="auto"/>
            </w:tcBorders>
            <w:shd w:val="clear" w:color="auto" w:fill="auto"/>
            <w:noWrap/>
            <w:vAlign w:val="bottom"/>
            <w:hideMark/>
          </w:tcPr>
          <w:p w14:paraId="3F689999"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2025</w:t>
            </w:r>
          </w:p>
        </w:tc>
        <w:tc>
          <w:tcPr>
            <w:tcW w:w="469" w:type="pct"/>
            <w:tcBorders>
              <w:top w:val="single" w:sz="4" w:space="0" w:color="auto"/>
              <w:left w:val="nil"/>
              <w:bottom w:val="single" w:sz="4" w:space="0" w:color="auto"/>
              <w:right w:val="single" w:sz="4" w:space="0" w:color="auto"/>
            </w:tcBorders>
            <w:shd w:val="clear" w:color="auto" w:fill="auto"/>
            <w:noWrap/>
            <w:vAlign w:val="bottom"/>
            <w:hideMark/>
          </w:tcPr>
          <w:p w14:paraId="2AD947F8"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2030</w:t>
            </w:r>
          </w:p>
        </w:tc>
        <w:tc>
          <w:tcPr>
            <w:tcW w:w="468" w:type="pct"/>
            <w:tcBorders>
              <w:top w:val="single" w:sz="4" w:space="0" w:color="auto"/>
              <w:left w:val="nil"/>
              <w:bottom w:val="single" w:sz="4" w:space="0" w:color="auto"/>
              <w:right w:val="single" w:sz="4" w:space="0" w:color="auto"/>
            </w:tcBorders>
            <w:shd w:val="clear" w:color="auto" w:fill="auto"/>
            <w:noWrap/>
            <w:vAlign w:val="bottom"/>
            <w:hideMark/>
          </w:tcPr>
          <w:p w14:paraId="6CAAB036"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2035</w:t>
            </w:r>
          </w:p>
        </w:tc>
        <w:tc>
          <w:tcPr>
            <w:tcW w:w="468" w:type="pct"/>
            <w:tcBorders>
              <w:top w:val="single" w:sz="4" w:space="0" w:color="auto"/>
              <w:left w:val="nil"/>
              <w:bottom w:val="single" w:sz="4" w:space="0" w:color="auto"/>
              <w:right w:val="single" w:sz="4" w:space="0" w:color="auto"/>
            </w:tcBorders>
            <w:shd w:val="clear" w:color="auto" w:fill="auto"/>
            <w:noWrap/>
            <w:vAlign w:val="bottom"/>
            <w:hideMark/>
          </w:tcPr>
          <w:p w14:paraId="6B36ED84"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2040</w:t>
            </w:r>
          </w:p>
        </w:tc>
        <w:tc>
          <w:tcPr>
            <w:tcW w:w="468" w:type="pct"/>
            <w:tcBorders>
              <w:top w:val="single" w:sz="4" w:space="0" w:color="auto"/>
              <w:left w:val="nil"/>
              <w:bottom w:val="single" w:sz="4" w:space="0" w:color="auto"/>
              <w:right w:val="single" w:sz="4" w:space="0" w:color="auto"/>
            </w:tcBorders>
            <w:shd w:val="clear" w:color="auto" w:fill="auto"/>
            <w:noWrap/>
            <w:vAlign w:val="bottom"/>
            <w:hideMark/>
          </w:tcPr>
          <w:p w14:paraId="3542E25B"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2045</w:t>
            </w:r>
          </w:p>
        </w:tc>
        <w:tc>
          <w:tcPr>
            <w:tcW w:w="460" w:type="pct"/>
            <w:tcBorders>
              <w:top w:val="single" w:sz="4" w:space="0" w:color="auto"/>
              <w:left w:val="nil"/>
              <w:bottom w:val="single" w:sz="4" w:space="0" w:color="auto"/>
              <w:right w:val="single" w:sz="4" w:space="0" w:color="auto"/>
            </w:tcBorders>
            <w:shd w:val="clear" w:color="auto" w:fill="auto"/>
            <w:noWrap/>
            <w:vAlign w:val="bottom"/>
            <w:hideMark/>
          </w:tcPr>
          <w:p w14:paraId="61F28B35"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2050</w:t>
            </w:r>
          </w:p>
        </w:tc>
      </w:tr>
      <w:tr w:rsidR="00245464" w:rsidRPr="00191ACB" w14:paraId="33909E08" w14:textId="77777777" w:rsidTr="00A91A48">
        <w:trPr>
          <w:trHeight w:val="328"/>
        </w:trPr>
        <w:tc>
          <w:tcPr>
            <w:tcW w:w="126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7664E84"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National Electrification Project (NEP) </w:t>
            </w:r>
          </w:p>
        </w:tc>
        <w:tc>
          <w:tcPr>
            <w:tcW w:w="3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EFE75"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3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D4CCE9"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32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C5CA9C"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29.4</w:t>
            </w:r>
          </w:p>
        </w:tc>
        <w:tc>
          <w:tcPr>
            <w:tcW w:w="42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FA6C7C"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4637.0</w:t>
            </w:r>
          </w:p>
        </w:tc>
        <w:tc>
          <w:tcPr>
            <w:tcW w:w="4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209229"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12288.4</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9402D1"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14730.1</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3CD030"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15869.3</w:t>
            </w:r>
          </w:p>
        </w:tc>
        <w:tc>
          <w:tcPr>
            <w:tcW w:w="46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0B871F"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17008.6</w:t>
            </w:r>
          </w:p>
        </w:tc>
        <w:tc>
          <w:tcPr>
            <w:tcW w:w="46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4B8740"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18147.8</w:t>
            </w:r>
          </w:p>
        </w:tc>
      </w:tr>
    </w:tbl>
    <w:p w14:paraId="4E0B7571" w14:textId="77777777" w:rsidR="00245464" w:rsidRPr="00191ACB" w:rsidRDefault="00245464" w:rsidP="005E626A">
      <w:pPr>
        <w:spacing w:after="120" w:line="240" w:lineRule="auto"/>
        <w:rPr>
          <w:rFonts w:ascii="Times New Roman" w:eastAsia="Calibri" w:hAnsi="Times New Roman" w:cs="Times New Roman"/>
          <w:color w:val="000000" w:themeColor="text1"/>
          <w:sz w:val="24"/>
          <w:szCs w:val="24"/>
        </w:rPr>
      </w:pPr>
    </w:p>
    <w:p w14:paraId="28A55668" w14:textId="08C37BC1" w:rsidR="00245464" w:rsidRPr="002A4DFC" w:rsidRDefault="00245464" w:rsidP="002A4DFC">
      <w:pPr>
        <w:spacing w:after="120" w:line="276" w:lineRule="auto"/>
        <w:jc w:val="both"/>
        <w:rPr>
          <w:rFonts w:ascii="Times New Roman" w:hAnsi="Times New Roman" w:cs="Times New Roman"/>
          <w:color w:val="000000" w:themeColor="text1"/>
          <w:sz w:val="24"/>
          <w:szCs w:val="24"/>
        </w:rPr>
      </w:pPr>
      <w:r w:rsidRPr="002A4DFC">
        <w:rPr>
          <w:rFonts w:ascii="Times New Roman" w:hAnsi="Times New Roman" w:cs="Times New Roman"/>
          <w:color w:val="000000" w:themeColor="text1"/>
          <w:sz w:val="24"/>
          <w:szCs w:val="24"/>
        </w:rPr>
        <w:lastRenderedPageBreak/>
        <w:t xml:space="preserve">Key parameters and assumptions used in emissions reductions estimates are provided in tables </w:t>
      </w:r>
      <w:r w:rsidR="00D7105F" w:rsidRPr="002A4DFC">
        <w:rPr>
          <w:rFonts w:ascii="Times New Roman" w:hAnsi="Times New Roman" w:cs="Times New Roman"/>
          <w:color w:val="000000" w:themeColor="text1"/>
          <w:sz w:val="24"/>
          <w:szCs w:val="24"/>
        </w:rPr>
        <w:t>4.11</w:t>
      </w:r>
      <w:r w:rsidRPr="002A4DFC">
        <w:rPr>
          <w:rFonts w:ascii="Times New Roman" w:hAnsi="Times New Roman" w:cs="Times New Roman"/>
          <w:color w:val="000000" w:themeColor="text1"/>
          <w:sz w:val="24"/>
          <w:szCs w:val="24"/>
        </w:rPr>
        <w:t>. The current electrification access rate was assumed to be 45</w:t>
      </w:r>
      <w:r w:rsidR="00DB6903" w:rsidRPr="00191ACB">
        <w:rPr>
          <w:rFonts w:ascii="Times New Roman" w:hAnsi="Times New Roman" w:cs="Times New Roman"/>
          <w:color w:val="000000" w:themeColor="text1"/>
          <w:sz w:val="24"/>
          <w:szCs w:val="24"/>
        </w:rPr>
        <w:t xml:space="preserve"> percent</w:t>
      </w:r>
      <w:r w:rsidRPr="002A4DFC">
        <w:rPr>
          <w:rFonts w:ascii="Times New Roman" w:hAnsi="Times New Roman" w:cs="Times New Roman"/>
          <w:color w:val="000000" w:themeColor="text1"/>
          <w:sz w:val="24"/>
          <w:szCs w:val="24"/>
        </w:rPr>
        <w:t xml:space="preserve"> for urban areas and 4.4</w:t>
      </w:r>
      <w:r w:rsidR="00B2278F" w:rsidRPr="002A4DFC">
        <w:rPr>
          <w:rFonts w:ascii="Times New Roman" w:hAnsi="Times New Roman" w:cs="Times New Roman"/>
          <w:color w:val="000000" w:themeColor="text1"/>
          <w:sz w:val="24"/>
          <w:szCs w:val="24"/>
        </w:rPr>
        <w:t xml:space="preserve"> percent</w:t>
      </w:r>
      <w:r w:rsidRPr="002A4DFC">
        <w:rPr>
          <w:rFonts w:ascii="Times New Roman" w:hAnsi="Times New Roman" w:cs="Times New Roman"/>
          <w:color w:val="000000" w:themeColor="text1"/>
          <w:sz w:val="24"/>
          <w:szCs w:val="24"/>
        </w:rPr>
        <w:t xml:space="preserve"> from grid power while 7.4</w:t>
      </w:r>
      <w:r w:rsidR="00DB6903" w:rsidRPr="00191ACB">
        <w:rPr>
          <w:rFonts w:ascii="Times New Roman" w:hAnsi="Times New Roman" w:cs="Times New Roman"/>
          <w:color w:val="000000" w:themeColor="text1"/>
          <w:sz w:val="24"/>
          <w:szCs w:val="24"/>
        </w:rPr>
        <w:t xml:space="preserve"> percent</w:t>
      </w:r>
      <w:r w:rsidRPr="002A4DFC">
        <w:rPr>
          <w:rFonts w:ascii="Times New Roman" w:hAnsi="Times New Roman" w:cs="Times New Roman"/>
          <w:color w:val="000000" w:themeColor="text1"/>
          <w:sz w:val="24"/>
          <w:szCs w:val="24"/>
        </w:rPr>
        <w:t xml:space="preserve"> is from solar power for rural areas. According to the Living Conditions and Livelihood Survey for 2015, 6</w:t>
      </w:r>
      <w:r w:rsidR="00DB6903" w:rsidRPr="00191ACB">
        <w:rPr>
          <w:rFonts w:ascii="Times New Roman" w:hAnsi="Times New Roman" w:cs="Times New Roman"/>
          <w:color w:val="000000" w:themeColor="text1"/>
          <w:sz w:val="24"/>
          <w:szCs w:val="24"/>
        </w:rPr>
        <w:t xml:space="preserve"> percent</w:t>
      </w:r>
      <w:r w:rsidRPr="002A4DFC">
        <w:rPr>
          <w:rFonts w:ascii="Times New Roman" w:hAnsi="Times New Roman" w:cs="Times New Roman"/>
          <w:color w:val="000000" w:themeColor="text1"/>
          <w:sz w:val="24"/>
          <w:szCs w:val="24"/>
        </w:rPr>
        <w:t xml:space="preserve"> of households use firewood in urban areas and 84.5</w:t>
      </w:r>
      <w:r w:rsidR="00DB6903" w:rsidRPr="00191ACB">
        <w:rPr>
          <w:rFonts w:ascii="Times New Roman" w:hAnsi="Times New Roman" w:cs="Times New Roman"/>
          <w:color w:val="000000" w:themeColor="text1"/>
          <w:sz w:val="24"/>
          <w:szCs w:val="24"/>
        </w:rPr>
        <w:t xml:space="preserve"> percent</w:t>
      </w:r>
      <w:r w:rsidRPr="002A4DFC">
        <w:rPr>
          <w:rFonts w:ascii="Times New Roman" w:hAnsi="Times New Roman" w:cs="Times New Roman"/>
          <w:color w:val="000000" w:themeColor="text1"/>
          <w:sz w:val="24"/>
          <w:szCs w:val="24"/>
        </w:rPr>
        <w:t xml:space="preserve"> in rural areas. On the other hand</w:t>
      </w:r>
      <w:r w:rsidR="00DB6903" w:rsidRPr="002A4DFC">
        <w:rPr>
          <w:rFonts w:ascii="Times New Roman" w:hAnsi="Times New Roman" w:cs="Times New Roman"/>
          <w:color w:val="000000" w:themeColor="text1"/>
          <w:sz w:val="24"/>
          <w:szCs w:val="24"/>
        </w:rPr>
        <w:t>,</w:t>
      </w:r>
      <w:r w:rsidRPr="002A4DFC">
        <w:rPr>
          <w:rFonts w:ascii="Times New Roman" w:hAnsi="Times New Roman" w:cs="Times New Roman"/>
          <w:color w:val="000000" w:themeColor="text1"/>
          <w:sz w:val="24"/>
          <w:szCs w:val="24"/>
        </w:rPr>
        <w:t xml:space="preserve"> 59.1 households are reported to use charcoal in urban areas and 13.2</w:t>
      </w:r>
      <w:r w:rsidR="00DB6903" w:rsidRPr="00191ACB">
        <w:rPr>
          <w:rFonts w:ascii="Times New Roman" w:hAnsi="Times New Roman" w:cs="Times New Roman"/>
          <w:color w:val="000000" w:themeColor="text1"/>
          <w:sz w:val="24"/>
          <w:szCs w:val="24"/>
        </w:rPr>
        <w:t xml:space="preserve"> percent</w:t>
      </w:r>
      <w:r w:rsidRPr="002A4DFC">
        <w:rPr>
          <w:rFonts w:ascii="Times New Roman" w:hAnsi="Times New Roman" w:cs="Times New Roman"/>
          <w:color w:val="000000" w:themeColor="text1"/>
          <w:sz w:val="24"/>
          <w:szCs w:val="24"/>
        </w:rPr>
        <w:t xml:space="preserve"> in urban areas.</w:t>
      </w:r>
    </w:p>
    <w:p w14:paraId="69F08BE6" w14:textId="7CD4E757" w:rsidR="00245464" w:rsidRPr="002A4DFC" w:rsidRDefault="00245464" w:rsidP="002A4DFC">
      <w:pPr>
        <w:spacing w:after="120" w:line="276" w:lineRule="auto"/>
        <w:jc w:val="both"/>
        <w:rPr>
          <w:rFonts w:ascii="Times New Roman" w:hAnsi="Times New Roman" w:cs="Times New Roman"/>
          <w:color w:val="000000" w:themeColor="text1"/>
          <w:sz w:val="24"/>
          <w:szCs w:val="24"/>
        </w:rPr>
      </w:pPr>
      <w:r w:rsidRPr="002A4DFC">
        <w:rPr>
          <w:rFonts w:ascii="Times New Roman" w:hAnsi="Times New Roman" w:cs="Times New Roman"/>
          <w:color w:val="000000" w:themeColor="text1"/>
          <w:sz w:val="24"/>
          <w:szCs w:val="24"/>
        </w:rPr>
        <w:t xml:space="preserve">Mitigation actions, nature of action and coverage, methodologies and assumptions, progress indicators, objectives of the actions, status of implementation, and </w:t>
      </w:r>
      <w:r w:rsidR="00D61D72" w:rsidRPr="002A4DFC">
        <w:rPr>
          <w:rFonts w:ascii="Times New Roman" w:hAnsi="Times New Roman" w:cs="Times New Roman"/>
          <w:color w:val="000000" w:themeColor="text1"/>
          <w:sz w:val="24"/>
          <w:szCs w:val="24"/>
        </w:rPr>
        <w:t>estimated</w:t>
      </w:r>
      <w:r w:rsidRPr="002A4DFC">
        <w:rPr>
          <w:rFonts w:ascii="Times New Roman" w:hAnsi="Times New Roman" w:cs="Times New Roman"/>
          <w:color w:val="000000" w:themeColor="text1"/>
          <w:sz w:val="24"/>
          <w:szCs w:val="24"/>
        </w:rPr>
        <w:t xml:space="preserve"> emission reduction under Electrification are provided in Table</w:t>
      </w:r>
      <w:r w:rsidR="006A1C90">
        <w:rPr>
          <w:rFonts w:ascii="Times New Roman" w:hAnsi="Times New Roman" w:cs="Times New Roman"/>
          <w:color w:val="000000" w:themeColor="text1"/>
          <w:sz w:val="24"/>
          <w:szCs w:val="24"/>
        </w:rPr>
        <w:t xml:space="preserve"> </w:t>
      </w:r>
      <w:r w:rsidR="00D61D72" w:rsidRPr="002A4DFC">
        <w:rPr>
          <w:rFonts w:ascii="Times New Roman" w:hAnsi="Times New Roman" w:cs="Times New Roman"/>
          <w:color w:val="000000" w:themeColor="text1"/>
          <w:sz w:val="24"/>
          <w:szCs w:val="24"/>
        </w:rPr>
        <w:t>4.11</w:t>
      </w:r>
      <w:r w:rsidRPr="002A4DFC">
        <w:rPr>
          <w:rFonts w:ascii="Times New Roman" w:hAnsi="Times New Roman" w:cs="Times New Roman"/>
          <w:color w:val="000000" w:themeColor="text1"/>
          <w:sz w:val="24"/>
          <w:szCs w:val="24"/>
        </w:rPr>
        <w:t>.</w:t>
      </w:r>
    </w:p>
    <w:p w14:paraId="4C33F8A1"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00D61EEB"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316CDC76" w14:textId="77777777" w:rsidR="00245464" w:rsidRPr="00191ACB" w:rsidRDefault="00245464" w:rsidP="00245464">
      <w:pPr>
        <w:autoSpaceDE w:val="0"/>
        <w:autoSpaceDN w:val="0"/>
        <w:adjustRightInd w:val="0"/>
        <w:spacing w:after="0" w:line="240" w:lineRule="auto"/>
        <w:jc w:val="both"/>
        <w:rPr>
          <w:rFonts w:ascii="Times New Roman" w:eastAsia="Calibri" w:hAnsi="Times New Roman" w:cs="Times New Roman"/>
          <w:color w:val="000000" w:themeColor="text1"/>
          <w:sz w:val="24"/>
          <w:szCs w:val="24"/>
        </w:rPr>
      </w:pPr>
    </w:p>
    <w:p w14:paraId="38527276" w14:textId="77777777" w:rsidR="00E95E0D" w:rsidRPr="00191ACB" w:rsidRDefault="00E95E0D" w:rsidP="00245464">
      <w:pPr>
        <w:autoSpaceDE w:val="0"/>
        <w:autoSpaceDN w:val="0"/>
        <w:adjustRightInd w:val="0"/>
        <w:spacing w:after="0" w:line="240" w:lineRule="auto"/>
        <w:jc w:val="both"/>
        <w:rPr>
          <w:rFonts w:ascii="Times New Roman" w:eastAsia="Calibri" w:hAnsi="Times New Roman" w:cs="Times New Roman"/>
          <w:color w:val="000000" w:themeColor="text1"/>
          <w:sz w:val="24"/>
          <w:szCs w:val="24"/>
        </w:rPr>
        <w:sectPr w:rsidR="00E95E0D" w:rsidRPr="00191ACB" w:rsidSect="005D53F6">
          <w:footerReference w:type="default" r:id="rId81"/>
          <w:pgSz w:w="11909" w:h="16834" w:code="9"/>
          <w:pgMar w:top="862" w:right="720" w:bottom="862" w:left="1440" w:header="720" w:footer="720" w:gutter="0"/>
          <w:cols w:space="720"/>
          <w:titlePg/>
          <w:docGrid w:linePitch="360"/>
        </w:sectPr>
      </w:pPr>
    </w:p>
    <w:p w14:paraId="4DFDE4CE" w14:textId="718A76F2" w:rsidR="00245464" w:rsidRPr="00191ACB" w:rsidRDefault="00C319A4" w:rsidP="00C319A4">
      <w:pPr>
        <w:pStyle w:val="Caption"/>
        <w:rPr>
          <w:rFonts w:eastAsia="Calibri"/>
          <w:color w:val="000000" w:themeColor="text1"/>
          <w:sz w:val="24"/>
          <w:szCs w:val="24"/>
        </w:rPr>
      </w:pPr>
      <w:bookmarkStart w:id="376" w:name="_Toc56583787"/>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11</w:t>
      </w:r>
      <w:r w:rsidR="00875942">
        <w:rPr>
          <w:sz w:val="24"/>
          <w:szCs w:val="24"/>
        </w:rPr>
        <w:fldChar w:fldCharType="end"/>
      </w:r>
      <w:r w:rsidRPr="00191ACB">
        <w:rPr>
          <w:sz w:val="24"/>
          <w:szCs w:val="24"/>
        </w:rPr>
        <w:t>:Mitigation action-electrification</w:t>
      </w:r>
      <w:bookmarkEnd w:id="376"/>
    </w:p>
    <w:tbl>
      <w:tblPr>
        <w:tblStyle w:val="GridTable4-Accent11"/>
        <w:tblW w:w="5000" w:type="pct"/>
        <w:tblLook w:val="04A0" w:firstRow="1" w:lastRow="0" w:firstColumn="1" w:lastColumn="0" w:noHBand="0" w:noVBand="1"/>
      </w:tblPr>
      <w:tblGrid>
        <w:gridCol w:w="1683"/>
        <w:gridCol w:w="2048"/>
        <w:gridCol w:w="2722"/>
        <w:gridCol w:w="1565"/>
        <w:gridCol w:w="2279"/>
        <w:gridCol w:w="1830"/>
        <w:gridCol w:w="1330"/>
        <w:gridCol w:w="1643"/>
      </w:tblGrid>
      <w:tr w:rsidR="00245464" w:rsidRPr="00191ACB" w14:paraId="0FE081A4" w14:textId="77777777" w:rsidTr="00B2278F">
        <w:trPr>
          <w:cnfStyle w:val="100000000000" w:firstRow="1" w:lastRow="0" w:firstColumn="0" w:lastColumn="0" w:oddVBand="0" w:evenVBand="0" w:oddHBand="0"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551" w:type="pct"/>
          </w:tcPr>
          <w:p w14:paraId="203FA361"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707" w:type="pct"/>
          </w:tcPr>
          <w:p w14:paraId="446B9355"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930" w:type="pct"/>
          </w:tcPr>
          <w:p w14:paraId="6E000E93"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547" w:type="pct"/>
          </w:tcPr>
          <w:p w14:paraId="133C106C"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783" w:type="pct"/>
          </w:tcPr>
          <w:p w14:paraId="024EABD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tc>
        <w:tc>
          <w:tcPr>
            <w:tcW w:w="517" w:type="pct"/>
          </w:tcPr>
          <w:p w14:paraId="1F224DB0"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469" w:type="pct"/>
          </w:tcPr>
          <w:p w14:paraId="020B2DD6"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 xml:space="preserve">Estimated emission reduction </w:t>
            </w:r>
          </w:p>
        </w:tc>
        <w:tc>
          <w:tcPr>
            <w:tcW w:w="496" w:type="pct"/>
          </w:tcPr>
          <w:p w14:paraId="01EA2D8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international market mechanisms</w:t>
            </w:r>
          </w:p>
        </w:tc>
      </w:tr>
      <w:tr w:rsidR="00245464" w:rsidRPr="00191ACB" w14:paraId="62B7984E" w14:textId="77777777" w:rsidTr="00B2278F">
        <w:trPr>
          <w:cnfStyle w:val="000000100000" w:firstRow="0" w:lastRow="0" w:firstColumn="0" w:lastColumn="0" w:oddVBand="0" w:evenVBand="0" w:oddHBand="1" w:evenHBand="0" w:firstRowFirstColumn="0" w:firstRowLastColumn="0" w:lastRowFirstColumn="0" w:lastRowLastColumn="0"/>
          <w:trHeight w:val="1584"/>
        </w:trPr>
        <w:tc>
          <w:tcPr>
            <w:cnfStyle w:val="001000000000" w:firstRow="0" w:lastRow="0" w:firstColumn="1" w:lastColumn="0" w:oddVBand="0" w:evenVBand="0" w:oddHBand="0" w:evenHBand="0" w:firstRowFirstColumn="0" w:firstRowLastColumn="0" w:lastRowFirstColumn="0" w:lastRowLastColumn="0"/>
            <w:tcW w:w="551" w:type="pct"/>
          </w:tcPr>
          <w:p w14:paraId="32DA178A" w14:textId="77777777" w:rsidR="00245464" w:rsidRPr="00191ACB" w:rsidRDefault="00245464" w:rsidP="00245464">
            <w:pPr>
              <w:jc w:val="both"/>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rPr>
              <w:t>National Electrification Project (NEP)</w:t>
            </w:r>
          </w:p>
        </w:tc>
        <w:tc>
          <w:tcPr>
            <w:tcW w:w="707" w:type="pct"/>
          </w:tcPr>
          <w:p w14:paraId="73C5C65D" w14:textId="5CB1C902"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It focuses on rural and urban areas Reduces emissions under energy and forestry sector covering</w:t>
            </w:r>
            <w:r w:rsidR="00DB6903"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lang w:eastAsia="x-none"/>
              </w:rPr>
              <w:t>gases to include;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CH</w:t>
            </w:r>
            <w:r w:rsidRPr="00191ACB">
              <w:rPr>
                <w:rFonts w:ascii="Times New Roman" w:hAnsi="Times New Roman"/>
                <w:color w:val="000000" w:themeColor="text1"/>
                <w:sz w:val="24"/>
                <w:szCs w:val="24"/>
                <w:vertAlign w:val="subscript"/>
                <w:lang w:eastAsia="x-none"/>
              </w:rPr>
              <w:t>4</w:t>
            </w:r>
            <w:r w:rsidRPr="00191ACB">
              <w:rPr>
                <w:rFonts w:ascii="Times New Roman" w:hAnsi="Times New Roman"/>
                <w:color w:val="000000" w:themeColor="text1"/>
                <w:sz w:val="24"/>
                <w:szCs w:val="24"/>
                <w:lang w:eastAsia="x-none"/>
              </w:rPr>
              <w:t>, and N</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O</w:t>
            </w:r>
          </w:p>
        </w:tc>
        <w:tc>
          <w:tcPr>
            <w:tcW w:w="930" w:type="pct"/>
          </w:tcPr>
          <w:p w14:paraId="0557E57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The baseline is use of charcoal, firewood for cooking in un-electrified houses. </w:t>
            </w:r>
            <w:r w:rsidRPr="00191ACB">
              <w:rPr>
                <w:rFonts w:ascii="Times New Roman" w:hAnsi="Times New Roman"/>
                <w:color w:val="000000" w:themeColor="text1"/>
                <w:sz w:val="24"/>
                <w:szCs w:val="24"/>
              </w:rPr>
              <w:t xml:space="preserve">Emissions reduction were estimated using algorithms in equations 6 to 10 and key assumptions contained in tables 18, 19 and 20. </w:t>
            </w:r>
          </w:p>
        </w:tc>
        <w:tc>
          <w:tcPr>
            <w:tcW w:w="547" w:type="pct"/>
          </w:tcPr>
          <w:p w14:paraId="180B77B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Number households connected to the grid</w:t>
            </w:r>
          </w:p>
        </w:tc>
        <w:tc>
          <w:tcPr>
            <w:tcW w:w="783" w:type="pct"/>
          </w:tcPr>
          <w:p w14:paraId="0AFCDE75"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connect 22,000 households and small and medium enterprises to electricity grid by 2022.</w:t>
            </w:r>
          </w:p>
        </w:tc>
        <w:tc>
          <w:tcPr>
            <w:tcW w:w="517" w:type="pct"/>
          </w:tcPr>
          <w:p w14:paraId="21EEF7B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Ongoing currently 6000 households have been connected</w:t>
            </w:r>
          </w:p>
        </w:tc>
        <w:tc>
          <w:tcPr>
            <w:tcW w:w="469" w:type="pct"/>
          </w:tcPr>
          <w:p w14:paraId="67A1C65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Projected to reduce to reduce 46.2 Gg CO</w:t>
            </w:r>
            <w:r w:rsidRPr="00191ACB">
              <w:rPr>
                <w:rFonts w:ascii="Times New Roman" w:hAnsi="Times New Roman"/>
                <w:color w:val="000000" w:themeColor="text1"/>
                <w:sz w:val="24"/>
                <w:szCs w:val="24"/>
                <w:vertAlign w:val="subscript"/>
                <w:lang w:eastAsia="x-none"/>
              </w:rPr>
              <w:t xml:space="preserve">2 </w:t>
            </w:r>
            <w:r w:rsidRPr="00191ACB">
              <w:rPr>
                <w:rFonts w:ascii="Times New Roman" w:hAnsi="Times New Roman"/>
                <w:color w:val="000000" w:themeColor="text1"/>
                <w:sz w:val="24"/>
                <w:szCs w:val="24"/>
                <w:lang w:eastAsia="x-none"/>
              </w:rPr>
              <w:t>eq. by 2022</w:t>
            </w:r>
          </w:p>
        </w:tc>
        <w:tc>
          <w:tcPr>
            <w:tcW w:w="496" w:type="pct"/>
          </w:tcPr>
          <w:p w14:paraId="44433E3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0708EC41" w14:textId="77777777" w:rsidTr="00B2278F">
        <w:tc>
          <w:tcPr>
            <w:cnfStyle w:val="001000000000" w:firstRow="0" w:lastRow="0" w:firstColumn="1" w:lastColumn="0" w:oddVBand="0" w:evenVBand="0" w:oddHBand="0" w:evenHBand="0" w:firstRowFirstColumn="0" w:firstRowLastColumn="0" w:lastRowFirstColumn="0" w:lastRowLastColumn="0"/>
            <w:tcW w:w="551" w:type="pct"/>
          </w:tcPr>
          <w:p w14:paraId="385AC2A0" w14:textId="6626C1B4"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Rural Electrification Master Plan</w:t>
            </w:r>
            <w:r w:rsidR="00DB6903" w:rsidRPr="00191ACB">
              <w:rPr>
                <w:rFonts w:ascii="Times New Roman" w:hAnsi="Times New Roman"/>
                <w:color w:val="000000" w:themeColor="text1"/>
                <w:sz w:val="24"/>
                <w:szCs w:val="24"/>
              </w:rPr>
              <w:t xml:space="preserve"> </w:t>
            </w:r>
            <w:r w:rsidRPr="00191ACB">
              <w:rPr>
                <w:rFonts w:ascii="Times New Roman" w:hAnsi="Times New Roman"/>
                <w:color w:val="000000" w:themeColor="text1"/>
                <w:sz w:val="24"/>
                <w:szCs w:val="24"/>
              </w:rPr>
              <w:t>(REMP</w:t>
            </w:r>
          </w:p>
        </w:tc>
        <w:tc>
          <w:tcPr>
            <w:tcW w:w="707" w:type="pct"/>
          </w:tcPr>
          <w:p w14:paraId="0CE9493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Nationwide coverage. Reduces emissions under energy sector and covers gases to include;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CH</w:t>
            </w:r>
            <w:r w:rsidRPr="00191ACB">
              <w:rPr>
                <w:rFonts w:ascii="Times New Roman" w:hAnsi="Times New Roman"/>
                <w:color w:val="000000" w:themeColor="text1"/>
                <w:sz w:val="24"/>
                <w:szCs w:val="24"/>
                <w:vertAlign w:val="subscript"/>
                <w:lang w:eastAsia="x-none"/>
              </w:rPr>
              <w:t>4</w:t>
            </w:r>
            <w:r w:rsidRPr="00191ACB">
              <w:rPr>
                <w:rFonts w:ascii="Times New Roman" w:hAnsi="Times New Roman"/>
                <w:color w:val="000000" w:themeColor="text1"/>
                <w:sz w:val="24"/>
                <w:szCs w:val="24"/>
                <w:lang w:eastAsia="x-none"/>
              </w:rPr>
              <w:t>, and N</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O</w:t>
            </w:r>
          </w:p>
        </w:tc>
        <w:tc>
          <w:tcPr>
            <w:tcW w:w="930" w:type="pct"/>
          </w:tcPr>
          <w:p w14:paraId="6CABB68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 xml:space="preserve">The baseline is use of charcoal, firewood for cooking in un electrified houses. </w:t>
            </w:r>
            <w:r w:rsidRPr="00191ACB">
              <w:rPr>
                <w:rFonts w:ascii="Times New Roman" w:hAnsi="Times New Roman"/>
                <w:color w:val="000000" w:themeColor="text1"/>
                <w:sz w:val="24"/>
                <w:szCs w:val="24"/>
              </w:rPr>
              <w:t>Emissions reduction were estimated using algorithms in equations 6 to 10 and key assumptions contained in tables 18, 19 and 20.</w:t>
            </w:r>
          </w:p>
        </w:tc>
        <w:tc>
          <w:tcPr>
            <w:tcW w:w="547" w:type="pct"/>
          </w:tcPr>
          <w:p w14:paraId="12870FB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Number households connected to the grid</w:t>
            </w:r>
          </w:p>
        </w:tc>
        <w:tc>
          <w:tcPr>
            <w:tcW w:w="783" w:type="pct"/>
          </w:tcPr>
          <w:p w14:paraId="6271FCCC" w14:textId="2B7943B2"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rPr>
              <w:t xml:space="preserve">The overall target is to reach household electrification of 51% households) in rural areas and 90% households)) in urban areas and national connection of 61% by 2030 </w:t>
            </w:r>
          </w:p>
        </w:tc>
        <w:tc>
          <w:tcPr>
            <w:tcW w:w="517" w:type="pct"/>
          </w:tcPr>
          <w:p w14:paraId="49FC15D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b/>
                <w:color w:val="000000" w:themeColor="text1"/>
                <w:sz w:val="24"/>
                <w:szCs w:val="24"/>
                <w:lang w:eastAsia="x-none"/>
              </w:rPr>
              <w:t>Ongoing</w:t>
            </w:r>
          </w:p>
        </w:tc>
        <w:tc>
          <w:tcPr>
            <w:tcW w:w="469" w:type="pct"/>
          </w:tcPr>
          <w:p w14:paraId="66DEE359"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Projected to reduce to reduce 12288.4 Gg CO2 eq. by 2030</w:t>
            </w:r>
          </w:p>
        </w:tc>
        <w:tc>
          <w:tcPr>
            <w:tcW w:w="496" w:type="pct"/>
          </w:tcPr>
          <w:p w14:paraId="0FC4AC0B"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No carbon trading under the project</w:t>
            </w:r>
          </w:p>
        </w:tc>
      </w:tr>
    </w:tbl>
    <w:p w14:paraId="7C5C2D4F" w14:textId="77777777" w:rsidR="009B4DDC" w:rsidRPr="00191ACB" w:rsidRDefault="009B4DDC" w:rsidP="00E55469">
      <w:pPr>
        <w:spacing w:line="240" w:lineRule="auto"/>
        <w:jc w:val="both"/>
        <w:rPr>
          <w:rFonts w:ascii="Times New Roman" w:eastAsia="Calibri" w:hAnsi="Times New Roman" w:cs="Times New Roman"/>
          <w:color w:val="000000" w:themeColor="text1"/>
          <w:sz w:val="24"/>
          <w:szCs w:val="24"/>
        </w:rPr>
      </w:pPr>
    </w:p>
    <w:p w14:paraId="476579D7" w14:textId="77777777" w:rsidR="00B2278F" w:rsidRPr="00191ACB" w:rsidRDefault="00B2278F" w:rsidP="005E626A">
      <w:pPr>
        <w:spacing w:after="120" w:line="240" w:lineRule="auto"/>
        <w:jc w:val="both"/>
        <w:rPr>
          <w:rFonts w:ascii="Times New Roman" w:eastAsia="Calibri" w:hAnsi="Times New Roman" w:cs="Times New Roman"/>
          <w:color w:val="000000" w:themeColor="text1"/>
          <w:sz w:val="24"/>
          <w:szCs w:val="24"/>
        </w:rPr>
        <w:sectPr w:rsidR="00B2278F" w:rsidRPr="00191ACB" w:rsidSect="00E95E0D">
          <w:pgSz w:w="16834" w:h="11909" w:orient="landscape" w:code="9"/>
          <w:pgMar w:top="720" w:right="862" w:bottom="1440" w:left="862" w:header="720" w:footer="720" w:gutter="0"/>
          <w:cols w:space="720"/>
          <w:docGrid w:linePitch="360"/>
        </w:sectPr>
      </w:pPr>
    </w:p>
    <w:p w14:paraId="77433CA3" w14:textId="4C4E0E43" w:rsidR="00E55469" w:rsidRPr="00191ACB" w:rsidRDefault="00E55469"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lastRenderedPageBreak/>
        <w:t>Key parameters and assumptions used in emissions reductions es</w:t>
      </w:r>
      <w:r w:rsidR="00C67BFC" w:rsidRPr="00191ACB">
        <w:rPr>
          <w:rFonts w:ascii="Times New Roman" w:eastAsia="Calibri" w:hAnsi="Times New Roman" w:cs="Times New Roman"/>
          <w:color w:val="000000" w:themeColor="text1"/>
          <w:sz w:val="24"/>
          <w:szCs w:val="24"/>
        </w:rPr>
        <w:t xml:space="preserve">timates are provided in tables </w:t>
      </w:r>
      <w:r w:rsidR="00D7105F" w:rsidRPr="00191ACB">
        <w:rPr>
          <w:rFonts w:ascii="Times New Roman" w:eastAsia="Calibri" w:hAnsi="Times New Roman" w:cs="Times New Roman"/>
          <w:color w:val="000000" w:themeColor="text1"/>
          <w:sz w:val="24"/>
          <w:szCs w:val="24"/>
        </w:rPr>
        <w:t>4.12</w:t>
      </w:r>
      <w:r w:rsidR="00C67BFC" w:rsidRPr="00191ACB">
        <w:rPr>
          <w:rFonts w:ascii="Times New Roman" w:eastAsia="Calibri" w:hAnsi="Times New Roman" w:cs="Times New Roman"/>
          <w:color w:val="000000" w:themeColor="text1"/>
          <w:sz w:val="24"/>
          <w:szCs w:val="24"/>
        </w:rPr>
        <w:t xml:space="preserve"> to </w:t>
      </w:r>
      <w:r w:rsidR="00D7105F" w:rsidRPr="00191ACB">
        <w:rPr>
          <w:rFonts w:ascii="Times New Roman" w:eastAsia="Calibri" w:hAnsi="Times New Roman" w:cs="Times New Roman"/>
          <w:color w:val="000000" w:themeColor="text1"/>
          <w:sz w:val="24"/>
          <w:szCs w:val="24"/>
        </w:rPr>
        <w:t>4.13</w:t>
      </w:r>
      <w:r w:rsidRPr="00191ACB">
        <w:rPr>
          <w:rFonts w:ascii="Times New Roman" w:eastAsia="Calibri" w:hAnsi="Times New Roman" w:cs="Times New Roman"/>
          <w:color w:val="000000" w:themeColor="text1"/>
          <w:sz w:val="24"/>
          <w:szCs w:val="24"/>
        </w:rPr>
        <w:t>. The current electrification access rate was assumed to be 45</w:t>
      </w:r>
      <w:r w:rsidR="00DB6903" w:rsidRPr="00191ACB">
        <w:rPr>
          <w:rFonts w:ascii="Times New Roman" w:hAnsi="Times New Roman" w:cs="Times New Roman"/>
          <w:color w:val="000000" w:themeColor="text1"/>
          <w:sz w:val="24"/>
          <w:szCs w:val="24"/>
        </w:rPr>
        <w:t xml:space="preserve"> percent</w:t>
      </w:r>
      <w:r w:rsidR="00DB6903"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for urban areas and 4.4</w:t>
      </w:r>
      <w:r w:rsidR="00DB6903" w:rsidRPr="00191ACB">
        <w:rPr>
          <w:rFonts w:ascii="Times New Roman"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from grid power while 7.4</w:t>
      </w:r>
      <w:r w:rsidR="00DB6903" w:rsidRPr="00191ACB">
        <w:rPr>
          <w:rFonts w:ascii="Times New Roman"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is from solar power for rural areas. According to the Living Conditions and Livelihood Survey for 2015, 6</w:t>
      </w:r>
      <w:r w:rsidR="00DB6903" w:rsidRPr="00191ACB">
        <w:rPr>
          <w:rFonts w:ascii="Times New Roman"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of households use firewood in urban areas and 84.5</w:t>
      </w:r>
      <w:r w:rsidR="00DB6903" w:rsidRPr="00191ACB">
        <w:rPr>
          <w:rFonts w:ascii="Times New Roman"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in rural areas. On the other hand</w:t>
      </w:r>
      <w:r w:rsidR="00DB6903"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59.1</w:t>
      </w:r>
      <w:r w:rsidR="00DB6903" w:rsidRPr="00191ACB">
        <w:rPr>
          <w:rFonts w:ascii="Times New Roman"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households are reported to use charcoal in urban areas and 13.2</w:t>
      </w:r>
      <w:r w:rsidR="00DB6903" w:rsidRPr="00191ACB">
        <w:rPr>
          <w:rFonts w:ascii="Times New Roman"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in urban areas.</w:t>
      </w:r>
    </w:p>
    <w:p w14:paraId="4EAF841D" w14:textId="77777777" w:rsidR="00C319A4" w:rsidRPr="00191ACB" w:rsidRDefault="00C319A4" w:rsidP="005E626A">
      <w:pPr>
        <w:spacing w:after="120" w:line="240" w:lineRule="auto"/>
        <w:jc w:val="both"/>
        <w:rPr>
          <w:rFonts w:ascii="Times New Roman" w:eastAsia="Calibri" w:hAnsi="Times New Roman" w:cs="Times New Roman"/>
          <w:color w:val="000000" w:themeColor="text1"/>
          <w:sz w:val="24"/>
          <w:szCs w:val="24"/>
        </w:rPr>
      </w:pPr>
    </w:p>
    <w:p w14:paraId="697A2CAD" w14:textId="2D42425B" w:rsidR="009B4DDC" w:rsidRPr="00191ACB" w:rsidRDefault="00C319A4" w:rsidP="00C319A4">
      <w:pPr>
        <w:pStyle w:val="Caption"/>
        <w:rPr>
          <w:rFonts w:eastAsia="Calibri"/>
          <w:color w:val="000000" w:themeColor="text1"/>
          <w:sz w:val="24"/>
          <w:szCs w:val="24"/>
        </w:rPr>
      </w:pPr>
      <w:bookmarkStart w:id="377" w:name="_Toc56583788"/>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12</w:t>
      </w:r>
      <w:r w:rsidR="00875942">
        <w:rPr>
          <w:sz w:val="24"/>
          <w:szCs w:val="24"/>
        </w:rPr>
        <w:fldChar w:fldCharType="end"/>
      </w:r>
      <w:r w:rsidRPr="00191ACB">
        <w:rPr>
          <w:sz w:val="24"/>
          <w:szCs w:val="24"/>
        </w:rPr>
        <w:t>:Key parameters and assumptions used in emission reduction estimates</w:t>
      </w:r>
      <w:bookmarkEnd w:id="377"/>
      <w:r w:rsidRPr="00191ACB">
        <w:rPr>
          <w:rFonts w:eastAsia="Calibri"/>
          <w:color w:val="000000" w:themeColor="text1"/>
          <w:sz w:val="24"/>
          <w:szCs w:val="24"/>
        </w:rPr>
        <w:t xml:space="preserve"> </w:t>
      </w:r>
    </w:p>
    <w:tbl>
      <w:tblPr>
        <w:tblW w:w="3806" w:type="pct"/>
        <w:tblLook w:val="04A0" w:firstRow="1" w:lastRow="0" w:firstColumn="1" w:lastColumn="0" w:noHBand="0" w:noVBand="1"/>
      </w:tblPr>
      <w:tblGrid>
        <w:gridCol w:w="4435"/>
        <w:gridCol w:w="1560"/>
        <w:gridCol w:w="1418"/>
      </w:tblGrid>
      <w:tr w:rsidR="009B4DDC" w:rsidRPr="00191ACB" w14:paraId="71948786" w14:textId="77777777" w:rsidTr="00417092">
        <w:trPr>
          <w:trHeight w:val="300"/>
          <w:tblHeader/>
        </w:trPr>
        <w:tc>
          <w:tcPr>
            <w:tcW w:w="29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10E59B" w14:textId="77777777" w:rsidR="009B4DDC" w:rsidRPr="00191ACB" w:rsidRDefault="009B4DDC" w:rsidP="00417092">
            <w:pPr>
              <w:spacing w:after="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 Parameter</w:t>
            </w:r>
          </w:p>
        </w:tc>
        <w:tc>
          <w:tcPr>
            <w:tcW w:w="1058" w:type="pct"/>
            <w:tcBorders>
              <w:top w:val="single" w:sz="4" w:space="0" w:color="auto"/>
              <w:left w:val="nil"/>
              <w:bottom w:val="single" w:sz="4" w:space="0" w:color="auto"/>
              <w:right w:val="single" w:sz="4" w:space="0" w:color="auto"/>
            </w:tcBorders>
            <w:shd w:val="clear" w:color="auto" w:fill="auto"/>
            <w:noWrap/>
            <w:vAlign w:val="bottom"/>
            <w:hideMark/>
          </w:tcPr>
          <w:p w14:paraId="16452F59" w14:textId="77777777" w:rsidR="009B4DDC" w:rsidRPr="00191ACB" w:rsidRDefault="009B4DDC" w:rsidP="00417092">
            <w:pPr>
              <w:spacing w:after="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Urban</w:t>
            </w:r>
          </w:p>
        </w:tc>
        <w:tc>
          <w:tcPr>
            <w:tcW w:w="962" w:type="pct"/>
            <w:tcBorders>
              <w:top w:val="single" w:sz="4" w:space="0" w:color="auto"/>
              <w:left w:val="nil"/>
              <w:bottom w:val="single" w:sz="4" w:space="0" w:color="auto"/>
              <w:right w:val="single" w:sz="4" w:space="0" w:color="auto"/>
            </w:tcBorders>
            <w:shd w:val="clear" w:color="auto" w:fill="auto"/>
            <w:noWrap/>
            <w:vAlign w:val="bottom"/>
            <w:hideMark/>
          </w:tcPr>
          <w:p w14:paraId="77361A1B" w14:textId="77777777" w:rsidR="009B4DDC" w:rsidRPr="00191ACB" w:rsidRDefault="009B4DDC" w:rsidP="00417092">
            <w:pPr>
              <w:spacing w:after="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Rural</w:t>
            </w:r>
          </w:p>
        </w:tc>
      </w:tr>
      <w:tr w:rsidR="009B4DDC" w:rsidRPr="00191ACB" w14:paraId="61CC4674" w14:textId="77777777" w:rsidTr="00417092">
        <w:trPr>
          <w:trHeight w:val="300"/>
        </w:trPr>
        <w:tc>
          <w:tcPr>
            <w:tcW w:w="2980" w:type="pct"/>
            <w:tcBorders>
              <w:top w:val="nil"/>
              <w:left w:val="single" w:sz="4" w:space="0" w:color="auto"/>
              <w:bottom w:val="single" w:sz="4" w:space="0" w:color="auto"/>
              <w:right w:val="single" w:sz="4" w:space="0" w:color="auto"/>
            </w:tcBorders>
            <w:shd w:val="clear" w:color="auto" w:fill="auto"/>
            <w:noWrap/>
            <w:vAlign w:val="bottom"/>
            <w:hideMark/>
          </w:tcPr>
          <w:p w14:paraId="6A201A7C"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Electrification Rate (current) (%)</w:t>
            </w:r>
          </w:p>
        </w:tc>
        <w:tc>
          <w:tcPr>
            <w:tcW w:w="1058" w:type="pct"/>
            <w:tcBorders>
              <w:top w:val="nil"/>
              <w:left w:val="nil"/>
              <w:bottom w:val="single" w:sz="4" w:space="0" w:color="auto"/>
              <w:right w:val="single" w:sz="4" w:space="0" w:color="auto"/>
            </w:tcBorders>
            <w:shd w:val="clear" w:color="auto" w:fill="auto"/>
            <w:noWrap/>
            <w:vAlign w:val="bottom"/>
            <w:hideMark/>
          </w:tcPr>
          <w:p w14:paraId="6CA4FC28"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45</w:t>
            </w:r>
          </w:p>
        </w:tc>
        <w:tc>
          <w:tcPr>
            <w:tcW w:w="962" w:type="pct"/>
            <w:tcBorders>
              <w:top w:val="nil"/>
              <w:left w:val="nil"/>
              <w:bottom w:val="single" w:sz="4" w:space="0" w:color="auto"/>
              <w:right w:val="single" w:sz="4" w:space="0" w:color="auto"/>
            </w:tcBorders>
            <w:shd w:val="clear" w:color="auto" w:fill="auto"/>
            <w:noWrap/>
            <w:vAlign w:val="bottom"/>
            <w:hideMark/>
          </w:tcPr>
          <w:p w14:paraId="106A8711"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11.8</w:t>
            </w:r>
            <w:r w:rsidRPr="00191ACB">
              <w:rPr>
                <w:rFonts w:ascii="Times New Roman" w:eastAsia="Times New Roman" w:hAnsi="Times New Roman" w:cs="Times New Roman"/>
                <w:color w:val="000000" w:themeColor="text1"/>
                <w:sz w:val="24"/>
                <w:szCs w:val="24"/>
                <w:vertAlign w:val="superscript"/>
              </w:rPr>
              <w:footnoteReference w:id="4"/>
            </w:r>
          </w:p>
        </w:tc>
      </w:tr>
      <w:tr w:rsidR="009B4DDC" w:rsidRPr="00191ACB" w14:paraId="075A3540" w14:textId="77777777" w:rsidTr="00417092">
        <w:trPr>
          <w:trHeight w:val="300"/>
        </w:trPr>
        <w:tc>
          <w:tcPr>
            <w:tcW w:w="2980" w:type="pct"/>
            <w:tcBorders>
              <w:top w:val="nil"/>
              <w:left w:val="single" w:sz="4" w:space="0" w:color="auto"/>
              <w:bottom w:val="single" w:sz="4" w:space="0" w:color="auto"/>
              <w:right w:val="single" w:sz="4" w:space="0" w:color="auto"/>
            </w:tcBorders>
            <w:shd w:val="clear" w:color="auto" w:fill="auto"/>
            <w:noWrap/>
            <w:vAlign w:val="bottom"/>
            <w:hideMark/>
          </w:tcPr>
          <w:p w14:paraId="74B7C194"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Household Population</w:t>
            </w:r>
          </w:p>
        </w:tc>
        <w:tc>
          <w:tcPr>
            <w:tcW w:w="1058" w:type="pct"/>
            <w:tcBorders>
              <w:top w:val="nil"/>
              <w:left w:val="nil"/>
              <w:bottom w:val="single" w:sz="4" w:space="0" w:color="auto"/>
              <w:right w:val="single" w:sz="4" w:space="0" w:color="auto"/>
            </w:tcBorders>
            <w:shd w:val="clear" w:color="auto" w:fill="auto"/>
            <w:noWrap/>
            <w:vAlign w:val="bottom"/>
            <w:hideMark/>
          </w:tcPr>
          <w:p w14:paraId="488A4B1E"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1,017,907</w:t>
            </w:r>
          </w:p>
        </w:tc>
        <w:tc>
          <w:tcPr>
            <w:tcW w:w="962" w:type="pct"/>
            <w:tcBorders>
              <w:top w:val="nil"/>
              <w:left w:val="nil"/>
              <w:bottom w:val="single" w:sz="4" w:space="0" w:color="auto"/>
              <w:right w:val="single" w:sz="4" w:space="0" w:color="auto"/>
            </w:tcBorders>
            <w:shd w:val="clear" w:color="auto" w:fill="auto"/>
            <w:noWrap/>
            <w:vAlign w:val="bottom"/>
            <w:hideMark/>
          </w:tcPr>
          <w:p w14:paraId="7C709D94"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1,495,861</w:t>
            </w:r>
          </w:p>
        </w:tc>
      </w:tr>
      <w:tr w:rsidR="009B4DDC" w:rsidRPr="00191ACB" w14:paraId="6FA59DAD" w14:textId="77777777" w:rsidTr="00417092">
        <w:trPr>
          <w:trHeight w:val="300"/>
        </w:trPr>
        <w:tc>
          <w:tcPr>
            <w:tcW w:w="2980" w:type="pct"/>
            <w:tcBorders>
              <w:top w:val="nil"/>
              <w:left w:val="single" w:sz="4" w:space="0" w:color="auto"/>
              <w:bottom w:val="single" w:sz="4" w:space="0" w:color="auto"/>
              <w:right w:val="single" w:sz="4" w:space="0" w:color="auto"/>
            </w:tcBorders>
            <w:shd w:val="clear" w:color="auto" w:fill="auto"/>
            <w:noWrap/>
            <w:vAlign w:val="bottom"/>
            <w:hideMark/>
          </w:tcPr>
          <w:p w14:paraId="2AB97CBE"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Electrified households</w:t>
            </w:r>
          </w:p>
        </w:tc>
        <w:tc>
          <w:tcPr>
            <w:tcW w:w="1058" w:type="pct"/>
            <w:tcBorders>
              <w:top w:val="nil"/>
              <w:left w:val="nil"/>
              <w:bottom w:val="single" w:sz="4" w:space="0" w:color="auto"/>
              <w:right w:val="single" w:sz="4" w:space="0" w:color="auto"/>
            </w:tcBorders>
            <w:shd w:val="clear" w:color="auto" w:fill="auto"/>
            <w:noWrap/>
            <w:vAlign w:val="bottom"/>
            <w:hideMark/>
          </w:tcPr>
          <w:p w14:paraId="28F34A1C"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458,058</w:t>
            </w:r>
          </w:p>
        </w:tc>
        <w:tc>
          <w:tcPr>
            <w:tcW w:w="962" w:type="pct"/>
            <w:tcBorders>
              <w:top w:val="nil"/>
              <w:left w:val="nil"/>
              <w:bottom w:val="single" w:sz="4" w:space="0" w:color="auto"/>
              <w:right w:val="single" w:sz="4" w:space="0" w:color="auto"/>
            </w:tcBorders>
            <w:shd w:val="clear" w:color="auto" w:fill="auto"/>
            <w:noWrap/>
            <w:vAlign w:val="bottom"/>
            <w:hideMark/>
          </w:tcPr>
          <w:p w14:paraId="186ED9C8"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46,371</w:t>
            </w:r>
          </w:p>
        </w:tc>
      </w:tr>
      <w:tr w:rsidR="009B4DDC" w:rsidRPr="00191ACB" w14:paraId="0E4E5AF0" w14:textId="77777777" w:rsidTr="00417092">
        <w:trPr>
          <w:trHeight w:val="300"/>
        </w:trPr>
        <w:tc>
          <w:tcPr>
            <w:tcW w:w="2980" w:type="pct"/>
            <w:tcBorders>
              <w:top w:val="nil"/>
              <w:left w:val="single" w:sz="4" w:space="0" w:color="auto"/>
              <w:bottom w:val="single" w:sz="4" w:space="0" w:color="auto"/>
              <w:right w:val="single" w:sz="4" w:space="0" w:color="auto"/>
            </w:tcBorders>
            <w:shd w:val="clear" w:color="auto" w:fill="auto"/>
            <w:noWrap/>
            <w:vAlign w:val="bottom"/>
            <w:hideMark/>
          </w:tcPr>
          <w:p w14:paraId="3F9EF5C0"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Fuel Wood Usage (%)</w:t>
            </w:r>
          </w:p>
        </w:tc>
        <w:tc>
          <w:tcPr>
            <w:tcW w:w="1058" w:type="pct"/>
            <w:tcBorders>
              <w:top w:val="nil"/>
              <w:left w:val="nil"/>
              <w:bottom w:val="single" w:sz="4" w:space="0" w:color="auto"/>
              <w:right w:val="single" w:sz="4" w:space="0" w:color="auto"/>
            </w:tcBorders>
            <w:shd w:val="clear" w:color="auto" w:fill="auto"/>
            <w:noWrap/>
            <w:vAlign w:val="bottom"/>
            <w:hideMark/>
          </w:tcPr>
          <w:p w14:paraId="5046A2FC"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w:t>
            </w:r>
          </w:p>
        </w:tc>
        <w:tc>
          <w:tcPr>
            <w:tcW w:w="962" w:type="pct"/>
            <w:tcBorders>
              <w:top w:val="nil"/>
              <w:left w:val="nil"/>
              <w:bottom w:val="single" w:sz="4" w:space="0" w:color="auto"/>
              <w:right w:val="single" w:sz="4" w:space="0" w:color="auto"/>
            </w:tcBorders>
            <w:shd w:val="clear" w:color="auto" w:fill="auto"/>
            <w:noWrap/>
            <w:vAlign w:val="bottom"/>
            <w:hideMark/>
          </w:tcPr>
          <w:p w14:paraId="40E78E64"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84.5</w:t>
            </w:r>
          </w:p>
        </w:tc>
      </w:tr>
      <w:tr w:rsidR="009B4DDC" w:rsidRPr="00191ACB" w14:paraId="0A414BE2" w14:textId="77777777" w:rsidTr="00417092">
        <w:trPr>
          <w:trHeight w:val="300"/>
        </w:trPr>
        <w:tc>
          <w:tcPr>
            <w:tcW w:w="2980" w:type="pct"/>
            <w:tcBorders>
              <w:top w:val="nil"/>
              <w:left w:val="single" w:sz="4" w:space="0" w:color="auto"/>
              <w:bottom w:val="single" w:sz="4" w:space="0" w:color="auto"/>
              <w:right w:val="single" w:sz="4" w:space="0" w:color="auto"/>
            </w:tcBorders>
            <w:shd w:val="clear" w:color="auto" w:fill="auto"/>
            <w:noWrap/>
            <w:vAlign w:val="bottom"/>
            <w:hideMark/>
          </w:tcPr>
          <w:p w14:paraId="6F035D09"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Charcoal Usage (%)</w:t>
            </w:r>
          </w:p>
        </w:tc>
        <w:tc>
          <w:tcPr>
            <w:tcW w:w="1058" w:type="pct"/>
            <w:tcBorders>
              <w:top w:val="nil"/>
              <w:left w:val="nil"/>
              <w:bottom w:val="single" w:sz="4" w:space="0" w:color="auto"/>
              <w:right w:val="single" w:sz="4" w:space="0" w:color="auto"/>
            </w:tcBorders>
            <w:shd w:val="clear" w:color="auto" w:fill="auto"/>
            <w:noWrap/>
            <w:vAlign w:val="bottom"/>
            <w:hideMark/>
          </w:tcPr>
          <w:p w14:paraId="6F1516C8"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59.1</w:t>
            </w:r>
          </w:p>
        </w:tc>
        <w:tc>
          <w:tcPr>
            <w:tcW w:w="962" w:type="pct"/>
            <w:tcBorders>
              <w:top w:val="nil"/>
              <w:left w:val="nil"/>
              <w:bottom w:val="single" w:sz="4" w:space="0" w:color="auto"/>
              <w:right w:val="single" w:sz="4" w:space="0" w:color="auto"/>
            </w:tcBorders>
            <w:shd w:val="clear" w:color="auto" w:fill="auto"/>
            <w:noWrap/>
            <w:vAlign w:val="bottom"/>
            <w:hideMark/>
          </w:tcPr>
          <w:p w14:paraId="1717E1E2"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13.2</w:t>
            </w:r>
          </w:p>
        </w:tc>
      </w:tr>
      <w:tr w:rsidR="009B4DDC" w:rsidRPr="00191ACB" w14:paraId="5424B83E" w14:textId="77777777" w:rsidTr="00417092">
        <w:trPr>
          <w:trHeight w:val="300"/>
        </w:trPr>
        <w:tc>
          <w:tcPr>
            <w:tcW w:w="2980" w:type="pct"/>
            <w:tcBorders>
              <w:top w:val="nil"/>
              <w:left w:val="single" w:sz="4" w:space="0" w:color="auto"/>
              <w:bottom w:val="single" w:sz="4" w:space="0" w:color="auto"/>
              <w:right w:val="single" w:sz="4" w:space="0" w:color="auto"/>
            </w:tcBorders>
            <w:shd w:val="clear" w:color="auto" w:fill="auto"/>
            <w:noWrap/>
            <w:vAlign w:val="bottom"/>
            <w:hideMark/>
          </w:tcPr>
          <w:p w14:paraId="0608DA19"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Intensity Fuel wood (kg per capita per year)</w:t>
            </w:r>
          </w:p>
        </w:tc>
        <w:tc>
          <w:tcPr>
            <w:tcW w:w="1058" w:type="pct"/>
            <w:tcBorders>
              <w:top w:val="nil"/>
              <w:left w:val="nil"/>
              <w:bottom w:val="single" w:sz="4" w:space="0" w:color="auto"/>
              <w:right w:val="single" w:sz="4" w:space="0" w:color="auto"/>
            </w:tcBorders>
            <w:shd w:val="clear" w:color="auto" w:fill="auto"/>
            <w:noWrap/>
            <w:vAlign w:val="bottom"/>
            <w:hideMark/>
          </w:tcPr>
          <w:p w14:paraId="1CA39F04"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12.6</w:t>
            </w:r>
          </w:p>
        </w:tc>
        <w:tc>
          <w:tcPr>
            <w:tcW w:w="962" w:type="pct"/>
            <w:tcBorders>
              <w:top w:val="nil"/>
              <w:left w:val="nil"/>
              <w:bottom w:val="single" w:sz="4" w:space="0" w:color="auto"/>
              <w:right w:val="single" w:sz="4" w:space="0" w:color="auto"/>
            </w:tcBorders>
            <w:shd w:val="clear" w:color="auto" w:fill="auto"/>
            <w:noWrap/>
            <w:vAlign w:val="bottom"/>
            <w:hideMark/>
          </w:tcPr>
          <w:p w14:paraId="4C181D31"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414.8</w:t>
            </w:r>
          </w:p>
        </w:tc>
      </w:tr>
      <w:tr w:rsidR="009B4DDC" w:rsidRPr="00191ACB" w14:paraId="4BCDBEC8" w14:textId="77777777" w:rsidTr="00417092">
        <w:trPr>
          <w:trHeight w:val="300"/>
        </w:trPr>
        <w:tc>
          <w:tcPr>
            <w:tcW w:w="2980" w:type="pct"/>
            <w:tcBorders>
              <w:top w:val="nil"/>
              <w:left w:val="single" w:sz="4" w:space="0" w:color="auto"/>
              <w:bottom w:val="single" w:sz="4" w:space="0" w:color="auto"/>
              <w:right w:val="single" w:sz="4" w:space="0" w:color="auto"/>
            </w:tcBorders>
            <w:shd w:val="clear" w:color="auto" w:fill="auto"/>
            <w:noWrap/>
            <w:vAlign w:val="bottom"/>
            <w:hideMark/>
          </w:tcPr>
          <w:p w14:paraId="1FBCFB64" w14:textId="44E579A8"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Intensity Charcoal</w:t>
            </w:r>
            <w:r w:rsidR="00B2278F" w:rsidRPr="00191ACB">
              <w:rPr>
                <w:rFonts w:ascii="Times New Roman" w:eastAsia="Times New Roman" w:hAnsi="Times New Roman" w:cs="Times New Roman"/>
                <w:color w:val="000000" w:themeColor="text1"/>
                <w:sz w:val="24"/>
                <w:szCs w:val="24"/>
              </w:rPr>
              <w:t xml:space="preserve"> </w:t>
            </w:r>
            <w:r w:rsidRPr="00191ACB">
              <w:rPr>
                <w:rFonts w:ascii="Times New Roman" w:eastAsia="Times New Roman" w:hAnsi="Times New Roman" w:cs="Times New Roman"/>
                <w:color w:val="000000" w:themeColor="text1"/>
                <w:sz w:val="24"/>
                <w:szCs w:val="24"/>
              </w:rPr>
              <w:t>(kg per capita per year)</w:t>
            </w:r>
          </w:p>
        </w:tc>
        <w:tc>
          <w:tcPr>
            <w:tcW w:w="1058" w:type="pct"/>
            <w:tcBorders>
              <w:top w:val="nil"/>
              <w:left w:val="nil"/>
              <w:bottom w:val="single" w:sz="4" w:space="0" w:color="auto"/>
              <w:right w:val="single" w:sz="4" w:space="0" w:color="auto"/>
            </w:tcBorders>
            <w:shd w:val="clear" w:color="auto" w:fill="auto"/>
            <w:noWrap/>
            <w:vAlign w:val="bottom"/>
            <w:hideMark/>
          </w:tcPr>
          <w:p w14:paraId="3004EF24"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152.6</w:t>
            </w:r>
          </w:p>
        </w:tc>
        <w:tc>
          <w:tcPr>
            <w:tcW w:w="962" w:type="pct"/>
            <w:tcBorders>
              <w:top w:val="nil"/>
              <w:left w:val="nil"/>
              <w:bottom w:val="single" w:sz="4" w:space="0" w:color="auto"/>
              <w:right w:val="single" w:sz="4" w:space="0" w:color="auto"/>
            </w:tcBorders>
            <w:shd w:val="clear" w:color="auto" w:fill="auto"/>
            <w:noWrap/>
            <w:vAlign w:val="bottom"/>
            <w:hideMark/>
          </w:tcPr>
          <w:p w14:paraId="4856FA51" w14:textId="77777777" w:rsidR="009B4DDC" w:rsidRPr="00191ACB" w:rsidRDefault="009B4DDC" w:rsidP="00417092">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68.7</w:t>
            </w:r>
          </w:p>
        </w:tc>
      </w:tr>
    </w:tbl>
    <w:p w14:paraId="2F1CD1D4" w14:textId="547D88D2" w:rsidR="009B4DDC" w:rsidRPr="00191ACB" w:rsidRDefault="00B2278F" w:rsidP="00245464">
      <w:pPr>
        <w:rPr>
          <w:rFonts w:ascii="Times New Roman" w:eastAsia="Calibri" w:hAnsi="Times New Roman" w:cs="Times New Roman"/>
          <w:color w:val="000000" w:themeColor="text1"/>
          <w:sz w:val="24"/>
          <w:szCs w:val="24"/>
        </w:rPr>
        <w:sectPr w:rsidR="009B4DDC" w:rsidRPr="00191ACB" w:rsidSect="00B2278F">
          <w:pgSz w:w="11909" w:h="16834" w:code="9"/>
          <w:pgMar w:top="862" w:right="1440" w:bottom="862" w:left="720" w:header="720" w:footer="720" w:gutter="0"/>
          <w:cols w:space="720"/>
          <w:docGrid w:linePitch="360"/>
        </w:sectPr>
      </w:pPr>
      <w:r w:rsidRPr="00191ACB">
        <w:rPr>
          <w:rFonts w:ascii="Times New Roman" w:eastAsia="Calibri" w:hAnsi="Times New Roman" w:cs="Times New Roman"/>
          <w:color w:val="000000" w:themeColor="text1"/>
          <w:sz w:val="24"/>
          <w:szCs w:val="24"/>
        </w:rPr>
        <w:t>Source: Zamstats, 2015</w:t>
      </w:r>
    </w:p>
    <w:p w14:paraId="7FAA7D51" w14:textId="248A0AFA" w:rsidR="00245464" w:rsidRPr="00191ACB" w:rsidRDefault="00245464" w:rsidP="002A4DFC">
      <w:pPr>
        <w:spacing w:after="120" w:line="276" w:lineRule="auto"/>
        <w:jc w:val="both"/>
        <w:rPr>
          <w:rFonts w:ascii="Times New Roman" w:eastAsia="Calibri" w:hAnsi="Times New Roman" w:cs="Times New Roman"/>
          <w:color w:val="000000" w:themeColor="text1"/>
          <w:sz w:val="24"/>
          <w:szCs w:val="24"/>
        </w:rPr>
      </w:pPr>
      <w:bookmarkStart w:id="378" w:name="_Toc11666670"/>
      <w:bookmarkStart w:id="379" w:name="_Toc12888103"/>
      <w:bookmarkStart w:id="380" w:name="_Toc12888182"/>
      <w:r w:rsidRPr="00191ACB">
        <w:rPr>
          <w:rFonts w:ascii="Times New Roman" w:eastAsia="Calibri" w:hAnsi="Times New Roman" w:cs="Times New Roman"/>
          <w:color w:val="000000" w:themeColor="text1"/>
          <w:sz w:val="24"/>
          <w:szCs w:val="24"/>
        </w:rPr>
        <w:lastRenderedPageBreak/>
        <w:t xml:space="preserve">Table </w:t>
      </w:r>
      <w:r w:rsidR="00D7105F" w:rsidRPr="00191ACB">
        <w:rPr>
          <w:rFonts w:ascii="Times New Roman" w:eastAsia="Calibri" w:hAnsi="Times New Roman" w:cs="Times New Roman"/>
          <w:color w:val="000000" w:themeColor="text1"/>
          <w:sz w:val="24"/>
          <w:szCs w:val="24"/>
        </w:rPr>
        <w:t>4.13</w:t>
      </w:r>
      <w:r w:rsidRPr="00191ACB">
        <w:rPr>
          <w:rFonts w:ascii="Times New Roman" w:eastAsia="Calibri" w:hAnsi="Times New Roman" w:cs="Times New Roman"/>
          <w:color w:val="000000" w:themeColor="text1"/>
          <w:sz w:val="24"/>
          <w:szCs w:val="24"/>
        </w:rPr>
        <w:t xml:space="preserve"> provides parameters on average daily wood consumption and charcoal consumption, Net Calorific Value (NCV), efficiency for conventional stove, efficiency for efficient cook-stoves and Emission factors for carbon dioxide, methane and nitrous oxide.</w:t>
      </w:r>
    </w:p>
    <w:p w14:paraId="4FA5E747" w14:textId="77777777" w:rsidR="00C319A4" w:rsidRPr="00191ACB" w:rsidRDefault="00C319A4" w:rsidP="005E626A">
      <w:pPr>
        <w:spacing w:after="120" w:line="240" w:lineRule="auto"/>
        <w:jc w:val="both"/>
        <w:rPr>
          <w:rFonts w:ascii="Times New Roman" w:eastAsia="Calibri" w:hAnsi="Times New Roman" w:cs="Times New Roman"/>
          <w:color w:val="000000" w:themeColor="text1"/>
          <w:sz w:val="24"/>
          <w:szCs w:val="24"/>
        </w:rPr>
      </w:pPr>
    </w:p>
    <w:p w14:paraId="4A967B52" w14:textId="352D2094" w:rsidR="00245464" w:rsidRPr="00191ACB" w:rsidRDefault="00C319A4" w:rsidP="00C319A4">
      <w:pPr>
        <w:pStyle w:val="Caption"/>
        <w:rPr>
          <w:rFonts w:eastAsia="Calibri"/>
          <w:color w:val="000000" w:themeColor="text1"/>
          <w:sz w:val="24"/>
          <w:szCs w:val="24"/>
        </w:rPr>
      </w:pPr>
      <w:bookmarkStart w:id="381" w:name="_Toc56583789"/>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13</w:t>
      </w:r>
      <w:r w:rsidR="00875942">
        <w:rPr>
          <w:sz w:val="24"/>
          <w:szCs w:val="24"/>
        </w:rPr>
        <w:fldChar w:fldCharType="end"/>
      </w:r>
      <w:r w:rsidRPr="00191ACB">
        <w:rPr>
          <w:sz w:val="24"/>
          <w:szCs w:val="24"/>
        </w:rPr>
        <w:t>:Additional parameters and assumption</w:t>
      </w:r>
      <w:bookmarkEnd w:id="381"/>
    </w:p>
    <w:tbl>
      <w:tblPr>
        <w:tblW w:w="7520" w:type="dxa"/>
        <w:tblLook w:val="04A0" w:firstRow="1" w:lastRow="0" w:firstColumn="1" w:lastColumn="0" w:noHBand="0" w:noVBand="1"/>
      </w:tblPr>
      <w:tblGrid>
        <w:gridCol w:w="3600"/>
        <w:gridCol w:w="1960"/>
        <w:gridCol w:w="1960"/>
      </w:tblGrid>
      <w:tr w:rsidR="00245464" w:rsidRPr="00191ACB" w14:paraId="194F8EE7" w14:textId="77777777" w:rsidTr="00A91A48">
        <w:trPr>
          <w:trHeight w:val="300"/>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5CC0A"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1B71478B"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Fuel wood</w:t>
            </w:r>
          </w:p>
        </w:tc>
        <w:tc>
          <w:tcPr>
            <w:tcW w:w="1960" w:type="dxa"/>
            <w:tcBorders>
              <w:top w:val="single" w:sz="4" w:space="0" w:color="auto"/>
              <w:left w:val="nil"/>
              <w:bottom w:val="single" w:sz="4" w:space="0" w:color="auto"/>
              <w:right w:val="single" w:sz="4" w:space="0" w:color="auto"/>
            </w:tcBorders>
            <w:shd w:val="clear" w:color="auto" w:fill="auto"/>
            <w:noWrap/>
            <w:vAlign w:val="bottom"/>
            <w:hideMark/>
          </w:tcPr>
          <w:p w14:paraId="63D263E7"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Charcoal</w:t>
            </w:r>
          </w:p>
        </w:tc>
      </w:tr>
      <w:tr w:rsidR="00245464" w:rsidRPr="00191ACB" w14:paraId="4486B261" w14:textId="77777777" w:rsidTr="00A91A48">
        <w:trPr>
          <w:trHeight w:val="300"/>
        </w:trPr>
        <w:tc>
          <w:tcPr>
            <w:tcW w:w="3600" w:type="dxa"/>
            <w:tcBorders>
              <w:top w:val="nil"/>
              <w:left w:val="single" w:sz="4" w:space="0" w:color="auto"/>
              <w:bottom w:val="single" w:sz="4" w:space="0" w:color="auto"/>
              <w:right w:val="single" w:sz="4" w:space="0" w:color="auto"/>
            </w:tcBorders>
            <w:shd w:val="clear" w:color="auto" w:fill="auto"/>
            <w:noWrap/>
            <w:vAlign w:val="bottom"/>
            <w:hideMark/>
          </w:tcPr>
          <w:p w14:paraId="1C2A02AC"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Average daily wood consumption (kg)</w:t>
            </w:r>
          </w:p>
        </w:tc>
        <w:tc>
          <w:tcPr>
            <w:tcW w:w="1960" w:type="dxa"/>
            <w:tcBorders>
              <w:top w:val="nil"/>
              <w:left w:val="nil"/>
              <w:bottom w:val="single" w:sz="4" w:space="0" w:color="auto"/>
              <w:right w:val="single" w:sz="4" w:space="0" w:color="auto"/>
            </w:tcBorders>
            <w:shd w:val="clear" w:color="auto" w:fill="auto"/>
            <w:noWrap/>
            <w:vAlign w:val="bottom"/>
            <w:hideMark/>
          </w:tcPr>
          <w:p w14:paraId="12B5304B"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11.4</w:t>
            </w:r>
          </w:p>
        </w:tc>
        <w:tc>
          <w:tcPr>
            <w:tcW w:w="1960" w:type="dxa"/>
            <w:tcBorders>
              <w:top w:val="nil"/>
              <w:left w:val="nil"/>
              <w:bottom w:val="single" w:sz="4" w:space="0" w:color="auto"/>
              <w:right w:val="single" w:sz="4" w:space="0" w:color="auto"/>
            </w:tcBorders>
            <w:shd w:val="clear" w:color="auto" w:fill="auto"/>
            <w:noWrap/>
            <w:vAlign w:val="bottom"/>
            <w:hideMark/>
          </w:tcPr>
          <w:p w14:paraId="4C0A5C60"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3.4</w:t>
            </w:r>
          </w:p>
        </w:tc>
      </w:tr>
      <w:tr w:rsidR="00245464" w:rsidRPr="00191ACB" w14:paraId="3197F371" w14:textId="77777777" w:rsidTr="00A91A48">
        <w:trPr>
          <w:trHeight w:val="300"/>
        </w:trPr>
        <w:tc>
          <w:tcPr>
            <w:tcW w:w="3600" w:type="dxa"/>
            <w:tcBorders>
              <w:top w:val="nil"/>
              <w:left w:val="single" w:sz="4" w:space="0" w:color="auto"/>
              <w:bottom w:val="nil"/>
              <w:right w:val="single" w:sz="4" w:space="0" w:color="auto"/>
            </w:tcBorders>
            <w:shd w:val="clear" w:color="auto" w:fill="auto"/>
            <w:noWrap/>
            <w:vAlign w:val="bottom"/>
            <w:hideMark/>
          </w:tcPr>
          <w:p w14:paraId="7E761577"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Net calorific value (MJ/kg)</w:t>
            </w:r>
          </w:p>
        </w:tc>
        <w:tc>
          <w:tcPr>
            <w:tcW w:w="1960" w:type="dxa"/>
            <w:tcBorders>
              <w:top w:val="nil"/>
              <w:left w:val="nil"/>
              <w:bottom w:val="nil"/>
              <w:right w:val="single" w:sz="4" w:space="0" w:color="auto"/>
            </w:tcBorders>
            <w:shd w:val="clear" w:color="auto" w:fill="auto"/>
            <w:noWrap/>
            <w:vAlign w:val="bottom"/>
            <w:hideMark/>
          </w:tcPr>
          <w:p w14:paraId="13227B75"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15.6</w:t>
            </w:r>
          </w:p>
        </w:tc>
        <w:tc>
          <w:tcPr>
            <w:tcW w:w="1960" w:type="dxa"/>
            <w:tcBorders>
              <w:top w:val="nil"/>
              <w:left w:val="nil"/>
              <w:bottom w:val="nil"/>
              <w:right w:val="single" w:sz="4" w:space="0" w:color="auto"/>
            </w:tcBorders>
            <w:shd w:val="clear" w:color="auto" w:fill="auto"/>
            <w:noWrap/>
            <w:vAlign w:val="bottom"/>
            <w:hideMark/>
          </w:tcPr>
          <w:p w14:paraId="2CE6E97C"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29.5</w:t>
            </w:r>
          </w:p>
        </w:tc>
      </w:tr>
      <w:tr w:rsidR="00245464" w:rsidRPr="00191ACB" w14:paraId="4D50993F" w14:textId="77777777" w:rsidTr="00A91A48">
        <w:trPr>
          <w:trHeight w:val="300"/>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631523"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Efficiency of conventional stove (%)</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4D2EA672"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0.1</w:t>
            </w:r>
          </w:p>
        </w:tc>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B44F3D"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0.1</w:t>
            </w:r>
          </w:p>
        </w:tc>
      </w:tr>
      <w:tr w:rsidR="00245464" w:rsidRPr="00191ACB" w14:paraId="21411FBA" w14:textId="77777777" w:rsidTr="00A91A48">
        <w:trPr>
          <w:trHeight w:val="300"/>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13E7AC"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Efficiency of efficient cook-stoves (%)</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1EAB6689"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0.45</w:t>
            </w:r>
          </w:p>
        </w:tc>
        <w:tc>
          <w:tcPr>
            <w:tcW w:w="1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896053"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0.45</w:t>
            </w:r>
          </w:p>
        </w:tc>
      </w:tr>
      <w:tr w:rsidR="00245464" w:rsidRPr="00191ACB" w14:paraId="01198784" w14:textId="77777777" w:rsidTr="00A91A48">
        <w:trPr>
          <w:trHeight w:val="300"/>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6AF8A9"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Emission factor (CO2 t C /TJ)</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54D26048"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29.9</w:t>
            </w:r>
          </w:p>
        </w:tc>
        <w:tc>
          <w:tcPr>
            <w:tcW w:w="1960" w:type="dxa"/>
            <w:tcBorders>
              <w:top w:val="single" w:sz="4" w:space="0" w:color="auto"/>
              <w:left w:val="nil"/>
              <w:bottom w:val="single" w:sz="4" w:space="0" w:color="auto"/>
              <w:right w:val="single" w:sz="4" w:space="0" w:color="auto"/>
            </w:tcBorders>
            <w:shd w:val="clear" w:color="auto" w:fill="auto"/>
            <w:noWrap/>
            <w:vAlign w:val="bottom"/>
          </w:tcPr>
          <w:p w14:paraId="25C491C9"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29.9</w:t>
            </w:r>
          </w:p>
        </w:tc>
      </w:tr>
      <w:tr w:rsidR="00245464" w:rsidRPr="00191ACB" w14:paraId="26C34F14" w14:textId="77777777" w:rsidTr="00A91A48">
        <w:trPr>
          <w:trHeight w:val="134"/>
        </w:trPr>
        <w:tc>
          <w:tcPr>
            <w:tcW w:w="3600" w:type="dxa"/>
            <w:tcBorders>
              <w:top w:val="nil"/>
              <w:left w:val="single" w:sz="4" w:space="0" w:color="auto"/>
              <w:bottom w:val="single" w:sz="4" w:space="0" w:color="auto"/>
              <w:right w:val="single" w:sz="4" w:space="0" w:color="auto"/>
            </w:tcBorders>
            <w:shd w:val="clear" w:color="auto" w:fill="auto"/>
            <w:noWrap/>
            <w:vAlign w:val="bottom"/>
          </w:tcPr>
          <w:p w14:paraId="4B708EF8"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Emission factor (CH 4 kg/TJ)</w:t>
            </w:r>
          </w:p>
        </w:tc>
        <w:tc>
          <w:tcPr>
            <w:tcW w:w="1960" w:type="dxa"/>
            <w:tcBorders>
              <w:top w:val="nil"/>
              <w:left w:val="nil"/>
              <w:bottom w:val="single" w:sz="4" w:space="0" w:color="auto"/>
              <w:right w:val="single" w:sz="4" w:space="0" w:color="auto"/>
            </w:tcBorders>
            <w:shd w:val="clear" w:color="auto" w:fill="auto"/>
            <w:noWrap/>
            <w:vAlign w:val="bottom"/>
          </w:tcPr>
          <w:p w14:paraId="3829ACE4"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200</w:t>
            </w:r>
          </w:p>
        </w:tc>
        <w:tc>
          <w:tcPr>
            <w:tcW w:w="1960" w:type="dxa"/>
            <w:tcBorders>
              <w:top w:val="nil"/>
              <w:left w:val="nil"/>
              <w:bottom w:val="single" w:sz="4" w:space="0" w:color="auto"/>
              <w:right w:val="single" w:sz="4" w:space="0" w:color="auto"/>
            </w:tcBorders>
            <w:shd w:val="clear" w:color="auto" w:fill="auto"/>
            <w:noWrap/>
            <w:vAlign w:val="bottom"/>
          </w:tcPr>
          <w:p w14:paraId="31DA823E"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200</w:t>
            </w:r>
          </w:p>
        </w:tc>
      </w:tr>
      <w:tr w:rsidR="00245464" w:rsidRPr="00191ACB" w14:paraId="4AC02459" w14:textId="77777777" w:rsidTr="00A91A48">
        <w:trPr>
          <w:trHeight w:val="268"/>
        </w:trPr>
        <w:tc>
          <w:tcPr>
            <w:tcW w:w="3600" w:type="dxa"/>
            <w:tcBorders>
              <w:top w:val="nil"/>
              <w:left w:val="single" w:sz="4" w:space="0" w:color="auto"/>
              <w:bottom w:val="single" w:sz="4" w:space="0" w:color="auto"/>
              <w:right w:val="single" w:sz="4" w:space="0" w:color="auto"/>
            </w:tcBorders>
            <w:shd w:val="clear" w:color="auto" w:fill="auto"/>
            <w:noWrap/>
            <w:vAlign w:val="bottom"/>
          </w:tcPr>
          <w:p w14:paraId="2DBD81D7"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Emission factor (N2O EF = 4 kg/TJ)</w:t>
            </w:r>
          </w:p>
        </w:tc>
        <w:tc>
          <w:tcPr>
            <w:tcW w:w="1960" w:type="dxa"/>
            <w:tcBorders>
              <w:top w:val="nil"/>
              <w:left w:val="nil"/>
              <w:bottom w:val="single" w:sz="4" w:space="0" w:color="auto"/>
              <w:right w:val="single" w:sz="4" w:space="0" w:color="auto"/>
            </w:tcBorders>
            <w:shd w:val="clear" w:color="auto" w:fill="auto"/>
            <w:noWrap/>
            <w:vAlign w:val="bottom"/>
          </w:tcPr>
          <w:p w14:paraId="5A2AEB32"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w:t>
            </w:r>
          </w:p>
        </w:tc>
        <w:tc>
          <w:tcPr>
            <w:tcW w:w="1960" w:type="dxa"/>
            <w:tcBorders>
              <w:top w:val="nil"/>
              <w:left w:val="nil"/>
              <w:bottom w:val="single" w:sz="4" w:space="0" w:color="auto"/>
              <w:right w:val="single" w:sz="4" w:space="0" w:color="auto"/>
            </w:tcBorders>
            <w:shd w:val="clear" w:color="auto" w:fill="auto"/>
            <w:noWrap/>
            <w:vAlign w:val="bottom"/>
          </w:tcPr>
          <w:p w14:paraId="3B8DD20E"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w:t>
            </w:r>
          </w:p>
        </w:tc>
      </w:tr>
    </w:tbl>
    <w:p w14:paraId="483F4C30" w14:textId="77777777" w:rsidR="00245464" w:rsidRPr="00191ACB" w:rsidRDefault="00245464" w:rsidP="00245464">
      <w:pPr>
        <w:spacing w:after="0" w:line="240" w:lineRule="auto"/>
        <w:rPr>
          <w:rFonts w:ascii="Times New Roman" w:eastAsia="Calibri" w:hAnsi="Times New Roman" w:cs="Times New Roman"/>
          <w:color w:val="000000" w:themeColor="text1"/>
          <w:sz w:val="24"/>
          <w:szCs w:val="24"/>
        </w:rPr>
      </w:pPr>
    </w:p>
    <w:p w14:paraId="3F5AAFD2" w14:textId="6A4BE72E" w:rsidR="00245464" w:rsidRPr="00191ACB" w:rsidRDefault="00C67BFC"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Table </w:t>
      </w:r>
      <w:r w:rsidR="00D7105F" w:rsidRPr="00191ACB">
        <w:rPr>
          <w:rFonts w:ascii="Times New Roman" w:eastAsia="Calibri" w:hAnsi="Times New Roman" w:cs="Times New Roman"/>
          <w:color w:val="000000" w:themeColor="text1"/>
          <w:sz w:val="24"/>
          <w:szCs w:val="24"/>
        </w:rPr>
        <w:t>4.14</w:t>
      </w:r>
      <w:r w:rsidR="00245464" w:rsidRPr="00191ACB">
        <w:rPr>
          <w:rFonts w:ascii="Times New Roman" w:eastAsia="Calibri" w:hAnsi="Times New Roman" w:cs="Times New Roman"/>
          <w:color w:val="000000" w:themeColor="text1"/>
          <w:sz w:val="24"/>
          <w:szCs w:val="24"/>
        </w:rPr>
        <w:t xml:space="preserve"> provides projected number of household</w:t>
      </w:r>
      <w:r w:rsidR="00B2278F" w:rsidRPr="00191ACB">
        <w:rPr>
          <w:rFonts w:ascii="Times New Roman" w:eastAsia="Calibri" w:hAnsi="Times New Roman" w:cs="Times New Roman"/>
          <w:color w:val="000000" w:themeColor="text1"/>
          <w:sz w:val="24"/>
          <w:szCs w:val="24"/>
        </w:rPr>
        <w:t>s</w:t>
      </w:r>
      <w:r w:rsidR="00245464" w:rsidRPr="00191ACB">
        <w:rPr>
          <w:rFonts w:ascii="Times New Roman" w:eastAsia="Calibri" w:hAnsi="Times New Roman" w:cs="Times New Roman"/>
          <w:color w:val="000000" w:themeColor="text1"/>
          <w:sz w:val="24"/>
          <w:szCs w:val="24"/>
        </w:rPr>
        <w:t xml:space="preserve"> for Zambia based on historical growth rates. </w:t>
      </w:r>
    </w:p>
    <w:p w14:paraId="1517D1B9" w14:textId="7411024E" w:rsidR="00245464" w:rsidRPr="00191ACB" w:rsidRDefault="00C319A4" w:rsidP="00C319A4">
      <w:pPr>
        <w:pStyle w:val="Caption"/>
        <w:rPr>
          <w:rFonts w:eastAsia="Calibri"/>
          <w:color w:val="000000" w:themeColor="text1"/>
          <w:sz w:val="24"/>
          <w:szCs w:val="24"/>
        </w:rPr>
      </w:pPr>
      <w:bookmarkStart w:id="382" w:name="_Toc56583790"/>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14</w:t>
      </w:r>
      <w:r w:rsidR="00875942">
        <w:rPr>
          <w:sz w:val="24"/>
          <w:szCs w:val="24"/>
        </w:rPr>
        <w:fldChar w:fldCharType="end"/>
      </w:r>
      <w:r w:rsidRPr="00191ACB">
        <w:rPr>
          <w:sz w:val="24"/>
          <w:szCs w:val="24"/>
        </w:rPr>
        <w:t>: Projected number of households</w:t>
      </w:r>
      <w:bookmarkEnd w:id="382"/>
    </w:p>
    <w:tbl>
      <w:tblPr>
        <w:tblW w:w="3870" w:type="dxa"/>
        <w:tblInd w:w="-5" w:type="dxa"/>
        <w:tblLook w:val="04A0" w:firstRow="1" w:lastRow="0" w:firstColumn="1" w:lastColumn="0" w:noHBand="0" w:noVBand="1"/>
      </w:tblPr>
      <w:tblGrid>
        <w:gridCol w:w="1530"/>
        <w:gridCol w:w="2340"/>
      </w:tblGrid>
      <w:tr w:rsidR="00245464" w:rsidRPr="00191ACB" w14:paraId="7AA458BA" w14:textId="77777777" w:rsidTr="00A91A48">
        <w:trPr>
          <w:trHeight w:val="184"/>
        </w:trPr>
        <w:tc>
          <w:tcPr>
            <w:tcW w:w="15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7628"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Year</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14:paraId="1122AF1B"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House holds</w:t>
            </w:r>
          </w:p>
        </w:tc>
      </w:tr>
      <w:tr w:rsidR="00245464" w:rsidRPr="00191ACB" w14:paraId="7579D076" w14:textId="77777777" w:rsidTr="00A91A48">
        <w:trPr>
          <w:trHeight w:val="300"/>
        </w:trPr>
        <w:tc>
          <w:tcPr>
            <w:tcW w:w="1530" w:type="dxa"/>
            <w:tcBorders>
              <w:top w:val="nil"/>
              <w:left w:val="single" w:sz="4" w:space="0" w:color="auto"/>
              <w:bottom w:val="single" w:sz="4" w:space="0" w:color="auto"/>
              <w:right w:val="single" w:sz="4" w:space="0" w:color="auto"/>
            </w:tcBorders>
            <w:shd w:val="clear" w:color="auto" w:fill="auto"/>
            <w:noWrap/>
            <w:vAlign w:val="center"/>
            <w:hideMark/>
          </w:tcPr>
          <w:p w14:paraId="0DECC113"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2340" w:type="dxa"/>
            <w:tcBorders>
              <w:top w:val="nil"/>
              <w:left w:val="nil"/>
              <w:bottom w:val="single" w:sz="4" w:space="0" w:color="auto"/>
              <w:right w:val="single" w:sz="4" w:space="0" w:color="auto"/>
            </w:tcBorders>
            <w:shd w:val="clear" w:color="auto" w:fill="auto"/>
            <w:noWrap/>
            <w:vAlign w:val="center"/>
            <w:hideMark/>
          </w:tcPr>
          <w:p w14:paraId="4EB79FC9"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2,513,768</w:t>
            </w:r>
          </w:p>
        </w:tc>
      </w:tr>
      <w:tr w:rsidR="00245464" w:rsidRPr="00191ACB" w14:paraId="6DA2CE87" w14:textId="77777777" w:rsidTr="00A91A48">
        <w:trPr>
          <w:trHeight w:val="300"/>
        </w:trPr>
        <w:tc>
          <w:tcPr>
            <w:tcW w:w="1530" w:type="dxa"/>
            <w:tcBorders>
              <w:top w:val="nil"/>
              <w:left w:val="single" w:sz="4" w:space="0" w:color="auto"/>
              <w:bottom w:val="single" w:sz="4" w:space="0" w:color="auto"/>
              <w:right w:val="single" w:sz="4" w:space="0" w:color="auto"/>
            </w:tcBorders>
            <w:shd w:val="clear" w:color="auto" w:fill="auto"/>
            <w:noWrap/>
            <w:vAlign w:val="center"/>
            <w:hideMark/>
          </w:tcPr>
          <w:p w14:paraId="5D3F3507"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2340" w:type="dxa"/>
            <w:tcBorders>
              <w:top w:val="nil"/>
              <w:left w:val="nil"/>
              <w:bottom w:val="single" w:sz="4" w:space="0" w:color="auto"/>
              <w:right w:val="single" w:sz="4" w:space="0" w:color="auto"/>
            </w:tcBorders>
            <w:shd w:val="clear" w:color="auto" w:fill="auto"/>
            <w:noWrap/>
            <w:vAlign w:val="center"/>
            <w:hideMark/>
          </w:tcPr>
          <w:p w14:paraId="5CE2389D"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2,828,281</w:t>
            </w:r>
          </w:p>
        </w:tc>
      </w:tr>
      <w:tr w:rsidR="00245464" w:rsidRPr="00191ACB" w14:paraId="34934272" w14:textId="77777777" w:rsidTr="00A91A48">
        <w:trPr>
          <w:trHeight w:val="300"/>
        </w:trPr>
        <w:tc>
          <w:tcPr>
            <w:tcW w:w="1530" w:type="dxa"/>
            <w:tcBorders>
              <w:top w:val="nil"/>
              <w:left w:val="single" w:sz="4" w:space="0" w:color="auto"/>
              <w:bottom w:val="single" w:sz="4" w:space="0" w:color="auto"/>
              <w:right w:val="single" w:sz="4" w:space="0" w:color="auto"/>
            </w:tcBorders>
            <w:shd w:val="clear" w:color="auto" w:fill="auto"/>
            <w:noWrap/>
            <w:vAlign w:val="center"/>
            <w:hideMark/>
          </w:tcPr>
          <w:p w14:paraId="19D9F5AD"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2020</w:t>
            </w:r>
          </w:p>
        </w:tc>
        <w:tc>
          <w:tcPr>
            <w:tcW w:w="2340" w:type="dxa"/>
            <w:tcBorders>
              <w:top w:val="nil"/>
              <w:left w:val="nil"/>
              <w:bottom w:val="single" w:sz="4" w:space="0" w:color="auto"/>
              <w:right w:val="single" w:sz="4" w:space="0" w:color="auto"/>
            </w:tcBorders>
            <w:shd w:val="clear" w:color="auto" w:fill="auto"/>
            <w:noWrap/>
            <w:vAlign w:val="center"/>
            <w:hideMark/>
          </w:tcPr>
          <w:p w14:paraId="59B29F39"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3,142,795</w:t>
            </w:r>
          </w:p>
        </w:tc>
      </w:tr>
      <w:tr w:rsidR="00245464" w:rsidRPr="00191ACB" w14:paraId="1C5ADA21" w14:textId="77777777" w:rsidTr="00A91A48">
        <w:trPr>
          <w:trHeight w:val="300"/>
        </w:trPr>
        <w:tc>
          <w:tcPr>
            <w:tcW w:w="1530" w:type="dxa"/>
            <w:tcBorders>
              <w:top w:val="nil"/>
              <w:left w:val="single" w:sz="4" w:space="0" w:color="auto"/>
              <w:bottom w:val="single" w:sz="4" w:space="0" w:color="auto"/>
              <w:right w:val="single" w:sz="4" w:space="0" w:color="auto"/>
            </w:tcBorders>
            <w:shd w:val="clear" w:color="auto" w:fill="auto"/>
            <w:noWrap/>
            <w:vAlign w:val="center"/>
            <w:hideMark/>
          </w:tcPr>
          <w:p w14:paraId="1068E91B"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2025</w:t>
            </w:r>
          </w:p>
        </w:tc>
        <w:tc>
          <w:tcPr>
            <w:tcW w:w="2340" w:type="dxa"/>
            <w:tcBorders>
              <w:top w:val="nil"/>
              <w:left w:val="nil"/>
              <w:bottom w:val="single" w:sz="4" w:space="0" w:color="auto"/>
              <w:right w:val="single" w:sz="4" w:space="0" w:color="auto"/>
            </w:tcBorders>
            <w:shd w:val="clear" w:color="auto" w:fill="auto"/>
            <w:noWrap/>
            <w:vAlign w:val="center"/>
            <w:hideMark/>
          </w:tcPr>
          <w:p w14:paraId="23C3748C"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3,457,308</w:t>
            </w:r>
          </w:p>
        </w:tc>
      </w:tr>
      <w:tr w:rsidR="00245464" w:rsidRPr="00191ACB" w14:paraId="14291C5F" w14:textId="77777777" w:rsidTr="00A91A48">
        <w:trPr>
          <w:trHeight w:val="300"/>
        </w:trPr>
        <w:tc>
          <w:tcPr>
            <w:tcW w:w="1530" w:type="dxa"/>
            <w:tcBorders>
              <w:top w:val="nil"/>
              <w:left w:val="single" w:sz="4" w:space="0" w:color="auto"/>
              <w:bottom w:val="single" w:sz="4" w:space="0" w:color="auto"/>
              <w:right w:val="single" w:sz="4" w:space="0" w:color="auto"/>
            </w:tcBorders>
            <w:shd w:val="clear" w:color="auto" w:fill="auto"/>
            <w:noWrap/>
            <w:vAlign w:val="center"/>
            <w:hideMark/>
          </w:tcPr>
          <w:p w14:paraId="646EF176"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2030</w:t>
            </w:r>
          </w:p>
        </w:tc>
        <w:tc>
          <w:tcPr>
            <w:tcW w:w="2340" w:type="dxa"/>
            <w:tcBorders>
              <w:top w:val="nil"/>
              <w:left w:val="nil"/>
              <w:bottom w:val="single" w:sz="4" w:space="0" w:color="auto"/>
              <w:right w:val="single" w:sz="4" w:space="0" w:color="auto"/>
            </w:tcBorders>
            <w:shd w:val="clear" w:color="auto" w:fill="auto"/>
            <w:noWrap/>
            <w:vAlign w:val="center"/>
            <w:hideMark/>
          </w:tcPr>
          <w:p w14:paraId="0F323508"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3,771,822</w:t>
            </w:r>
          </w:p>
        </w:tc>
      </w:tr>
      <w:tr w:rsidR="00245464" w:rsidRPr="00191ACB" w14:paraId="0AB382B6" w14:textId="77777777" w:rsidTr="00A91A48">
        <w:trPr>
          <w:trHeight w:val="300"/>
        </w:trPr>
        <w:tc>
          <w:tcPr>
            <w:tcW w:w="1530" w:type="dxa"/>
            <w:tcBorders>
              <w:top w:val="nil"/>
              <w:left w:val="single" w:sz="4" w:space="0" w:color="auto"/>
              <w:bottom w:val="single" w:sz="4" w:space="0" w:color="auto"/>
              <w:right w:val="single" w:sz="4" w:space="0" w:color="auto"/>
            </w:tcBorders>
            <w:shd w:val="clear" w:color="auto" w:fill="auto"/>
            <w:noWrap/>
            <w:vAlign w:val="center"/>
            <w:hideMark/>
          </w:tcPr>
          <w:p w14:paraId="08321F4A"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2035</w:t>
            </w:r>
          </w:p>
        </w:tc>
        <w:tc>
          <w:tcPr>
            <w:tcW w:w="2340" w:type="dxa"/>
            <w:tcBorders>
              <w:top w:val="nil"/>
              <w:left w:val="nil"/>
              <w:bottom w:val="single" w:sz="4" w:space="0" w:color="auto"/>
              <w:right w:val="single" w:sz="4" w:space="0" w:color="auto"/>
            </w:tcBorders>
            <w:shd w:val="clear" w:color="auto" w:fill="auto"/>
            <w:noWrap/>
            <w:vAlign w:val="center"/>
            <w:hideMark/>
          </w:tcPr>
          <w:p w14:paraId="05E704E5"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4,086,335</w:t>
            </w:r>
          </w:p>
        </w:tc>
      </w:tr>
      <w:tr w:rsidR="00245464" w:rsidRPr="00191ACB" w14:paraId="74D72A1C" w14:textId="77777777" w:rsidTr="00A91A48">
        <w:trPr>
          <w:trHeight w:val="300"/>
        </w:trPr>
        <w:tc>
          <w:tcPr>
            <w:tcW w:w="1530" w:type="dxa"/>
            <w:tcBorders>
              <w:top w:val="nil"/>
              <w:left w:val="single" w:sz="4" w:space="0" w:color="auto"/>
              <w:bottom w:val="single" w:sz="4" w:space="0" w:color="auto"/>
              <w:right w:val="single" w:sz="4" w:space="0" w:color="auto"/>
            </w:tcBorders>
            <w:shd w:val="clear" w:color="auto" w:fill="auto"/>
            <w:noWrap/>
            <w:vAlign w:val="center"/>
            <w:hideMark/>
          </w:tcPr>
          <w:p w14:paraId="23AA3877"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2040</w:t>
            </w:r>
          </w:p>
        </w:tc>
        <w:tc>
          <w:tcPr>
            <w:tcW w:w="2340" w:type="dxa"/>
            <w:tcBorders>
              <w:top w:val="nil"/>
              <w:left w:val="nil"/>
              <w:bottom w:val="single" w:sz="4" w:space="0" w:color="auto"/>
              <w:right w:val="single" w:sz="4" w:space="0" w:color="auto"/>
            </w:tcBorders>
            <w:shd w:val="clear" w:color="auto" w:fill="auto"/>
            <w:noWrap/>
            <w:vAlign w:val="center"/>
            <w:hideMark/>
          </w:tcPr>
          <w:p w14:paraId="5444F77C"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4,400,849</w:t>
            </w:r>
          </w:p>
        </w:tc>
      </w:tr>
      <w:tr w:rsidR="00245464" w:rsidRPr="00191ACB" w14:paraId="6B1B3596" w14:textId="77777777" w:rsidTr="00A91A48">
        <w:trPr>
          <w:trHeight w:val="300"/>
        </w:trPr>
        <w:tc>
          <w:tcPr>
            <w:tcW w:w="1530" w:type="dxa"/>
            <w:tcBorders>
              <w:top w:val="nil"/>
              <w:left w:val="single" w:sz="4" w:space="0" w:color="auto"/>
              <w:bottom w:val="single" w:sz="4" w:space="0" w:color="auto"/>
              <w:right w:val="single" w:sz="4" w:space="0" w:color="auto"/>
            </w:tcBorders>
            <w:shd w:val="clear" w:color="auto" w:fill="auto"/>
            <w:noWrap/>
            <w:vAlign w:val="center"/>
            <w:hideMark/>
          </w:tcPr>
          <w:p w14:paraId="7D775ABF"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2045</w:t>
            </w:r>
          </w:p>
        </w:tc>
        <w:tc>
          <w:tcPr>
            <w:tcW w:w="2340" w:type="dxa"/>
            <w:tcBorders>
              <w:top w:val="nil"/>
              <w:left w:val="nil"/>
              <w:bottom w:val="single" w:sz="4" w:space="0" w:color="auto"/>
              <w:right w:val="single" w:sz="4" w:space="0" w:color="auto"/>
            </w:tcBorders>
            <w:shd w:val="clear" w:color="auto" w:fill="auto"/>
            <w:noWrap/>
            <w:vAlign w:val="center"/>
            <w:hideMark/>
          </w:tcPr>
          <w:p w14:paraId="66E144D9"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4,715,362</w:t>
            </w:r>
          </w:p>
        </w:tc>
      </w:tr>
      <w:tr w:rsidR="00245464" w:rsidRPr="00191ACB" w14:paraId="08F8F774" w14:textId="77777777" w:rsidTr="00A91A48">
        <w:trPr>
          <w:trHeight w:val="300"/>
        </w:trPr>
        <w:tc>
          <w:tcPr>
            <w:tcW w:w="1530" w:type="dxa"/>
            <w:tcBorders>
              <w:top w:val="nil"/>
              <w:left w:val="single" w:sz="4" w:space="0" w:color="auto"/>
              <w:bottom w:val="single" w:sz="4" w:space="0" w:color="auto"/>
              <w:right w:val="single" w:sz="4" w:space="0" w:color="auto"/>
            </w:tcBorders>
            <w:shd w:val="clear" w:color="auto" w:fill="auto"/>
            <w:noWrap/>
            <w:vAlign w:val="center"/>
            <w:hideMark/>
          </w:tcPr>
          <w:p w14:paraId="0DE3A5E5"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2050</w:t>
            </w:r>
          </w:p>
        </w:tc>
        <w:tc>
          <w:tcPr>
            <w:tcW w:w="2340" w:type="dxa"/>
            <w:tcBorders>
              <w:top w:val="nil"/>
              <w:left w:val="nil"/>
              <w:bottom w:val="single" w:sz="4" w:space="0" w:color="auto"/>
              <w:right w:val="single" w:sz="4" w:space="0" w:color="auto"/>
            </w:tcBorders>
            <w:shd w:val="clear" w:color="auto" w:fill="auto"/>
            <w:noWrap/>
            <w:vAlign w:val="center"/>
            <w:hideMark/>
          </w:tcPr>
          <w:p w14:paraId="715FF2F8"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5,029,876</w:t>
            </w:r>
          </w:p>
        </w:tc>
      </w:tr>
    </w:tbl>
    <w:p w14:paraId="5239CB39" w14:textId="6551AF66" w:rsidR="00F27434" w:rsidRPr="009C0A8D" w:rsidRDefault="009C0A8D" w:rsidP="009C0A8D">
      <w:pPr>
        <w:rPr>
          <w:b/>
          <w:bCs/>
          <w:i/>
          <w:iCs/>
        </w:rPr>
      </w:pPr>
      <w:bookmarkStart w:id="383" w:name="_Toc26264936"/>
      <w:bookmarkEnd w:id="378"/>
      <w:bookmarkEnd w:id="379"/>
      <w:bookmarkEnd w:id="380"/>
      <w:r w:rsidRPr="009C0A8D">
        <w:rPr>
          <w:b/>
          <w:bCs/>
          <w:i/>
          <w:iCs/>
        </w:rPr>
        <w:t>Source: ZAMSTATS, 2015</w:t>
      </w:r>
    </w:p>
    <w:p w14:paraId="0E361863" w14:textId="3F6F9B8C" w:rsidR="00245464" w:rsidRPr="00191ACB" w:rsidRDefault="00245464" w:rsidP="005D53F6">
      <w:pPr>
        <w:pStyle w:val="Heading4"/>
        <w:numPr>
          <w:ilvl w:val="3"/>
          <w:numId w:val="36"/>
        </w:numPr>
        <w:ind w:left="851" w:hanging="851"/>
      </w:pPr>
      <w:r w:rsidRPr="00191ACB">
        <w:t>Solar PV utility scale</w:t>
      </w:r>
      <w:bookmarkEnd w:id="383"/>
    </w:p>
    <w:p w14:paraId="4C5236CD" w14:textId="3FA6474A" w:rsidR="00245464" w:rsidRPr="00191ACB"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Emission reductions from recently installed or planned solar Photovoltaic (PV) utility scale are projected to grow from 0.1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in 2015 to 1734.9 Gg CO</w:t>
      </w:r>
      <w:r w:rsidRPr="00191ACB">
        <w:rPr>
          <w:rFonts w:ascii="Times New Roman" w:eastAsia="Calibri" w:hAnsi="Times New Roman" w:cs="Times New Roman"/>
          <w:color w:val="000000" w:themeColor="text1"/>
          <w:sz w:val="24"/>
          <w:szCs w:val="24"/>
          <w:vertAlign w:val="subscript"/>
        </w:rPr>
        <w:t xml:space="preserve">2 eq. </w:t>
      </w:r>
      <w:r w:rsidRPr="00191ACB">
        <w:rPr>
          <w:rFonts w:ascii="Times New Roman" w:eastAsia="Calibri" w:hAnsi="Times New Roman" w:cs="Times New Roman"/>
          <w:color w:val="000000" w:themeColor="text1"/>
          <w:sz w:val="24"/>
          <w:szCs w:val="24"/>
        </w:rPr>
        <w:t xml:space="preserve"> in 2050 (Table </w:t>
      </w:r>
      <w:r w:rsidR="00D7105F" w:rsidRPr="00191ACB">
        <w:rPr>
          <w:rFonts w:ascii="Times New Roman" w:eastAsia="Calibri" w:hAnsi="Times New Roman" w:cs="Times New Roman"/>
          <w:color w:val="000000" w:themeColor="text1"/>
          <w:sz w:val="24"/>
          <w:szCs w:val="24"/>
        </w:rPr>
        <w:t>4.15</w:t>
      </w:r>
      <w:r w:rsidRPr="00191ACB">
        <w:rPr>
          <w:rFonts w:ascii="Times New Roman" w:eastAsia="Calibri" w:hAnsi="Times New Roman" w:cs="Times New Roman"/>
          <w:color w:val="000000" w:themeColor="text1"/>
          <w:sz w:val="24"/>
          <w:szCs w:val="24"/>
        </w:rPr>
        <w:t>). It was assumed that all the planned PV utility scale will be connected to the national grid and thus the baseline is the Southern African Power Pool (SAPP). The emission factor used to calculate projected emission reduction under this mitigation action is the regional emission factor for combined margin 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emission factor for the project electricity system applicable to the wind and solar power generation (0.9801 tCO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/MWh)</w:t>
      </w:r>
      <w:r w:rsidR="00ED0A5C" w:rsidRPr="00191ACB" w:rsidDel="00ED0A5C">
        <w:rPr>
          <w:rFonts w:ascii="Times New Roman" w:eastAsia="Calibri" w:hAnsi="Times New Roman" w:cs="Times New Roman"/>
          <w:color w:val="000000" w:themeColor="text1"/>
          <w:sz w:val="24"/>
          <w:szCs w:val="24"/>
          <w:vertAlign w:val="superscript"/>
        </w:rPr>
        <w:t xml:space="preserve"> </w:t>
      </w:r>
      <w:r w:rsidRPr="00191ACB">
        <w:rPr>
          <w:rFonts w:ascii="Times New Roman" w:eastAsia="Calibri" w:hAnsi="Times New Roman" w:cs="Times New Roman"/>
          <w:color w:val="000000" w:themeColor="text1"/>
          <w:sz w:val="24"/>
          <w:szCs w:val="24"/>
        </w:rPr>
        <w:t>(UNFCCC, 2019). The capacity factor for the solar PV utility scale was assumed to be 0.2</w:t>
      </w:r>
      <w:r w:rsidR="00ED0A5C" w:rsidRPr="00191ACB">
        <w:rPr>
          <w:rFonts w:ascii="Times New Roman" w:eastAsia="Calibri" w:hAnsi="Times New Roman" w:cs="Times New Roman"/>
          <w:color w:val="000000" w:themeColor="text1"/>
          <w:sz w:val="24"/>
          <w:szCs w:val="24"/>
          <w:vertAlign w:val="superscript"/>
        </w:rPr>
        <w:t xml:space="preserve"> </w:t>
      </w:r>
      <w:r w:rsidRPr="00191ACB">
        <w:rPr>
          <w:rFonts w:ascii="Times New Roman" w:eastAsia="Calibri" w:hAnsi="Times New Roman" w:cs="Times New Roman"/>
          <w:color w:val="000000" w:themeColor="text1"/>
          <w:sz w:val="24"/>
          <w:szCs w:val="24"/>
        </w:rPr>
        <w:t xml:space="preserve">(IRENA, 2019). </w:t>
      </w:r>
    </w:p>
    <w:p w14:paraId="090D3017" w14:textId="77777777" w:rsidR="00E95E0D" w:rsidRPr="00191ACB" w:rsidRDefault="00245464" w:rsidP="00245464">
      <w:pPr>
        <w:spacing w:after="0" w:line="240" w:lineRule="auto"/>
        <w:rPr>
          <w:rFonts w:ascii="Times New Roman" w:eastAsia="Calibri" w:hAnsi="Times New Roman" w:cs="Times New Roman"/>
          <w:color w:val="000000" w:themeColor="text1"/>
          <w:sz w:val="24"/>
          <w:szCs w:val="24"/>
        </w:rPr>
        <w:sectPr w:rsidR="00E95E0D" w:rsidRPr="00191ACB" w:rsidSect="00E95E0D">
          <w:footerReference w:type="first" r:id="rId82"/>
          <w:pgSz w:w="11909" w:h="16834" w:code="9"/>
          <w:pgMar w:top="862" w:right="720" w:bottom="862" w:left="1440" w:header="720" w:footer="720" w:gutter="0"/>
          <w:cols w:space="720"/>
          <w:titlePg/>
          <w:docGrid w:linePitch="360"/>
        </w:sectPr>
      </w:pPr>
      <w:r w:rsidRPr="00191ACB">
        <w:rPr>
          <w:rFonts w:ascii="Times New Roman" w:eastAsia="Calibri" w:hAnsi="Times New Roman" w:cs="Times New Roman"/>
          <w:color w:val="000000" w:themeColor="text1"/>
          <w:sz w:val="24"/>
          <w:szCs w:val="24"/>
        </w:rPr>
        <w:br w:type="page"/>
      </w:r>
    </w:p>
    <w:p w14:paraId="59FA9F1F" w14:textId="6D98A36A" w:rsidR="00245464" w:rsidRPr="00191ACB" w:rsidRDefault="00C319A4" w:rsidP="00C319A4">
      <w:pPr>
        <w:pStyle w:val="Caption"/>
        <w:rPr>
          <w:rFonts w:eastAsia="Calibri"/>
          <w:color w:val="000000" w:themeColor="text1"/>
          <w:sz w:val="24"/>
          <w:szCs w:val="24"/>
        </w:rPr>
      </w:pPr>
      <w:bookmarkStart w:id="384" w:name="_Toc19284631"/>
      <w:bookmarkStart w:id="385" w:name="_Toc19705965"/>
      <w:bookmarkStart w:id="386" w:name="_Toc56583791"/>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15</w:t>
      </w:r>
      <w:r w:rsidR="00875942">
        <w:rPr>
          <w:sz w:val="24"/>
          <w:szCs w:val="24"/>
        </w:rPr>
        <w:fldChar w:fldCharType="end"/>
      </w:r>
      <w:r w:rsidRPr="00191ACB">
        <w:rPr>
          <w:sz w:val="24"/>
          <w:szCs w:val="24"/>
        </w:rPr>
        <w:t>:GHG emissions reductions under Solar PV Utility scale-Gg CO2 eq</w:t>
      </w:r>
      <w:r w:rsidR="00245464" w:rsidRPr="00191ACB">
        <w:rPr>
          <w:rFonts w:eastAsia="Calibri"/>
          <w:color w:val="000000" w:themeColor="text1"/>
          <w:sz w:val="24"/>
          <w:szCs w:val="24"/>
        </w:rPr>
        <w:t>.</w:t>
      </w:r>
      <w:bookmarkEnd w:id="384"/>
      <w:bookmarkEnd w:id="385"/>
      <w:bookmarkEnd w:id="386"/>
    </w:p>
    <w:tbl>
      <w:tblPr>
        <w:tblW w:w="5000" w:type="pct"/>
        <w:tblLook w:val="04A0" w:firstRow="1" w:lastRow="0" w:firstColumn="1" w:lastColumn="0" w:noHBand="0" w:noVBand="1"/>
      </w:tblPr>
      <w:tblGrid>
        <w:gridCol w:w="3279"/>
        <w:gridCol w:w="1136"/>
        <w:gridCol w:w="1136"/>
        <w:gridCol w:w="1296"/>
        <w:gridCol w:w="800"/>
        <w:gridCol w:w="800"/>
        <w:gridCol w:w="848"/>
        <w:gridCol w:w="969"/>
        <w:gridCol w:w="969"/>
        <w:gridCol w:w="969"/>
        <w:gridCol w:w="970"/>
        <w:gridCol w:w="970"/>
        <w:gridCol w:w="958"/>
      </w:tblGrid>
      <w:tr w:rsidR="00245464" w:rsidRPr="00191ACB" w14:paraId="22A2F1A2" w14:textId="77777777" w:rsidTr="00B2278F">
        <w:trPr>
          <w:trHeight w:val="300"/>
        </w:trPr>
        <w:tc>
          <w:tcPr>
            <w:tcW w:w="10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B74E03"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Project</w:t>
            </w:r>
          </w:p>
        </w:tc>
        <w:tc>
          <w:tcPr>
            <w:tcW w:w="357" w:type="pct"/>
            <w:tcBorders>
              <w:top w:val="single" w:sz="4" w:space="0" w:color="auto"/>
              <w:left w:val="single" w:sz="4" w:space="0" w:color="auto"/>
              <w:bottom w:val="single" w:sz="4" w:space="0" w:color="auto"/>
              <w:right w:val="single" w:sz="4" w:space="0" w:color="auto"/>
            </w:tcBorders>
            <w:shd w:val="clear" w:color="auto" w:fill="auto"/>
            <w:vAlign w:val="bottom"/>
          </w:tcPr>
          <w:p w14:paraId="5938BC8E"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b/>
                <w:bCs/>
                <w:color w:val="000000" w:themeColor="text1"/>
                <w:sz w:val="24"/>
                <w:szCs w:val="24"/>
              </w:rPr>
              <w:t>Capacity (MW)</w:t>
            </w:r>
          </w:p>
        </w:tc>
        <w:tc>
          <w:tcPr>
            <w:tcW w:w="328" w:type="pct"/>
            <w:tcBorders>
              <w:top w:val="single" w:sz="4" w:space="0" w:color="auto"/>
              <w:left w:val="nil"/>
              <w:bottom w:val="single" w:sz="4" w:space="0" w:color="auto"/>
              <w:right w:val="single" w:sz="4" w:space="0" w:color="auto"/>
            </w:tcBorders>
            <w:shd w:val="clear" w:color="auto" w:fill="auto"/>
            <w:vAlign w:val="bottom"/>
          </w:tcPr>
          <w:p w14:paraId="70A669F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b/>
                <w:bCs/>
                <w:color w:val="000000" w:themeColor="text1"/>
                <w:sz w:val="24"/>
                <w:szCs w:val="24"/>
              </w:rPr>
              <w:t>Capacity factor</w:t>
            </w:r>
          </w:p>
        </w:tc>
        <w:tc>
          <w:tcPr>
            <w:tcW w:w="366" w:type="pct"/>
            <w:tcBorders>
              <w:top w:val="single" w:sz="4" w:space="0" w:color="auto"/>
              <w:left w:val="nil"/>
              <w:bottom w:val="single" w:sz="4" w:space="0" w:color="auto"/>
              <w:right w:val="single" w:sz="4" w:space="0" w:color="auto"/>
            </w:tcBorders>
            <w:shd w:val="clear" w:color="auto" w:fill="auto"/>
            <w:vAlign w:val="bottom"/>
          </w:tcPr>
          <w:p w14:paraId="3B3C8638" w14:textId="77777777" w:rsidR="00245464" w:rsidRPr="00191ACB" w:rsidRDefault="00245464" w:rsidP="00245464">
            <w:pPr>
              <w:spacing w:after="0" w:line="240" w:lineRule="auto"/>
              <w:jc w:val="right"/>
              <w:rPr>
                <w:rFonts w:ascii="Times New Roman" w:eastAsia="Calibri" w:hAnsi="Times New Roman" w:cs="Times New Roman"/>
                <w:b/>
                <w:bCs/>
                <w:color w:val="000000" w:themeColor="text1"/>
                <w:sz w:val="24"/>
                <w:szCs w:val="24"/>
              </w:rPr>
            </w:pPr>
            <w:r w:rsidRPr="00191ACB">
              <w:rPr>
                <w:rFonts w:ascii="Times New Roman" w:eastAsia="Calibri" w:hAnsi="Times New Roman" w:cs="Times New Roman"/>
                <w:b/>
                <w:bCs/>
                <w:color w:val="000000" w:themeColor="text1"/>
                <w:sz w:val="24"/>
                <w:szCs w:val="24"/>
              </w:rPr>
              <w:t>Energy Units</w:t>
            </w:r>
          </w:p>
          <w:p w14:paraId="1BF5E97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b/>
                <w:bCs/>
                <w:color w:val="000000" w:themeColor="text1"/>
                <w:sz w:val="24"/>
                <w:szCs w:val="24"/>
              </w:rPr>
              <w:t>Generated (MWh)</w:t>
            </w:r>
          </w:p>
        </w:tc>
        <w:tc>
          <w:tcPr>
            <w:tcW w:w="27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0B1D6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278" w:type="pct"/>
            <w:tcBorders>
              <w:top w:val="single" w:sz="4" w:space="0" w:color="auto"/>
              <w:left w:val="nil"/>
              <w:bottom w:val="single" w:sz="4" w:space="0" w:color="auto"/>
              <w:right w:val="single" w:sz="4" w:space="0" w:color="auto"/>
            </w:tcBorders>
            <w:shd w:val="clear" w:color="auto" w:fill="auto"/>
            <w:noWrap/>
            <w:vAlign w:val="bottom"/>
            <w:hideMark/>
          </w:tcPr>
          <w:p w14:paraId="7973CCB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294" w:type="pct"/>
            <w:tcBorders>
              <w:top w:val="single" w:sz="4" w:space="0" w:color="auto"/>
              <w:left w:val="nil"/>
              <w:bottom w:val="single" w:sz="4" w:space="0" w:color="auto"/>
              <w:right w:val="single" w:sz="4" w:space="0" w:color="auto"/>
            </w:tcBorders>
            <w:shd w:val="clear" w:color="auto" w:fill="auto"/>
            <w:noWrap/>
            <w:vAlign w:val="bottom"/>
            <w:hideMark/>
          </w:tcPr>
          <w:p w14:paraId="6A81493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2020</w:t>
            </w:r>
          </w:p>
        </w:tc>
        <w:tc>
          <w:tcPr>
            <w:tcW w:w="334" w:type="pct"/>
            <w:tcBorders>
              <w:top w:val="single" w:sz="4" w:space="0" w:color="auto"/>
              <w:left w:val="nil"/>
              <w:bottom w:val="single" w:sz="4" w:space="0" w:color="auto"/>
              <w:right w:val="single" w:sz="4" w:space="0" w:color="auto"/>
            </w:tcBorders>
            <w:shd w:val="clear" w:color="auto" w:fill="auto"/>
            <w:noWrap/>
            <w:vAlign w:val="bottom"/>
            <w:hideMark/>
          </w:tcPr>
          <w:p w14:paraId="7CE2C0C8"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2025</w:t>
            </w:r>
          </w:p>
        </w:tc>
        <w:tc>
          <w:tcPr>
            <w:tcW w:w="334" w:type="pct"/>
            <w:tcBorders>
              <w:top w:val="single" w:sz="4" w:space="0" w:color="auto"/>
              <w:left w:val="nil"/>
              <w:bottom w:val="single" w:sz="4" w:space="0" w:color="auto"/>
              <w:right w:val="single" w:sz="4" w:space="0" w:color="auto"/>
            </w:tcBorders>
            <w:shd w:val="clear" w:color="auto" w:fill="auto"/>
            <w:noWrap/>
            <w:vAlign w:val="bottom"/>
            <w:hideMark/>
          </w:tcPr>
          <w:p w14:paraId="220AB7E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2030</w:t>
            </w:r>
          </w:p>
        </w:tc>
        <w:tc>
          <w:tcPr>
            <w:tcW w:w="334" w:type="pct"/>
            <w:tcBorders>
              <w:top w:val="single" w:sz="4" w:space="0" w:color="auto"/>
              <w:left w:val="nil"/>
              <w:bottom w:val="single" w:sz="4" w:space="0" w:color="auto"/>
              <w:right w:val="single" w:sz="4" w:space="0" w:color="auto"/>
            </w:tcBorders>
            <w:shd w:val="clear" w:color="auto" w:fill="auto"/>
            <w:noWrap/>
            <w:vAlign w:val="bottom"/>
            <w:hideMark/>
          </w:tcPr>
          <w:p w14:paraId="103D436E"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2035</w:t>
            </w:r>
          </w:p>
        </w:tc>
        <w:tc>
          <w:tcPr>
            <w:tcW w:w="334" w:type="pct"/>
            <w:tcBorders>
              <w:top w:val="single" w:sz="4" w:space="0" w:color="auto"/>
              <w:left w:val="nil"/>
              <w:bottom w:val="single" w:sz="4" w:space="0" w:color="auto"/>
              <w:right w:val="single" w:sz="4" w:space="0" w:color="auto"/>
            </w:tcBorders>
            <w:shd w:val="clear" w:color="auto" w:fill="auto"/>
            <w:noWrap/>
            <w:vAlign w:val="bottom"/>
            <w:hideMark/>
          </w:tcPr>
          <w:p w14:paraId="19507CC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2040</w:t>
            </w:r>
          </w:p>
        </w:tc>
        <w:tc>
          <w:tcPr>
            <w:tcW w:w="334" w:type="pct"/>
            <w:tcBorders>
              <w:top w:val="single" w:sz="4" w:space="0" w:color="auto"/>
              <w:left w:val="nil"/>
              <w:bottom w:val="single" w:sz="4" w:space="0" w:color="auto"/>
              <w:right w:val="single" w:sz="4" w:space="0" w:color="auto"/>
            </w:tcBorders>
            <w:shd w:val="clear" w:color="auto" w:fill="auto"/>
            <w:noWrap/>
            <w:vAlign w:val="bottom"/>
            <w:hideMark/>
          </w:tcPr>
          <w:p w14:paraId="3FCF790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2045</w:t>
            </w:r>
          </w:p>
        </w:tc>
        <w:tc>
          <w:tcPr>
            <w:tcW w:w="330" w:type="pct"/>
            <w:tcBorders>
              <w:top w:val="single" w:sz="4" w:space="0" w:color="auto"/>
              <w:left w:val="nil"/>
              <w:bottom w:val="single" w:sz="4" w:space="0" w:color="auto"/>
              <w:right w:val="single" w:sz="4" w:space="0" w:color="auto"/>
            </w:tcBorders>
            <w:shd w:val="clear" w:color="auto" w:fill="auto"/>
            <w:noWrap/>
            <w:vAlign w:val="bottom"/>
            <w:hideMark/>
          </w:tcPr>
          <w:p w14:paraId="15636EE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2050</w:t>
            </w:r>
          </w:p>
        </w:tc>
      </w:tr>
      <w:tr w:rsidR="00245464" w:rsidRPr="00191ACB" w14:paraId="068135BB" w14:textId="77777777" w:rsidTr="00B2278F">
        <w:trPr>
          <w:trHeight w:val="480"/>
        </w:trPr>
        <w:tc>
          <w:tcPr>
            <w:tcW w:w="1099" w:type="pct"/>
            <w:tcBorders>
              <w:top w:val="nil"/>
              <w:left w:val="single" w:sz="4" w:space="0" w:color="auto"/>
              <w:bottom w:val="single" w:sz="4" w:space="0" w:color="auto"/>
              <w:right w:val="single" w:sz="4" w:space="0" w:color="auto"/>
            </w:tcBorders>
            <w:shd w:val="clear" w:color="auto" w:fill="auto"/>
            <w:vAlign w:val="bottom"/>
            <w:hideMark/>
          </w:tcPr>
          <w:p w14:paraId="601C9989"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Wind solar hydro resource study in Luapula </w:t>
            </w:r>
          </w:p>
        </w:tc>
        <w:tc>
          <w:tcPr>
            <w:tcW w:w="357" w:type="pct"/>
            <w:tcBorders>
              <w:top w:val="single" w:sz="4" w:space="0" w:color="auto"/>
              <w:left w:val="single" w:sz="4" w:space="0" w:color="auto"/>
              <w:bottom w:val="single" w:sz="4" w:space="0" w:color="auto"/>
              <w:right w:val="single" w:sz="4" w:space="0" w:color="auto"/>
            </w:tcBorders>
            <w:shd w:val="clear" w:color="auto" w:fill="auto"/>
            <w:vAlign w:val="bottom"/>
          </w:tcPr>
          <w:p w14:paraId="443AF3C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0.3</w:t>
            </w:r>
          </w:p>
        </w:tc>
        <w:tc>
          <w:tcPr>
            <w:tcW w:w="328" w:type="pct"/>
            <w:tcBorders>
              <w:top w:val="single" w:sz="4" w:space="0" w:color="auto"/>
              <w:left w:val="nil"/>
              <w:bottom w:val="single" w:sz="4" w:space="0" w:color="auto"/>
              <w:right w:val="single" w:sz="4" w:space="0" w:color="auto"/>
            </w:tcBorders>
            <w:shd w:val="clear" w:color="auto" w:fill="auto"/>
            <w:vAlign w:val="bottom"/>
          </w:tcPr>
          <w:p w14:paraId="24A6554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0.2</w:t>
            </w:r>
          </w:p>
        </w:tc>
        <w:tc>
          <w:tcPr>
            <w:tcW w:w="366" w:type="pct"/>
            <w:tcBorders>
              <w:top w:val="single" w:sz="4" w:space="0" w:color="auto"/>
              <w:left w:val="nil"/>
              <w:bottom w:val="single" w:sz="4" w:space="0" w:color="auto"/>
              <w:right w:val="single" w:sz="4" w:space="0" w:color="auto"/>
            </w:tcBorders>
            <w:shd w:val="clear" w:color="auto" w:fill="auto"/>
            <w:vAlign w:val="bottom"/>
          </w:tcPr>
          <w:p w14:paraId="1C21A18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525.6</w:t>
            </w:r>
          </w:p>
        </w:tc>
        <w:tc>
          <w:tcPr>
            <w:tcW w:w="278" w:type="pct"/>
            <w:tcBorders>
              <w:top w:val="nil"/>
              <w:left w:val="single" w:sz="4" w:space="0" w:color="auto"/>
              <w:bottom w:val="single" w:sz="4" w:space="0" w:color="auto"/>
              <w:right w:val="single" w:sz="4" w:space="0" w:color="auto"/>
            </w:tcBorders>
            <w:shd w:val="clear" w:color="auto" w:fill="auto"/>
            <w:noWrap/>
            <w:vAlign w:val="bottom"/>
            <w:hideMark/>
          </w:tcPr>
          <w:p w14:paraId="513E04F1"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78" w:type="pct"/>
            <w:tcBorders>
              <w:top w:val="nil"/>
              <w:left w:val="nil"/>
              <w:bottom w:val="single" w:sz="4" w:space="0" w:color="auto"/>
              <w:right w:val="single" w:sz="4" w:space="0" w:color="auto"/>
            </w:tcBorders>
            <w:shd w:val="clear" w:color="auto" w:fill="auto"/>
            <w:noWrap/>
            <w:vAlign w:val="bottom"/>
            <w:hideMark/>
          </w:tcPr>
          <w:p w14:paraId="53507009"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94" w:type="pct"/>
            <w:tcBorders>
              <w:top w:val="nil"/>
              <w:left w:val="nil"/>
              <w:bottom w:val="single" w:sz="4" w:space="0" w:color="auto"/>
              <w:right w:val="single" w:sz="4" w:space="0" w:color="auto"/>
            </w:tcBorders>
            <w:shd w:val="clear" w:color="auto" w:fill="auto"/>
            <w:noWrap/>
            <w:vAlign w:val="bottom"/>
            <w:hideMark/>
          </w:tcPr>
          <w:p w14:paraId="4FE6E4F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334" w:type="pct"/>
            <w:tcBorders>
              <w:top w:val="nil"/>
              <w:left w:val="nil"/>
              <w:bottom w:val="single" w:sz="4" w:space="0" w:color="auto"/>
              <w:right w:val="single" w:sz="4" w:space="0" w:color="auto"/>
            </w:tcBorders>
            <w:shd w:val="clear" w:color="auto" w:fill="auto"/>
            <w:noWrap/>
            <w:vAlign w:val="bottom"/>
            <w:hideMark/>
          </w:tcPr>
          <w:p w14:paraId="67EB579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0.5</w:t>
            </w:r>
          </w:p>
        </w:tc>
        <w:tc>
          <w:tcPr>
            <w:tcW w:w="334" w:type="pct"/>
            <w:tcBorders>
              <w:top w:val="nil"/>
              <w:left w:val="nil"/>
              <w:bottom w:val="single" w:sz="4" w:space="0" w:color="auto"/>
              <w:right w:val="single" w:sz="4" w:space="0" w:color="auto"/>
            </w:tcBorders>
            <w:shd w:val="clear" w:color="auto" w:fill="auto"/>
            <w:noWrap/>
            <w:vAlign w:val="bottom"/>
            <w:hideMark/>
          </w:tcPr>
          <w:p w14:paraId="4A8CE12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0.5</w:t>
            </w:r>
          </w:p>
        </w:tc>
        <w:tc>
          <w:tcPr>
            <w:tcW w:w="334" w:type="pct"/>
            <w:tcBorders>
              <w:top w:val="nil"/>
              <w:left w:val="nil"/>
              <w:bottom w:val="single" w:sz="4" w:space="0" w:color="auto"/>
              <w:right w:val="single" w:sz="4" w:space="0" w:color="auto"/>
            </w:tcBorders>
            <w:shd w:val="clear" w:color="auto" w:fill="auto"/>
            <w:noWrap/>
            <w:vAlign w:val="bottom"/>
            <w:hideMark/>
          </w:tcPr>
          <w:p w14:paraId="19A56038"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0.5</w:t>
            </w:r>
          </w:p>
        </w:tc>
        <w:tc>
          <w:tcPr>
            <w:tcW w:w="334" w:type="pct"/>
            <w:tcBorders>
              <w:top w:val="nil"/>
              <w:left w:val="nil"/>
              <w:bottom w:val="single" w:sz="4" w:space="0" w:color="auto"/>
              <w:right w:val="single" w:sz="4" w:space="0" w:color="auto"/>
            </w:tcBorders>
            <w:shd w:val="clear" w:color="auto" w:fill="auto"/>
            <w:noWrap/>
            <w:vAlign w:val="bottom"/>
            <w:hideMark/>
          </w:tcPr>
          <w:p w14:paraId="786904C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0.5</w:t>
            </w:r>
          </w:p>
        </w:tc>
        <w:tc>
          <w:tcPr>
            <w:tcW w:w="334" w:type="pct"/>
            <w:tcBorders>
              <w:top w:val="nil"/>
              <w:left w:val="nil"/>
              <w:bottom w:val="single" w:sz="4" w:space="0" w:color="auto"/>
              <w:right w:val="single" w:sz="4" w:space="0" w:color="auto"/>
            </w:tcBorders>
            <w:shd w:val="clear" w:color="auto" w:fill="auto"/>
            <w:noWrap/>
            <w:vAlign w:val="bottom"/>
            <w:hideMark/>
          </w:tcPr>
          <w:p w14:paraId="6FE94E9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0.5</w:t>
            </w:r>
          </w:p>
        </w:tc>
        <w:tc>
          <w:tcPr>
            <w:tcW w:w="330" w:type="pct"/>
            <w:tcBorders>
              <w:top w:val="nil"/>
              <w:left w:val="nil"/>
              <w:bottom w:val="single" w:sz="4" w:space="0" w:color="auto"/>
              <w:right w:val="single" w:sz="4" w:space="0" w:color="auto"/>
            </w:tcBorders>
            <w:shd w:val="clear" w:color="auto" w:fill="auto"/>
            <w:noWrap/>
            <w:vAlign w:val="bottom"/>
            <w:hideMark/>
          </w:tcPr>
          <w:p w14:paraId="6478B9E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0.5</w:t>
            </w:r>
          </w:p>
        </w:tc>
      </w:tr>
      <w:tr w:rsidR="00245464" w:rsidRPr="00191ACB" w14:paraId="46B1AC6B" w14:textId="77777777" w:rsidTr="00B2278F">
        <w:trPr>
          <w:trHeight w:val="386"/>
        </w:trPr>
        <w:tc>
          <w:tcPr>
            <w:tcW w:w="1099" w:type="pct"/>
            <w:tcBorders>
              <w:top w:val="nil"/>
              <w:left w:val="single" w:sz="4" w:space="0" w:color="auto"/>
              <w:bottom w:val="single" w:sz="4" w:space="0" w:color="auto"/>
              <w:right w:val="single" w:sz="4" w:space="0" w:color="auto"/>
            </w:tcBorders>
            <w:shd w:val="clear" w:color="auto" w:fill="auto"/>
            <w:vAlign w:val="bottom"/>
            <w:hideMark/>
          </w:tcPr>
          <w:p w14:paraId="25F6F3BE"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Industrial development cooperation (MW)- Bangweulu Project</w:t>
            </w:r>
          </w:p>
        </w:tc>
        <w:tc>
          <w:tcPr>
            <w:tcW w:w="357" w:type="pct"/>
            <w:tcBorders>
              <w:top w:val="single" w:sz="4" w:space="0" w:color="auto"/>
              <w:left w:val="single" w:sz="4" w:space="0" w:color="auto"/>
              <w:bottom w:val="single" w:sz="4" w:space="0" w:color="auto"/>
              <w:right w:val="single" w:sz="4" w:space="0" w:color="auto"/>
            </w:tcBorders>
            <w:shd w:val="clear" w:color="auto" w:fill="auto"/>
            <w:vAlign w:val="bottom"/>
          </w:tcPr>
          <w:p w14:paraId="0DF18B5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54</w:t>
            </w:r>
          </w:p>
        </w:tc>
        <w:tc>
          <w:tcPr>
            <w:tcW w:w="328" w:type="pct"/>
            <w:tcBorders>
              <w:top w:val="single" w:sz="4" w:space="0" w:color="auto"/>
              <w:left w:val="nil"/>
              <w:bottom w:val="single" w:sz="4" w:space="0" w:color="auto"/>
              <w:right w:val="single" w:sz="4" w:space="0" w:color="auto"/>
            </w:tcBorders>
            <w:shd w:val="clear" w:color="auto" w:fill="auto"/>
            <w:vAlign w:val="bottom"/>
          </w:tcPr>
          <w:p w14:paraId="067ADE0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0.2</w:t>
            </w:r>
          </w:p>
        </w:tc>
        <w:tc>
          <w:tcPr>
            <w:tcW w:w="366" w:type="pct"/>
            <w:tcBorders>
              <w:top w:val="single" w:sz="4" w:space="0" w:color="auto"/>
              <w:left w:val="nil"/>
              <w:bottom w:val="single" w:sz="4" w:space="0" w:color="auto"/>
              <w:right w:val="single" w:sz="4" w:space="0" w:color="auto"/>
            </w:tcBorders>
            <w:shd w:val="clear" w:color="auto" w:fill="auto"/>
            <w:vAlign w:val="bottom"/>
          </w:tcPr>
          <w:p w14:paraId="32A5459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94608</w:t>
            </w:r>
          </w:p>
        </w:tc>
        <w:tc>
          <w:tcPr>
            <w:tcW w:w="278" w:type="pct"/>
            <w:tcBorders>
              <w:top w:val="nil"/>
              <w:left w:val="single" w:sz="4" w:space="0" w:color="auto"/>
              <w:bottom w:val="single" w:sz="4" w:space="0" w:color="auto"/>
              <w:right w:val="single" w:sz="4" w:space="0" w:color="auto"/>
            </w:tcBorders>
            <w:shd w:val="clear" w:color="auto" w:fill="auto"/>
            <w:noWrap/>
            <w:vAlign w:val="bottom"/>
            <w:hideMark/>
          </w:tcPr>
          <w:p w14:paraId="096C1D95"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78" w:type="pct"/>
            <w:tcBorders>
              <w:top w:val="nil"/>
              <w:left w:val="nil"/>
              <w:bottom w:val="single" w:sz="4" w:space="0" w:color="auto"/>
              <w:right w:val="single" w:sz="4" w:space="0" w:color="auto"/>
            </w:tcBorders>
            <w:shd w:val="clear" w:color="auto" w:fill="auto"/>
            <w:noWrap/>
            <w:vAlign w:val="bottom"/>
            <w:hideMark/>
          </w:tcPr>
          <w:p w14:paraId="13B7A18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94" w:type="pct"/>
            <w:tcBorders>
              <w:top w:val="nil"/>
              <w:left w:val="nil"/>
              <w:bottom w:val="single" w:sz="4" w:space="0" w:color="auto"/>
              <w:right w:val="single" w:sz="4" w:space="0" w:color="auto"/>
            </w:tcBorders>
            <w:shd w:val="clear" w:color="auto" w:fill="auto"/>
            <w:noWrap/>
            <w:vAlign w:val="bottom"/>
            <w:hideMark/>
          </w:tcPr>
          <w:p w14:paraId="06BCFEC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92.7</w:t>
            </w:r>
          </w:p>
        </w:tc>
        <w:tc>
          <w:tcPr>
            <w:tcW w:w="334" w:type="pct"/>
            <w:tcBorders>
              <w:top w:val="nil"/>
              <w:left w:val="nil"/>
              <w:bottom w:val="single" w:sz="4" w:space="0" w:color="auto"/>
              <w:right w:val="single" w:sz="4" w:space="0" w:color="auto"/>
            </w:tcBorders>
            <w:shd w:val="clear" w:color="auto" w:fill="auto"/>
            <w:noWrap/>
            <w:vAlign w:val="bottom"/>
            <w:hideMark/>
          </w:tcPr>
          <w:p w14:paraId="1B8600DE"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92.7</w:t>
            </w:r>
          </w:p>
        </w:tc>
        <w:tc>
          <w:tcPr>
            <w:tcW w:w="334" w:type="pct"/>
            <w:tcBorders>
              <w:top w:val="nil"/>
              <w:left w:val="nil"/>
              <w:bottom w:val="single" w:sz="4" w:space="0" w:color="auto"/>
              <w:right w:val="single" w:sz="4" w:space="0" w:color="auto"/>
            </w:tcBorders>
            <w:shd w:val="clear" w:color="auto" w:fill="auto"/>
            <w:noWrap/>
            <w:vAlign w:val="bottom"/>
            <w:hideMark/>
          </w:tcPr>
          <w:p w14:paraId="7EDBF47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92.7</w:t>
            </w:r>
          </w:p>
        </w:tc>
        <w:tc>
          <w:tcPr>
            <w:tcW w:w="334" w:type="pct"/>
            <w:tcBorders>
              <w:top w:val="nil"/>
              <w:left w:val="nil"/>
              <w:bottom w:val="single" w:sz="4" w:space="0" w:color="auto"/>
              <w:right w:val="single" w:sz="4" w:space="0" w:color="auto"/>
            </w:tcBorders>
            <w:shd w:val="clear" w:color="auto" w:fill="auto"/>
            <w:noWrap/>
            <w:vAlign w:val="bottom"/>
            <w:hideMark/>
          </w:tcPr>
          <w:p w14:paraId="573DDBA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92.7</w:t>
            </w:r>
          </w:p>
        </w:tc>
        <w:tc>
          <w:tcPr>
            <w:tcW w:w="334" w:type="pct"/>
            <w:tcBorders>
              <w:top w:val="nil"/>
              <w:left w:val="nil"/>
              <w:bottom w:val="single" w:sz="4" w:space="0" w:color="auto"/>
              <w:right w:val="single" w:sz="4" w:space="0" w:color="auto"/>
            </w:tcBorders>
            <w:shd w:val="clear" w:color="auto" w:fill="auto"/>
            <w:noWrap/>
            <w:vAlign w:val="bottom"/>
            <w:hideMark/>
          </w:tcPr>
          <w:p w14:paraId="7B1FB96E"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92.7</w:t>
            </w:r>
          </w:p>
        </w:tc>
        <w:tc>
          <w:tcPr>
            <w:tcW w:w="334" w:type="pct"/>
            <w:tcBorders>
              <w:top w:val="nil"/>
              <w:left w:val="nil"/>
              <w:bottom w:val="single" w:sz="4" w:space="0" w:color="auto"/>
              <w:right w:val="single" w:sz="4" w:space="0" w:color="auto"/>
            </w:tcBorders>
            <w:shd w:val="clear" w:color="auto" w:fill="auto"/>
            <w:noWrap/>
            <w:vAlign w:val="bottom"/>
            <w:hideMark/>
          </w:tcPr>
          <w:p w14:paraId="0B199A2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92.7</w:t>
            </w:r>
          </w:p>
        </w:tc>
        <w:tc>
          <w:tcPr>
            <w:tcW w:w="330" w:type="pct"/>
            <w:tcBorders>
              <w:top w:val="nil"/>
              <w:left w:val="nil"/>
              <w:bottom w:val="single" w:sz="4" w:space="0" w:color="auto"/>
              <w:right w:val="single" w:sz="4" w:space="0" w:color="auto"/>
            </w:tcBorders>
            <w:shd w:val="clear" w:color="auto" w:fill="auto"/>
            <w:noWrap/>
            <w:vAlign w:val="bottom"/>
            <w:hideMark/>
          </w:tcPr>
          <w:p w14:paraId="703BF1A1"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92.7</w:t>
            </w:r>
          </w:p>
        </w:tc>
      </w:tr>
      <w:tr w:rsidR="00245464" w:rsidRPr="00191ACB" w14:paraId="2C52E125" w14:textId="77777777" w:rsidTr="00B2278F">
        <w:trPr>
          <w:trHeight w:val="332"/>
        </w:trPr>
        <w:tc>
          <w:tcPr>
            <w:tcW w:w="1099" w:type="pct"/>
            <w:tcBorders>
              <w:top w:val="nil"/>
              <w:left w:val="single" w:sz="4" w:space="0" w:color="auto"/>
              <w:bottom w:val="single" w:sz="4" w:space="0" w:color="auto"/>
              <w:right w:val="single" w:sz="4" w:space="0" w:color="auto"/>
            </w:tcBorders>
            <w:shd w:val="clear" w:color="auto" w:fill="auto"/>
            <w:vAlign w:val="bottom"/>
            <w:hideMark/>
          </w:tcPr>
          <w:p w14:paraId="29305353" w14:textId="0EBBF38A" w:rsidR="00245464" w:rsidRPr="00191ACB" w:rsidRDefault="00245464" w:rsidP="00245464">
            <w:pPr>
              <w:spacing w:after="0" w:line="240" w:lineRule="auto"/>
              <w:rPr>
                <w:rFonts w:ascii="Times New Roman" w:eastAsia="Times New Roman" w:hAnsi="Times New Roman" w:cs="Times New Roman"/>
                <w:color w:val="000000" w:themeColor="text1"/>
                <w:sz w:val="24"/>
                <w:szCs w:val="24"/>
                <w:highlight w:val="yellow"/>
              </w:rPr>
            </w:pPr>
            <w:r w:rsidRPr="00191ACB">
              <w:rPr>
                <w:rFonts w:ascii="Times New Roman" w:eastAsia="Times New Roman" w:hAnsi="Times New Roman" w:cs="Times New Roman"/>
                <w:color w:val="000000" w:themeColor="text1"/>
                <w:sz w:val="24"/>
                <w:szCs w:val="24"/>
              </w:rPr>
              <w:t>Scaling Up Solar-Industrial Development Corporation</w:t>
            </w:r>
            <w:r w:rsidR="006A1C90">
              <w:rPr>
                <w:rFonts w:ascii="Times New Roman" w:eastAsia="Times New Roman" w:hAnsi="Times New Roman" w:cs="Times New Roman"/>
                <w:color w:val="000000" w:themeColor="text1"/>
                <w:sz w:val="24"/>
                <w:szCs w:val="24"/>
              </w:rPr>
              <w:t xml:space="preserve"> </w:t>
            </w:r>
            <w:r w:rsidRPr="00191ACB">
              <w:rPr>
                <w:rFonts w:ascii="Times New Roman" w:eastAsia="Times New Roman" w:hAnsi="Times New Roman" w:cs="Times New Roman"/>
                <w:color w:val="000000" w:themeColor="text1"/>
                <w:sz w:val="24"/>
                <w:szCs w:val="24"/>
              </w:rPr>
              <w:t xml:space="preserve">(IDC) </w:t>
            </w:r>
          </w:p>
        </w:tc>
        <w:tc>
          <w:tcPr>
            <w:tcW w:w="357" w:type="pct"/>
            <w:tcBorders>
              <w:top w:val="nil"/>
              <w:left w:val="single" w:sz="4" w:space="0" w:color="auto"/>
              <w:bottom w:val="single" w:sz="4" w:space="0" w:color="auto"/>
              <w:right w:val="single" w:sz="4" w:space="0" w:color="auto"/>
            </w:tcBorders>
            <w:shd w:val="clear" w:color="auto" w:fill="auto"/>
            <w:vAlign w:val="bottom"/>
          </w:tcPr>
          <w:p w14:paraId="3DF9517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46</w:t>
            </w:r>
          </w:p>
        </w:tc>
        <w:tc>
          <w:tcPr>
            <w:tcW w:w="328" w:type="pct"/>
            <w:tcBorders>
              <w:top w:val="nil"/>
              <w:left w:val="nil"/>
              <w:bottom w:val="single" w:sz="4" w:space="0" w:color="auto"/>
              <w:right w:val="single" w:sz="4" w:space="0" w:color="auto"/>
            </w:tcBorders>
            <w:shd w:val="clear" w:color="auto" w:fill="auto"/>
            <w:vAlign w:val="bottom"/>
          </w:tcPr>
          <w:p w14:paraId="20B66865"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0.2</w:t>
            </w:r>
          </w:p>
        </w:tc>
        <w:tc>
          <w:tcPr>
            <w:tcW w:w="366" w:type="pct"/>
            <w:tcBorders>
              <w:top w:val="nil"/>
              <w:left w:val="nil"/>
              <w:bottom w:val="single" w:sz="4" w:space="0" w:color="auto"/>
              <w:right w:val="single" w:sz="4" w:space="0" w:color="auto"/>
            </w:tcBorders>
            <w:shd w:val="clear" w:color="auto" w:fill="auto"/>
            <w:vAlign w:val="bottom"/>
          </w:tcPr>
          <w:p w14:paraId="10CFA65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80592</w:t>
            </w:r>
          </w:p>
        </w:tc>
        <w:tc>
          <w:tcPr>
            <w:tcW w:w="278" w:type="pct"/>
            <w:tcBorders>
              <w:top w:val="nil"/>
              <w:left w:val="single" w:sz="4" w:space="0" w:color="auto"/>
              <w:bottom w:val="single" w:sz="4" w:space="0" w:color="auto"/>
              <w:right w:val="single" w:sz="4" w:space="0" w:color="auto"/>
            </w:tcBorders>
            <w:shd w:val="clear" w:color="auto" w:fill="auto"/>
            <w:noWrap/>
            <w:vAlign w:val="bottom"/>
            <w:hideMark/>
          </w:tcPr>
          <w:p w14:paraId="092CFB3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78" w:type="pct"/>
            <w:tcBorders>
              <w:top w:val="nil"/>
              <w:left w:val="nil"/>
              <w:bottom w:val="single" w:sz="4" w:space="0" w:color="auto"/>
              <w:right w:val="single" w:sz="4" w:space="0" w:color="auto"/>
            </w:tcBorders>
            <w:shd w:val="clear" w:color="auto" w:fill="auto"/>
            <w:noWrap/>
            <w:vAlign w:val="bottom"/>
            <w:hideMark/>
          </w:tcPr>
          <w:p w14:paraId="1DAD91B8"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94" w:type="pct"/>
            <w:tcBorders>
              <w:top w:val="nil"/>
              <w:left w:val="nil"/>
              <w:bottom w:val="single" w:sz="4" w:space="0" w:color="auto"/>
              <w:right w:val="single" w:sz="4" w:space="0" w:color="auto"/>
            </w:tcBorders>
            <w:shd w:val="clear" w:color="auto" w:fill="auto"/>
            <w:noWrap/>
            <w:vAlign w:val="bottom"/>
            <w:hideMark/>
          </w:tcPr>
          <w:p w14:paraId="26BC108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79.0</w:t>
            </w:r>
          </w:p>
        </w:tc>
        <w:tc>
          <w:tcPr>
            <w:tcW w:w="334" w:type="pct"/>
            <w:tcBorders>
              <w:top w:val="nil"/>
              <w:left w:val="nil"/>
              <w:bottom w:val="single" w:sz="4" w:space="0" w:color="auto"/>
              <w:right w:val="single" w:sz="4" w:space="0" w:color="auto"/>
            </w:tcBorders>
            <w:shd w:val="clear" w:color="auto" w:fill="auto"/>
            <w:noWrap/>
            <w:vAlign w:val="bottom"/>
            <w:hideMark/>
          </w:tcPr>
          <w:p w14:paraId="17D3700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79.0</w:t>
            </w:r>
          </w:p>
        </w:tc>
        <w:tc>
          <w:tcPr>
            <w:tcW w:w="334" w:type="pct"/>
            <w:tcBorders>
              <w:top w:val="nil"/>
              <w:left w:val="nil"/>
              <w:bottom w:val="single" w:sz="4" w:space="0" w:color="auto"/>
              <w:right w:val="single" w:sz="4" w:space="0" w:color="auto"/>
            </w:tcBorders>
            <w:shd w:val="clear" w:color="auto" w:fill="auto"/>
            <w:noWrap/>
            <w:vAlign w:val="bottom"/>
            <w:hideMark/>
          </w:tcPr>
          <w:p w14:paraId="257D739E"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79.0</w:t>
            </w:r>
          </w:p>
        </w:tc>
        <w:tc>
          <w:tcPr>
            <w:tcW w:w="334" w:type="pct"/>
            <w:tcBorders>
              <w:top w:val="nil"/>
              <w:left w:val="nil"/>
              <w:bottom w:val="single" w:sz="4" w:space="0" w:color="auto"/>
              <w:right w:val="single" w:sz="4" w:space="0" w:color="auto"/>
            </w:tcBorders>
            <w:shd w:val="clear" w:color="auto" w:fill="auto"/>
            <w:noWrap/>
            <w:vAlign w:val="bottom"/>
            <w:hideMark/>
          </w:tcPr>
          <w:p w14:paraId="58C93B48"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79.0</w:t>
            </w:r>
          </w:p>
        </w:tc>
        <w:tc>
          <w:tcPr>
            <w:tcW w:w="334" w:type="pct"/>
            <w:tcBorders>
              <w:top w:val="nil"/>
              <w:left w:val="nil"/>
              <w:bottom w:val="single" w:sz="4" w:space="0" w:color="auto"/>
              <w:right w:val="single" w:sz="4" w:space="0" w:color="auto"/>
            </w:tcBorders>
            <w:shd w:val="clear" w:color="auto" w:fill="auto"/>
            <w:noWrap/>
            <w:vAlign w:val="bottom"/>
            <w:hideMark/>
          </w:tcPr>
          <w:p w14:paraId="3AF40C8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79.0</w:t>
            </w:r>
          </w:p>
        </w:tc>
        <w:tc>
          <w:tcPr>
            <w:tcW w:w="334" w:type="pct"/>
            <w:tcBorders>
              <w:top w:val="nil"/>
              <w:left w:val="nil"/>
              <w:bottom w:val="single" w:sz="4" w:space="0" w:color="auto"/>
              <w:right w:val="single" w:sz="4" w:space="0" w:color="auto"/>
            </w:tcBorders>
            <w:shd w:val="clear" w:color="auto" w:fill="auto"/>
            <w:noWrap/>
            <w:vAlign w:val="bottom"/>
            <w:hideMark/>
          </w:tcPr>
          <w:p w14:paraId="3F925D6E"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79.0</w:t>
            </w:r>
          </w:p>
        </w:tc>
        <w:tc>
          <w:tcPr>
            <w:tcW w:w="330" w:type="pct"/>
            <w:tcBorders>
              <w:top w:val="nil"/>
              <w:left w:val="nil"/>
              <w:bottom w:val="single" w:sz="4" w:space="0" w:color="auto"/>
              <w:right w:val="single" w:sz="4" w:space="0" w:color="auto"/>
            </w:tcBorders>
            <w:shd w:val="clear" w:color="auto" w:fill="auto"/>
            <w:noWrap/>
            <w:vAlign w:val="bottom"/>
            <w:hideMark/>
          </w:tcPr>
          <w:p w14:paraId="6D17277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79.0</w:t>
            </w:r>
          </w:p>
        </w:tc>
      </w:tr>
      <w:tr w:rsidR="00245464" w:rsidRPr="00191ACB" w14:paraId="7557700F" w14:textId="77777777" w:rsidTr="00B2278F">
        <w:trPr>
          <w:trHeight w:val="300"/>
        </w:trPr>
        <w:tc>
          <w:tcPr>
            <w:tcW w:w="1099" w:type="pct"/>
            <w:tcBorders>
              <w:top w:val="nil"/>
              <w:left w:val="single" w:sz="4" w:space="0" w:color="auto"/>
              <w:bottom w:val="single" w:sz="4" w:space="0" w:color="auto"/>
              <w:right w:val="single" w:sz="4" w:space="0" w:color="auto"/>
            </w:tcBorders>
            <w:shd w:val="clear" w:color="auto" w:fill="auto"/>
            <w:vAlign w:val="bottom"/>
            <w:hideMark/>
          </w:tcPr>
          <w:p w14:paraId="0294104D"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Industrial development cooperation (MW)</w:t>
            </w:r>
          </w:p>
        </w:tc>
        <w:tc>
          <w:tcPr>
            <w:tcW w:w="357" w:type="pct"/>
            <w:tcBorders>
              <w:top w:val="nil"/>
              <w:left w:val="single" w:sz="4" w:space="0" w:color="auto"/>
              <w:bottom w:val="single" w:sz="4" w:space="0" w:color="auto"/>
              <w:right w:val="single" w:sz="4" w:space="0" w:color="auto"/>
            </w:tcBorders>
            <w:shd w:val="clear" w:color="auto" w:fill="auto"/>
            <w:vAlign w:val="bottom"/>
          </w:tcPr>
          <w:p w14:paraId="054214DF"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500</w:t>
            </w:r>
          </w:p>
        </w:tc>
        <w:tc>
          <w:tcPr>
            <w:tcW w:w="328" w:type="pct"/>
            <w:tcBorders>
              <w:top w:val="nil"/>
              <w:left w:val="nil"/>
              <w:bottom w:val="single" w:sz="4" w:space="0" w:color="auto"/>
              <w:right w:val="single" w:sz="4" w:space="0" w:color="auto"/>
            </w:tcBorders>
            <w:shd w:val="clear" w:color="auto" w:fill="auto"/>
            <w:vAlign w:val="bottom"/>
          </w:tcPr>
          <w:p w14:paraId="532759A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0.2</w:t>
            </w:r>
          </w:p>
        </w:tc>
        <w:tc>
          <w:tcPr>
            <w:tcW w:w="366" w:type="pct"/>
            <w:tcBorders>
              <w:top w:val="nil"/>
              <w:left w:val="nil"/>
              <w:bottom w:val="single" w:sz="4" w:space="0" w:color="auto"/>
              <w:right w:val="single" w:sz="4" w:space="0" w:color="auto"/>
            </w:tcBorders>
            <w:shd w:val="clear" w:color="auto" w:fill="auto"/>
            <w:vAlign w:val="bottom"/>
          </w:tcPr>
          <w:p w14:paraId="27A70D5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876000</w:t>
            </w:r>
          </w:p>
        </w:tc>
        <w:tc>
          <w:tcPr>
            <w:tcW w:w="278" w:type="pct"/>
            <w:tcBorders>
              <w:top w:val="nil"/>
              <w:left w:val="single" w:sz="4" w:space="0" w:color="auto"/>
              <w:bottom w:val="single" w:sz="4" w:space="0" w:color="auto"/>
              <w:right w:val="single" w:sz="4" w:space="0" w:color="auto"/>
            </w:tcBorders>
            <w:shd w:val="clear" w:color="auto" w:fill="auto"/>
            <w:noWrap/>
            <w:vAlign w:val="bottom"/>
            <w:hideMark/>
          </w:tcPr>
          <w:p w14:paraId="4EB7773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78" w:type="pct"/>
            <w:tcBorders>
              <w:top w:val="nil"/>
              <w:left w:val="nil"/>
              <w:bottom w:val="single" w:sz="4" w:space="0" w:color="auto"/>
              <w:right w:val="single" w:sz="4" w:space="0" w:color="auto"/>
            </w:tcBorders>
            <w:shd w:val="clear" w:color="auto" w:fill="auto"/>
            <w:noWrap/>
            <w:vAlign w:val="bottom"/>
            <w:hideMark/>
          </w:tcPr>
          <w:p w14:paraId="6F64F35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94" w:type="pct"/>
            <w:tcBorders>
              <w:top w:val="nil"/>
              <w:left w:val="nil"/>
              <w:bottom w:val="single" w:sz="4" w:space="0" w:color="auto"/>
              <w:right w:val="single" w:sz="4" w:space="0" w:color="auto"/>
            </w:tcBorders>
            <w:shd w:val="clear" w:color="auto" w:fill="auto"/>
            <w:noWrap/>
            <w:vAlign w:val="bottom"/>
            <w:hideMark/>
          </w:tcPr>
          <w:p w14:paraId="0ED8F8B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334" w:type="pct"/>
            <w:tcBorders>
              <w:top w:val="nil"/>
              <w:left w:val="nil"/>
              <w:bottom w:val="single" w:sz="4" w:space="0" w:color="auto"/>
              <w:right w:val="single" w:sz="4" w:space="0" w:color="auto"/>
            </w:tcBorders>
            <w:shd w:val="clear" w:color="auto" w:fill="auto"/>
            <w:noWrap/>
            <w:vAlign w:val="bottom"/>
            <w:hideMark/>
          </w:tcPr>
          <w:p w14:paraId="34CAA50E"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858.6</w:t>
            </w:r>
          </w:p>
        </w:tc>
        <w:tc>
          <w:tcPr>
            <w:tcW w:w="334" w:type="pct"/>
            <w:tcBorders>
              <w:top w:val="nil"/>
              <w:left w:val="nil"/>
              <w:bottom w:val="single" w:sz="4" w:space="0" w:color="auto"/>
              <w:right w:val="single" w:sz="4" w:space="0" w:color="auto"/>
            </w:tcBorders>
            <w:shd w:val="clear" w:color="auto" w:fill="auto"/>
            <w:noWrap/>
            <w:vAlign w:val="bottom"/>
            <w:hideMark/>
          </w:tcPr>
          <w:p w14:paraId="5D2AC76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858.6</w:t>
            </w:r>
          </w:p>
        </w:tc>
        <w:tc>
          <w:tcPr>
            <w:tcW w:w="334" w:type="pct"/>
            <w:tcBorders>
              <w:top w:val="nil"/>
              <w:left w:val="nil"/>
              <w:bottom w:val="single" w:sz="4" w:space="0" w:color="auto"/>
              <w:right w:val="single" w:sz="4" w:space="0" w:color="auto"/>
            </w:tcBorders>
            <w:shd w:val="clear" w:color="auto" w:fill="auto"/>
            <w:noWrap/>
            <w:vAlign w:val="bottom"/>
            <w:hideMark/>
          </w:tcPr>
          <w:p w14:paraId="4D2F9E0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858.6</w:t>
            </w:r>
          </w:p>
        </w:tc>
        <w:tc>
          <w:tcPr>
            <w:tcW w:w="334" w:type="pct"/>
            <w:tcBorders>
              <w:top w:val="nil"/>
              <w:left w:val="nil"/>
              <w:bottom w:val="single" w:sz="4" w:space="0" w:color="auto"/>
              <w:right w:val="single" w:sz="4" w:space="0" w:color="auto"/>
            </w:tcBorders>
            <w:shd w:val="clear" w:color="auto" w:fill="auto"/>
            <w:noWrap/>
            <w:vAlign w:val="bottom"/>
            <w:hideMark/>
          </w:tcPr>
          <w:p w14:paraId="36CEE29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858.6</w:t>
            </w:r>
          </w:p>
        </w:tc>
        <w:tc>
          <w:tcPr>
            <w:tcW w:w="334" w:type="pct"/>
            <w:tcBorders>
              <w:top w:val="nil"/>
              <w:left w:val="nil"/>
              <w:bottom w:val="single" w:sz="4" w:space="0" w:color="auto"/>
              <w:right w:val="single" w:sz="4" w:space="0" w:color="auto"/>
            </w:tcBorders>
            <w:shd w:val="clear" w:color="auto" w:fill="auto"/>
            <w:noWrap/>
            <w:vAlign w:val="bottom"/>
            <w:hideMark/>
          </w:tcPr>
          <w:p w14:paraId="39D879F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858.6</w:t>
            </w:r>
          </w:p>
        </w:tc>
        <w:tc>
          <w:tcPr>
            <w:tcW w:w="330" w:type="pct"/>
            <w:tcBorders>
              <w:top w:val="nil"/>
              <w:left w:val="nil"/>
              <w:bottom w:val="single" w:sz="4" w:space="0" w:color="auto"/>
              <w:right w:val="single" w:sz="4" w:space="0" w:color="auto"/>
            </w:tcBorders>
            <w:shd w:val="clear" w:color="auto" w:fill="auto"/>
            <w:noWrap/>
            <w:vAlign w:val="bottom"/>
            <w:hideMark/>
          </w:tcPr>
          <w:p w14:paraId="40CC3699"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858.6</w:t>
            </w:r>
          </w:p>
        </w:tc>
      </w:tr>
      <w:tr w:rsidR="00245464" w:rsidRPr="00191ACB" w14:paraId="538F2069" w14:textId="77777777" w:rsidTr="00B2278F">
        <w:trPr>
          <w:trHeight w:val="296"/>
        </w:trPr>
        <w:tc>
          <w:tcPr>
            <w:tcW w:w="1099" w:type="pct"/>
            <w:tcBorders>
              <w:top w:val="nil"/>
              <w:left w:val="single" w:sz="4" w:space="0" w:color="auto"/>
              <w:bottom w:val="single" w:sz="4" w:space="0" w:color="auto"/>
              <w:right w:val="single" w:sz="4" w:space="0" w:color="auto"/>
            </w:tcBorders>
            <w:shd w:val="clear" w:color="auto" w:fill="auto"/>
            <w:vAlign w:val="bottom"/>
            <w:hideMark/>
          </w:tcPr>
          <w:p w14:paraId="3672DF8B"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CEC(MW)</w:t>
            </w:r>
          </w:p>
        </w:tc>
        <w:tc>
          <w:tcPr>
            <w:tcW w:w="357" w:type="pct"/>
            <w:tcBorders>
              <w:top w:val="nil"/>
              <w:left w:val="single" w:sz="4" w:space="0" w:color="auto"/>
              <w:bottom w:val="single" w:sz="4" w:space="0" w:color="auto"/>
              <w:right w:val="single" w:sz="4" w:space="0" w:color="auto"/>
            </w:tcBorders>
            <w:shd w:val="clear" w:color="auto" w:fill="auto"/>
            <w:vAlign w:val="bottom"/>
          </w:tcPr>
          <w:p w14:paraId="6FF6A72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w:t>
            </w:r>
          </w:p>
        </w:tc>
        <w:tc>
          <w:tcPr>
            <w:tcW w:w="328" w:type="pct"/>
            <w:tcBorders>
              <w:top w:val="nil"/>
              <w:left w:val="nil"/>
              <w:bottom w:val="single" w:sz="4" w:space="0" w:color="auto"/>
              <w:right w:val="single" w:sz="4" w:space="0" w:color="auto"/>
            </w:tcBorders>
            <w:shd w:val="clear" w:color="auto" w:fill="auto"/>
            <w:vAlign w:val="bottom"/>
          </w:tcPr>
          <w:p w14:paraId="6477138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0.2</w:t>
            </w:r>
          </w:p>
        </w:tc>
        <w:tc>
          <w:tcPr>
            <w:tcW w:w="366" w:type="pct"/>
            <w:tcBorders>
              <w:top w:val="nil"/>
              <w:left w:val="nil"/>
              <w:bottom w:val="single" w:sz="4" w:space="0" w:color="auto"/>
              <w:right w:val="single" w:sz="4" w:space="0" w:color="auto"/>
            </w:tcBorders>
            <w:shd w:val="clear" w:color="auto" w:fill="auto"/>
            <w:vAlign w:val="bottom"/>
          </w:tcPr>
          <w:p w14:paraId="4734066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1752</w:t>
            </w:r>
          </w:p>
        </w:tc>
        <w:tc>
          <w:tcPr>
            <w:tcW w:w="278" w:type="pct"/>
            <w:tcBorders>
              <w:top w:val="nil"/>
              <w:left w:val="single" w:sz="4" w:space="0" w:color="auto"/>
              <w:bottom w:val="single" w:sz="4" w:space="0" w:color="auto"/>
              <w:right w:val="single" w:sz="4" w:space="0" w:color="auto"/>
            </w:tcBorders>
            <w:shd w:val="clear" w:color="auto" w:fill="auto"/>
            <w:noWrap/>
            <w:vAlign w:val="bottom"/>
            <w:hideMark/>
          </w:tcPr>
          <w:p w14:paraId="31E7067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78" w:type="pct"/>
            <w:tcBorders>
              <w:top w:val="nil"/>
              <w:left w:val="nil"/>
              <w:bottom w:val="single" w:sz="4" w:space="0" w:color="auto"/>
              <w:right w:val="single" w:sz="4" w:space="0" w:color="auto"/>
            </w:tcBorders>
            <w:shd w:val="clear" w:color="auto" w:fill="auto"/>
            <w:noWrap/>
            <w:vAlign w:val="bottom"/>
            <w:hideMark/>
          </w:tcPr>
          <w:p w14:paraId="06EF198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94" w:type="pct"/>
            <w:tcBorders>
              <w:top w:val="nil"/>
              <w:left w:val="nil"/>
              <w:bottom w:val="single" w:sz="4" w:space="0" w:color="auto"/>
              <w:right w:val="single" w:sz="4" w:space="0" w:color="auto"/>
            </w:tcBorders>
            <w:shd w:val="clear" w:color="auto" w:fill="auto"/>
            <w:noWrap/>
            <w:vAlign w:val="bottom"/>
            <w:hideMark/>
          </w:tcPr>
          <w:p w14:paraId="1DB25EC1"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334" w:type="pct"/>
            <w:tcBorders>
              <w:top w:val="nil"/>
              <w:left w:val="nil"/>
              <w:bottom w:val="single" w:sz="4" w:space="0" w:color="auto"/>
              <w:right w:val="single" w:sz="4" w:space="0" w:color="auto"/>
            </w:tcBorders>
            <w:shd w:val="clear" w:color="auto" w:fill="auto"/>
            <w:noWrap/>
            <w:vAlign w:val="bottom"/>
            <w:hideMark/>
          </w:tcPr>
          <w:p w14:paraId="5EE9D36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334" w:type="pct"/>
            <w:tcBorders>
              <w:top w:val="nil"/>
              <w:left w:val="nil"/>
              <w:bottom w:val="single" w:sz="4" w:space="0" w:color="auto"/>
              <w:right w:val="single" w:sz="4" w:space="0" w:color="auto"/>
            </w:tcBorders>
            <w:shd w:val="clear" w:color="auto" w:fill="auto"/>
            <w:noWrap/>
            <w:vAlign w:val="bottom"/>
            <w:hideMark/>
          </w:tcPr>
          <w:p w14:paraId="4B5EEBB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334" w:type="pct"/>
            <w:tcBorders>
              <w:top w:val="nil"/>
              <w:left w:val="nil"/>
              <w:bottom w:val="single" w:sz="4" w:space="0" w:color="auto"/>
              <w:right w:val="single" w:sz="4" w:space="0" w:color="auto"/>
            </w:tcBorders>
            <w:shd w:val="clear" w:color="auto" w:fill="auto"/>
            <w:noWrap/>
            <w:vAlign w:val="bottom"/>
            <w:hideMark/>
          </w:tcPr>
          <w:p w14:paraId="13864751"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334" w:type="pct"/>
            <w:tcBorders>
              <w:top w:val="nil"/>
              <w:left w:val="nil"/>
              <w:bottom w:val="single" w:sz="4" w:space="0" w:color="auto"/>
              <w:right w:val="single" w:sz="4" w:space="0" w:color="auto"/>
            </w:tcBorders>
            <w:shd w:val="clear" w:color="auto" w:fill="auto"/>
            <w:noWrap/>
            <w:vAlign w:val="bottom"/>
            <w:hideMark/>
          </w:tcPr>
          <w:p w14:paraId="216AB4D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334" w:type="pct"/>
            <w:tcBorders>
              <w:top w:val="nil"/>
              <w:left w:val="nil"/>
              <w:bottom w:val="single" w:sz="4" w:space="0" w:color="auto"/>
              <w:right w:val="single" w:sz="4" w:space="0" w:color="auto"/>
            </w:tcBorders>
            <w:shd w:val="clear" w:color="auto" w:fill="auto"/>
            <w:noWrap/>
            <w:vAlign w:val="bottom"/>
            <w:hideMark/>
          </w:tcPr>
          <w:p w14:paraId="15A92BE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330" w:type="pct"/>
            <w:tcBorders>
              <w:top w:val="nil"/>
              <w:left w:val="nil"/>
              <w:bottom w:val="single" w:sz="4" w:space="0" w:color="auto"/>
              <w:right w:val="single" w:sz="4" w:space="0" w:color="auto"/>
            </w:tcBorders>
            <w:shd w:val="clear" w:color="auto" w:fill="auto"/>
            <w:noWrap/>
            <w:vAlign w:val="bottom"/>
            <w:hideMark/>
          </w:tcPr>
          <w:p w14:paraId="1604DC9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r>
      <w:tr w:rsidR="00245464" w:rsidRPr="00191ACB" w14:paraId="2718CEDD" w14:textId="77777777" w:rsidTr="00B2278F">
        <w:trPr>
          <w:trHeight w:val="449"/>
        </w:trPr>
        <w:tc>
          <w:tcPr>
            <w:tcW w:w="1099" w:type="pct"/>
            <w:tcBorders>
              <w:top w:val="nil"/>
              <w:left w:val="single" w:sz="4" w:space="0" w:color="auto"/>
              <w:bottom w:val="single" w:sz="4" w:space="0" w:color="auto"/>
              <w:right w:val="single" w:sz="4" w:space="0" w:color="auto"/>
            </w:tcBorders>
            <w:shd w:val="clear" w:color="auto" w:fill="auto"/>
            <w:vAlign w:val="bottom"/>
            <w:hideMark/>
          </w:tcPr>
          <w:p w14:paraId="34DB45A5"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GIZ working with 8 companies with each to install 1MW with batteries</w:t>
            </w:r>
          </w:p>
        </w:tc>
        <w:tc>
          <w:tcPr>
            <w:tcW w:w="357" w:type="pct"/>
            <w:tcBorders>
              <w:top w:val="nil"/>
              <w:left w:val="single" w:sz="4" w:space="0" w:color="auto"/>
              <w:bottom w:val="single" w:sz="4" w:space="0" w:color="auto"/>
              <w:right w:val="single" w:sz="4" w:space="0" w:color="auto"/>
            </w:tcBorders>
            <w:shd w:val="clear" w:color="auto" w:fill="auto"/>
            <w:vAlign w:val="bottom"/>
          </w:tcPr>
          <w:p w14:paraId="5B0B9B3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8</w:t>
            </w:r>
          </w:p>
        </w:tc>
        <w:tc>
          <w:tcPr>
            <w:tcW w:w="328" w:type="pct"/>
            <w:tcBorders>
              <w:top w:val="nil"/>
              <w:left w:val="nil"/>
              <w:bottom w:val="single" w:sz="4" w:space="0" w:color="auto"/>
              <w:right w:val="single" w:sz="4" w:space="0" w:color="auto"/>
            </w:tcBorders>
            <w:shd w:val="clear" w:color="auto" w:fill="auto"/>
            <w:vAlign w:val="bottom"/>
          </w:tcPr>
          <w:p w14:paraId="674D6EE1"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0.2</w:t>
            </w:r>
          </w:p>
        </w:tc>
        <w:tc>
          <w:tcPr>
            <w:tcW w:w="366" w:type="pct"/>
            <w:tcBorders>
              <w:top w:val="nil"/>
              <w:left w:val="nil"/>
              <w:bottom w:val="single" w:sz="4" w:space="0" w:color="auto"/>
              <w:right w:val="single" w:sz="4" w:space="0" w:color="auto"/>
            </w:tcBorders>
            <w:shd w:val="clear" w:color="auto" w:fill="auto"/>
            <w:vAlign w:val="bottom"/>
          </w:tcPr>
          <w:p w14:paraId="20A3A3E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14016</w:t>
            </w:r>
          </w:p>
        </w:tc>
        <w:tc>
          <w:tcPr>
            <w:tcW w:w="278" w:type="pct"/>
            <w:tcBorders>
              <w:top w:val="nil"/>
              <w:left w:val="single" w:sz="4" w:space="0" w:color="auto"/>
              <w:bottom w:val="single" w:sz="4" w:space="0" w:color="auto"/>
              <w:right w:val="single" w:sz="4" w:space="0" w:color="auto"/>
            </w:tcBorders>
            <w:shd w:val="clear" w:color="auto" w:fill="auto"/>
            <w:noWrap/>
            <w:vAlign w:val="bottom"/>
            <w:hideMark/>
          </w:tcPr>
          <w:p w14:paraId="40D3998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78" w:type="pct"/>
            <w:tcBorders>
              <w:top w:val="nil"/>
              <w:left w:val="nil"/>
              <w:bottom w:val="single" w:sz="4" w:space="0" w:color="auto"/>
              <w:right w:val="single" w:sz="4" w:space="0" w:color="auto"/>
            </w:tcBorders>
            <w:shd w:val="clear" w:color="auto" w:fill="auto"/>
            <w:noWrap/>
            <w:vAlign w:val="bottom"/>
            <w:hideMark/>
          </w:tcPr>
          <w:p w14:paraId="10B69EC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94" w:type="pct"/>
            <w:tcBorders>
              <w:top w:val="nil"/>
              <w:left w:val="nil"/>
              <w:bottom w:val="single" w:sz="4" w:space="0" w:color="auto"/>
              <w:right w:val="single" w:sz="4" w:space="0" w:color="auto"/>
            </w:tcBorders>
            <w:shd w:val="clear" w:color="auto" w:fill="auto"/>
            <w:noWrap/>
            <w:vAlign w:val="bottom"/>
            <w:hideMark/>
          </w:tcPr>
          <w:p w14:paraId="48F4EE2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334" w:type="pct"/>
            <w:tcBorders>
              <w:top w:val="nil"/>
              <w:left w:val="nil"/>
              <w:bottom w:val="single" w:sz="4" w:space="0" w:color="auto"/>
              <w:right w:val="single" w:sz="4" w:space="0" w:color="auto"/>
            </w:tcBorders>
            <w:shd w:val="clear" w:color="auto" w:fill="auto"/>
            <w:noWrap/>
            <w:vAlign w:val="bottom"/>
            <w:hideMark/>
          </w:tcPr>
          <w:p w14:paraId="77608C01"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13.7</w:t>
            </w:r>
          </w:p>
        </w:tc>
        <w:tc>
          <w:tcPr>
            <w:tcW w:w="334" w:type="pct"/>
            <w:tcBorders>
              <w:top w:val="nil"/>
              <w:left w:val="nil"/>
              <w:bottom w:val="single" w:sz="4" w:space="0" w:color="auto"/>
              <w:right w:val="single" w:sz="4" w:space="0" w:color="auto"/>
            </w:tcBorders>
            <w:shd w:val="clear" w:color="auto" w:fill="auto"/>
            <w:noWrap/>
            <w:vAlign w:val="bottom"/>
            <w:hideMark/>
          </w:tcPr>
          <w:p w14:paraId="4DE7F3A8"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13.7</w:t>
            </w:r>
          </w:p>
        </w:tc>
        <w:tc>
          <w:tcPr>
            <w:tcW w:w="334" w:type="pct"/>
            <w:tcBorders>
              <w:top w:val="nil"/>
              <w:left w:val="nil"/>
              <w:bottom w:val="single" w:sz="4" w:space="0" w:color="auto"/>
              <w:right w:val="single" w:sz="4" w:space="0" w:color="auto"/>
            </w:tcBorders>
            <w:shd w:val="clear" w:color="auto" w:fill="auto"/>
            <w:noWrap/>
            <w:vAlign w:val="bottom"/>
            <w:hideMark/>
          </w:tcPr>
          <w:p w14:paraId="567B4015"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13.7</w:t>
            </w:r>
          </w:p>
        </w:tc>
        <w:tc>
          <w:tcPr>
            <w:tcW w:w="334" w:type="pct"/>
            <w:tcBorders>
              <w:top w:val="nil"/>
              <w:left w:val="nil"/>
              <w:bottom w:val="single" w:sz="4" w:space="0" w:color="auto"/>
              <w:right w:val="single" w:sz="4" w:space="0" w:color="auto"/>
            </w:tcBorders>
            <w:shd w:val="clear" w:color="auto" w:fill="auto"/>
            <w:noWrap/>
            <w:vAlign w:val="bottom"/>
            <w:hideMark/>
          </w:tcPr>
          <w:p w14:paraId="51564D7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13.7</w:t>
            </w:r>
          </w:p>
        </w:tc>
        <w:tc>
          <w:tcPr>
            <w:tcW w:w="334" w:type="pct"/>
            <w:tcBorders>
              <w:top w:val="nil"/>
              <w:left w:val="nil"/>
              <w:bottom w:val="single" w:sz="4" w:space="0" w:color="auto"/>
              <w:right w:val="single" w:sz="4" w:space="0" w:color="auto"/>
            </w:tcBorders>
            <w:shd w:val="clear" w:color="auto" w:fill="auto"/>
            <w:noWrap/>
            <w:vAlign w:val="bottom"/>
            <w:hideMark/>
          </w:tcPr>
          <w:p w14:paraId="76E7381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13.7</w:t>
            </w:r>
          </w:p>
        </w:tc>
        <w:tc>
          <w:tcPr>
            <w:tcW w:w="330" w:type="pct"/>
            <w:tcBorders>
              <w:top w:val="nil"/>
              <w:left w:val="nil"/>
              <w:bottom w:val="single" w:sz="4" w:space="0" w:color="auto"/>
              <w:right w:val="single" w:sz="4" w:space="0" w:color="auto"/>
            </w:tcBorders>
            <w:shd w:val="clear" w:color="auto" w:fill="auto"/>
            <w:noWrap/>
            <w:vAlign w:val="bottom"/>
            <w:hideMark/>
          </w:tcPr>
          <w:p w14:paraId="1F5F53A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13.7</w:t>
            </w:r>
          </w:p>
        </w:tc>
      </w:tr>
      <w:tr w:rsidR="00245464" w:rsidRPr="00191ACB" w14:paraId="6B8030CE" w14:textId="77777777" w:rsidTr="00B2278F">
        <w:trPr>
          <w:trHeight w:val="431"/>
        </w:trPr>
        <w:tc>
          <w:tcPr>
            <w:tcW w:w="1099" w:type="pct"/>
            <w:tcBorders>
              <w:top w:val="nil"/>
              <w:left w:val="single" w:sz="4" w:space="0" w:color="auto"/>
              <w:bottom w:val="single" w:sz="4" w:space="0" w:color="auto"/>
              <w:right w:val="single" w:sz="4" w:space="0" w:color="auto"/>
            </w:tcBorders>
            <w:shd w:val="clear" w:color="auto" w:fill="auto"/>
            <w:vAlign w:val="bottom"/>
            <w:hideMark/>
          </w:tcPr>
          <w:p w14:paraId="7DC4B9AA"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ZESCO Shangombo 1MW by 2021 battery system to replace diesel</w:t>
            </w:r>
          </w:p>
        </w:tc>
        <w:tc>
          <w:tcPr>
            <w:tcW w:w="357" w:type="pct"/>
            <w:tcBorders>
              <w:top w:val="nil"/>
              <w:left w:val="single" w:sz="4" w:space="0" w:color="auto"/>
              <w:bottom w:val="single" w:sz="4" w:space="0" w:color="auto"/>
              <w:right w:val="single" w:sz="4" w:space="0" w:color="auto"/>
            </w:tcBorders>
            <w:shd w:val="clear" w:color="auto" w:fill="auto"/>
            <w:vAlign w:val="bottom"/>
          </w:tcPr>
          <w:p w14:paraId="7F13B699"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w:t>
            </w:r>
          </w:p>
        </w:tc>
        <w:tc>
          <w:tcPr>
            <w:tcW w:w="328" w:type="pct"/>
            <w:tcBorders>
              <w:top w:val="nil"/>
              <w:left w:val="nil"/>
              <w:bottom w:val="single" w:sz="4" w:space="0" w:color="auto"/>
              <w:right w:val="single" w:sz="4" w:space="0" w:color="auto"/>
            </w:tcBorders>
            <w:shd w:val="clear" w:color="auto" w:fill="auto"/>
            <w:vAlign w:val="bottom"/>
          </w:tcPr>
          <w:p w14:paraId="325117E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0.2</w:t>
            </w:r>
          </w:p>
        </w:tc>
        <w:tc>
          <w:tcPr>
            <w:tcW w:w="366" w:type="pct"/>
            <w:tcBorders>
              <w:top w:val="nil"/>
              <w:left w:val="nil"/>
              <w:bottom w:val="single" w:sz="4" w:space="0" w:color="auto"/>
              <w:right w:val="single" w:sz="4" w:space="0" w:color="auto"/>
            </w:tcBorders>
            <w:shd w:val="clear" w:color="auto" w:fill="auto"/>
            <w:vAlign w:val="bottom"/>
          </w:tcPr>
          <w:p w14:paraId="6C0F9AD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1752</w:t>
            </w:r>
          </w:p>
        </w:tc>
        <w:tc>
          <w:tcPr>
            <w:tcW w:w="278" w:type="pct"/>
            <w:tcBorders>
              <w:top w:val="nil"/>
              <w:left w:val="single" w:sz="4" w:space="0" w:color="auto"/>
              <w:bottom w:val="single" w:sz="4" w:space="0" w:color="auto"/>
              <w:right w:val="single" w:sz="4" w:space="0" w:color="auto"/>
            </w:tcBorders>
            <w:shd w:val="clear" w:color="auto" w:fill="auto"/>
            <w:noWrap/>
            <w:vAlign w:val="bottom"/>
            <w:hideMark/>
          </w:tcPr>
          <w:p w14:paraId="2DB314D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78" w:type="pct"/>
            <w:tcBorders>
              <w:top w:val="nil"/>
              <w:left w:val="nil"/>
              <w:bottom w:val="single" w:sz="4" w:space="0" w:color="auto"/>
              <w:right w:val="single" w:sz="4" w:space="0" w:color="auto"/>
            </w:tcBorders>
            <w:shd w:val="clear" w:color="auto" w:fill="auto"/>
            <w:noWrap/>
            <w:vAlign w:val="bottom"/>
            <w:hideMark/>
          </w:tcPr>
          <w:p w14:paraId="4A33A94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94" w:type="pct"/>
            <w:tcBorders>
              <w:top w:val="nil"/>
              <w:left w:val="nil"/>
              <w:bottom w:val="single" w:sz="4" w:space="0" w:color="auto"/>
              <w:right w:val="single" w:sz="4" w:space="0" w:color="auto"/>
            </w:tcBorders>
            <w:shd w:val="clear" w:color="auto" w:fill="auto"/>
            <w:noWrap/>
            <w:vAlign w:val="bottom"/>
            <w:hideMark/>
          </w:tcPr>
          <w:p w14:paraId="3AF166C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334" w:type="pct"/>
            <w:tcBorders>
              <w:top w:val="nil"/>
              <w:left w:val="nil"/>
              <w:bottom w:val="single" w:sz="4" w:space="0" w:color="auto"/>
              <w:right w:val="single" w:sz="4" w:space="0" w:color="auto"/>
            </w:tcBorders>
            <w:shd w:val="clear" w:color="auto" w:fill="auto"/>
            <w:noWrap/>
            <w:vAlign w:val="bottom"/>
            <w:hideMark/>
          </w:tcPr>
          <w:p w14:paraId="5A00A84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334" w:type="pct"/>
            <w:tcBorders>
              <w:top w:val="nil"/>
              <w:left w:val="nil"/>
              <w:bottom w:val="single" w:sz="4" w:space="0" w:color="auto"/>
              <w:right w:val="single" w:sz="4" w:space="0" w:color="auto"/>
            </w:tcBorders>
            <w:shd w:val="clear" w:color="auto" w:fill="auto"/>
            <w:noWrap/>
            <w:vAlign w:val="bottom"/>
            <w:hideMark/>
          </w:tcPr>
          <w:p w14:paraId="66455AC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334" w:type="pct"/>
            <w:tcBorders>
              <w:top w:val="nil"/>
              <w:left w:val="nil"/>
              <w:bottom w:val="single" w:sz="4" w:space="0" w:color="auto"/>
              <w:right w:val="single" w:sz="4" w:space="0" w:color="auto"/>
            </w:tcBorders>
            <w:shd w:val="clear" w:color="auto" w:fill="auto"/>
            <w:noWrap/>
            <w:vAlign w:val="bottom"/>
            <w:hideMark/>
          </w:tcPr>
          <w:p w14:paraId="0DB95998"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334" w:type="pct"/>
            <w:tcBorders>
              <w:top w:val="nil"/>
              <w:left w:val="nil"/>
              <w:bottom w:val="single" w:sz="4" w:space="0" w:color="auto"/>
              <w:right w:val="single" w:sz="4" w:space="0" w:color="auto"/>
            </w:tcBorders>
            <w:shd w:val="clear" w:color="auto" w:fill="auto"/>
            <w:noWrap/>
            <w:vAlign w:val="bottom"/>
            <w:hideMark/>
          </w:tcPr>
          <w:p w14:paraId="1AAEDE0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334" w:type="pct"/>
            <w:tcBorders>
              <w:top w:val="nil"/>
              <w:left w:val="nil"/>
              <w:bottom w:val="single" w:sz="4" w:space="0" w:color="auto"/>
              <w:right w:val="single" w:sz="4" w:space="0" w:color="auto"/>
            </w:tcBorders>
            <w:shd w:val="clear" w:color="auto" w:fill="auto"/>
            <w:noWrap/>
            <w:vAlign w:val="bottom"/>
            <w:hideMark/>
          </w:tcPr>
          <w:p w14:paraId="4187B8A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c>
          <w:tcPr>
            <w:tcW w:w="330" w:type="pct"/>
            <w:tcBorders>
              <w:top w:val="nil"/>
              <w:left w:val="nil"/>
              <w:bottom w:val="single" w:sz="4" w:space="0" w:color="auto"/>
              <w:right w:val="single" w:sz="4" w:space="0" w:color="auto"/>
            </w:tcBorders>
            <w:shd w:val="clear" w:color="auto" w:fill="auto"/>
            <w:noWrap/>
            <w:vAlign w:val="bottom"/>
            <w:hideMark/>
          </w:tcPr>
          <w:p w14:paraId="0EC30AC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w:t>
            </w:r>
          </w:p>
        </w:tc>
      </w:tr>
      <w:tr w:rsidR="00245464" w:rsidRPr="00191ACB" w14:paraId="4D61B0F8" w14:textId="77777777" w:rsidTr="00B2278F">
        <w:trPr>
          <w:trHeight w:val="300"/>
        </w:trPr>
        <w:tc>
          <w:tcPr>
            <w:tcW w:w="1099" w:type="pct"/>
            <w:tcBorders>
              <w:top w:val="nil"/>
              <w:left w:val="single" w:sz="4" w:space="0" w:color="auto"/>
              <w:bottom w:val="single" w:sz="4" w:space="0" w:color="auto"/>
              <w:right w:val="single" w:sz="4" w:space="0" w:color="auto"/>
            </w:tcBorders>
            <w:shd w:val="clear" w:color="auto" w:fill="auto"/>
            <w:vAlign w:val="bottom"/>
            <w:hideMark/>
          </w:tcPr>
          <w:p w14:paraId="2FDD2C7F"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ZESCO-300MW in Serenje, Choma, Itezhi-Tezhi</w:t>
            </w:r>
          </w:p>
        </w:tc>
        <w:tc>
          <w:tcPr>
            <w:tcW w:w="357" w:type="pct"/>
            <w:tcBorders>
              <w:top w:val="nil"/>
              <w:left w:val="single" w:sz="4" w:space="0" w:color="auto"/>
              <w:bottom w:val="single" w:sz="4" w:space="0" w:color="auto"/>
              <w:right w:val="single" w:sz="4" w:space="0" w:color="auto"/>
            </w:tcBorders>
            <w:shd w:val="clear" w:color="auto" w:fill="auto"/>
            <w:vAlign w:val="bottom"/>
          </w:tcPr>
          <w:p w14:paraId="5300E01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300</w:t>
            </w:r>
          </w:p>
        </w:tc>
        <w:tc>
          <w:tcPr>
            <w:tcW w:w="328" w:type="pct"/>
            <w:tcBorders>
              <w:top w:val="nil"/>
              <w:left w:val="nil"/>
              <w:bottom w:val="single" w:sz="4" w:space="0" w:color="auto"/>
              <w:right w:val="single" w:sz="4" w:space="0" w:color="auto"/>
            </w:tcBorders>
            <w:shd w:val="clear" w:color="auto" w:fill="auto"/>
            <w:vAlign w:val="bottom"/>
          </w:tcPr>
          <w:p w14:paraId="63A10DDF"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0.2</w:t>
            </w:r>
          </w:p>
        </w:tc>
        <w:tc>
          <w:tcPr>
            <w:tcW w:w="366" w:type="pct"/>
            <w:tcBorders>
              <w:top w:val="nil"/>
              <w:left w:val="nil"/>
              <w:bottom w:val="single" w:sz="4" w:space="0" w:color="auto"/>
              <w:right w:val="single" w:sz="4" w:space="0" w:color="auto"/>
            </w:tcBorders>
            <w:shd w:val="clear" w:color="auto" w:fill="auto"/>
            <w:vAlign w:val="bottom"/>
          </w:tcPr>
          <w:p w14:paraId="349DFD1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525600</w:t>
            </w:r>
          </w:p>
        </w:tc>
        <w:tc>
          <w:tcPr>
            <w:tcW w:w="278" w:type="pct"/>
            <w:tcBorders>
              <w:top w:val="nil"/>
              <w:left w:val="single" w:sz="4" w:space="0" w:color="auto"/>
              <w:bottom w:val="single" w:sz="4" w:space="0" w:color="auto"/>
              <w:right w:val="single" w:sz="4" w:space="0" w:color="auto"/>
            </w:tcBorders>
            <w:shd w:val="clear" w:color="auto" w:fill="auto"/>
            <w:noWrap/>
            <w:vAlign w:val="bottom"/>
            <w:hideMark/>
          </w:tcPr>
          <w:p w14:paraId="2C03A729"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78" w:type="pct"/>
            <w:tcBorders>
              <w:top w:val="nil"/>
              <w:left w:val="nil"/>
              <w:bottom w:val="single" w:sz="4" w:space="0" w:color="auto"/>
              <w:right w:val="single" w:sz="4" w:space="0" w:color="auto"/>
            </w:tcBorders>
            <w:shd w:val="clear" w:color="auto" w:fill="auto"/>
            <w:noWrap/>
            <w:vAlign w:val="bottom"/>
            <w:hideMark/>
          </w:tcPr>
          <w:p w14:paraId="2330AC2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94" w:type="pct"/>
            <w:tcBorders>
              <w:top w:val="nil"/>
              <w:left w:val="nil"/>
              <w:bottom w:val="single" w:sz="4" w:space="0" w:color="auto"/>
              <w:right w:val="single" w:sz="4" w:space="0" w:color="auto"/>
            </w:tcBorders>
            <w:shd w:val="clear" w:color="auto" w:fill="auto"/>
            <w:noWrap/>
            <w:vAlign w:val="bottom"/>
            <w:hideMark/>
          </w:tcPr>
          <w:p w14:paraId="1D485ED5"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334" w:type="pct"/>
            <w:tcBorders>
              <w:top w:val="nil"/>
              <w:left w:val="nil"/>
              <w:bottom w:val="single" w:sz="4" w:space="0" w:color="auto"/>
              <w:right w:val="single" w:sz="4" w:space="0" w:color="auto"/>
            </w:tcBorders>
            <w:shd w:val="clear" w:color="auto" w:fill="auto"/>
            <w:noWrap/>
            <w:vAlign w:val="bottom"/>
            <w:hideMark/>
          </w:tcPr>
          <w:p w14:paraId="7C6AD9F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515.1</w:t>
            </w:r>
          </w:p>
        </w:tc>
        <w:tc>
          <w:tcPr>
            <w:tcW w:w="334" w:type="pct"/>
            <w:tcBorders>
              <w:top w:val="nil"/>
              <w:left w:val="nil"/>
              <w:bottom w:val="single" w:sz="4" w:space="0" w:color="auto"/>
              <w:right w:val="single" w:sz="4" w:space="0" w:color="auto"/>
            </w:tcBorders>
            <w:shd w:val="clear" w:color="auto" w:fill="auto"/>
            <w:noWrap/>
            <w:vAlign w:val="bottom"/>
            <w:hideMark/>
          </w:tcPr>
          <w:p w14:paraId="2A3972C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515.1</w:t>
            </w:r>
          </w:p>
        </w:tc>
        <w:tc>
          <w:tcPr>
            <w:tcW w:w="334" w:type="pct"/>
            <w:tcBorders>
              <w:top w:val="nil"/>
              <w:left w:val="nil"/>
              <w:bottom w:val="single" w:sz="4" w:space="0" w:color="auto"/>
              <w:right w:val="single" w:sz="4" w:space="0" w:color="auto"/>
            </w:tcBorders>
            <w:shd w:val="clear" w:color="auto" w:fill="auto"/>
            <w:noWrap/>
            <w:vAlign w:val="bottom"/>
            <w:hideMark/>
          </w:tcPr>
          <w:p w14:paraId="78F470F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515.1</w:t>
            </w:r>
          </w:p>
        </w:tc>
        <w:tc>
          <w:tcPr>
            <w:tcW w:w="334" w:type="pct"/>
            <w:tcBorders>
              <w:top w:val="nil"/>
              <w:left w:val="nil"/>
              <w:bottom w:val="single" w:sz="4" w:space="0" w:color="auto"/>
              <w:right w:val="single" w:sz="4" w:space="0" w:color="auto"/>
            </w:tcBorders>
            <w:shd w:val="clear" w:color="auto" w:fill="auto"/>
            <w:noWrap/>
            <w:vAlign w:val="bottom"/>
            <w:hideMark/>
          </w:tcPr>
          <w:p w14:paraId="549F850F"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515.1</w:t>
            </w:r>
          </w:p>
        </w:tc>
        <w:tc>
          <w:tcPr>
            <w:tcW w:w="334" w:type="pct"/>
            <w:tcBorders>
              <w:top w:val="nil"/>
              <w:left w:val="nil"/>
              <w:bottom w:val="single" w:sz="4" w:space="0" w:color="auto"/>
              <w:right w:val="single" w:sz="4" w:space="0" w:color="auto"/>
            </w:tcBorders>
            <w:shd w:val="clear" w:color="auto" w:fill="auto"/>
            <w:noWrap/>
            <w:vAlign w:val="bottom"/>
            <w:hideMark/>
          </w:tcPr>
          <w:p w14:paraId="06C060B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515.1</w:t>
            </w:r>
          </w:p>
        </w:tc>
        <w:tc>
          <w:tcPr>
            <w:tcW w:w="330" w:type="pct"/>
            <w:tcBorders>
              <w:top w:val="nil"/>
              <w:left w:val="nil"/>
              <w:bottom w:val="single" w:sz="4" w:space="0" w:color="auto"/>
              <w:right w:val="single" w:sz="4" w:space="0" w:color="auto"/>
            </w:tcBorders>
            <w:shd w:val="clear" w:color="auto" w:fill="auto"/>
            <w:noWrap/>
            <w:vAlign w:val="bottom"/>
            <w:hideMark/>
          </w:tcPr>
          <w:p w14:paraId="1D4A7B1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515.1</w:t>
            </w:r>
          </w:p>
        </w:tc>
      </w:tr>
      <w:tr w:rsidR="00245464" w:rsidRPr="00191ACB" w14:paraId="6EAD6ABF" w14:textId="77777777" w:rsidTr="00B2278F">
        <w:trPr>
          <w:trHeight w:val="300"/>
        </w:trPr>
        <w:tc>
          <w:tcPr>
            <w:tcW w:w="1099" w:type="pct"/>
            <w:tcBorders>
              <w:top w:val="nil"/>
              <w:left w:val="single" w:sz="4" w:space="0" w:color="auto"/>
              <w:bottom w:val="single" w:sz="4" w:space="0" w:color="auto"/>
              <w:right w:val="single" w:sz="4" w:space="0" w:color="auto"/>
            </w:tcBorders>
            <w:shd w:val="clear" w:color="auto" w:fill="auto"/>
            <w:vAlign w:val="bottom"/>
            <w:hideMark/>
          </w:tcPr>
          <w:p w14:paraId="37CF0518"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GETFiT Solar Project Phase I</w:t>
            </w:r>
          </w:p>
        </w:tc>
        <w:tc>
          <w:tcPr>
            <w:tcW w:w="357" w:type="pct"/>
            <w:tcBorders>
              <w:top w:val="single" w:sz="8" w:space="0" w:color="auto"/>
              <w:left w:val="nil"/>
              <w:bottom w:val="single" w:sz="8" w:space="0" w:color="auto"/>
              <w:right w:val="single" w:sz="8" w:space="0" w:color="auto"/>
            </w:tcBorders>
            <w:shd w:val="clear" w:color="auto" w:fill="auto"/>
            <w:vAlign w:val="center"/>
          </w:tcPr>
          <w:p w14:paraId="1C032BE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100</w:t>
            </w:r>
          </w:p>
        </w:tc>
        <w:tc>
          <w:tcPr>
            <w:tcW w:w="328" w:type="pct"/>
            <w:tcBorders>
              <w:top w:val="nil"/>
              <w:left w:val="single" w:sz="4" w:space="0" w:color="auto"/>
              <w:bottom w:val="single" w:sz="4" w:space="0" w:color="auto"/>
              <w:right w:val="single" w:sz="4" w:space="0" w:color="auto"/>
            </w:tcBorders>
            <w:shd w:val="clear" w:color="auto" w:fill="auto"/>
            <w:vAlign w:val="bottom"/>
          </w:tcPr>
          <w:p w14:paraId="40B73F7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0.2</w:t>
            </w:r>
          </w:p>
        </w:tc>
        <w:tc>
          <w:tcPr>
            <w:tcW w:w="366" w:type="pct"/>
            <w:tcBorders>
              <w:top w:val="nil"/>
              <w:left w:val="nil"/>
              <w:bottom w:val="single" w:sz="4" w:space="0" w:color="auto"/>
              <w:right w:val="single" w:sz="4" w:space="0" w:color="auto"/>
            </w:tcBorders>
            <w:shd w:val="clear" w:color="auto" w:fill="auto"/>
            <w:vAlign w:val="bottom"/>
          </w:tcPr>
          <w:p w14:paraId="510B75B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175200</w:t>
            </w:r>
          </w:p>
        </w:tc>
        <w:tc>
          <w:tcPr>
            <w:tcW w:w="278" w:type="pct"/>
            <w:tcBorders>
              <w:top w:val="nil"/>
              <w:left w:val="single" w:sz="4" w:space="0" w:color="auto"/>
              <w:bottom w:val="single" w:sz="4" w:space="0" w:color="auto"/>
              <w:right w:val="single" w:sz="4" w:space="0" w:color="auto"/>
            </w:tcBorders>
            <w:shd w:val="clear" w:color="auto" w:fill="auto"/>
            <w:noWrap/>
            <w:vAlign w:val="bottom"/>
            <w:hideMark/>
          </w:tcPr>
          <w:p w14:paraId="3FAF455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78" w:type="pct"/>
            <w:tcBorders>
              <w:top w:val="nil"/>
              <w:left w:val="nil"/>
              <w:bottom w:val="single" w:sz="4" w:space="0" w:color="auto"/>
              <w:right w:val="single" w:sz="4" w:space="0" w:color="auto"/>
            </w:tcBorders>
            <w:shd w:val="clear" w:color="auto" w:fill="auto"/>
            <w:noWrap/>
            <w:vAlign w:val="bottom"/>
            <w:hideMark/>
          </w:tcPr>
          <w:p w14:paraId="420326D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294" w:type="pct"/>
            <w:tcBorders>
              <w:top w:val="nil"/>
              <w:left w:val="nil"/>
              <w:bottom w:val="single" w:sz="4" w:space="0" w:color="auto"/>
              <w:right w:val="single" w:sz="4" w:space="0" w:color="auto"/>
            </w:tcBorders>
            <w:shd w:val="clear" w:color="auto" w:fill="auto"/>
            <w:noWrap/>
            <w:vAlign w:val="bottom"/>
            <w:hideMark/>
          </w:tcPr>
          <w:p w14:paraId="0DF5EDF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334" w:type="pct"/>
            <w:tcBorders>
              <w:top w:val="nil"/>
              <w:left w:val="nil"/>
              <w:bottom w:val="single" w:sz="4" w:space="0" w:color="auto"/>
              <w:right w:val="single" w:sz="4" w:space="0" w:color="auto"/>
            </w:tcBorders>
            <w:shd w:val="clear" w:color="auto" w:fill="auto"/>
            <w:noWrap/>
            <w:vAlign w:val="bottom"/>
            <w:hideMark/>
          </w:tcPr>
          <w:p w14:paraId="2EB6A06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171.7</w:t>
            </w:r>
          </w:p>
        </w:tc>
        <w:tc>
          <w:tcPr>
            <w:tcW w:w="334" w:type="pct"/>
            <w:tcBorders>
              <w:top w:val="nil"/>
              <w:left w:val="nil"/>
              <w:bottom w:val="single" w:sz="4" w:space="0" w:color="auto"/>
              <w:right w:val="single" w:sz="4" w:space="0" w:color="auto"/>
            </w:tcBorders>
            <w:shd w:val="clear" w:color="auto" w:fill="auto"/>
            <w:noWrap/>
            <w:vAlign w:val="bottom"/>
            <w:hideMark/>
          </w:tcPr>
          <w:p w14:paraId="2F34657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171.7</w:t>
            </w:r>
          </w:p>
        </w:tc>
        <w:tc>
          <w:tcPr>
            <w:tcW w:w="334" w:type="pct"/>
            <w:tcBorders>
              <w:top w:val="nil"/>
              <w:left w:val="nil"/>
              <w:bottom w:val="single" w:sz="4" w:space="0" w:color="auto"/>
              <w:right w:val="single" w:sz="4" w:space="0" w:color="auto"/>
            </w:tcBorders>
            <w:shd w:val="clear" w:color="auto" w:fill="auto"/>
            <w:noWrap/>
            <w:vAlign w:val="bottom"/>
            <w:hideMark/>
          </w:tcPr>
          <w:p w14:paraId="0824413F"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171.7</w:t>
            </w:r>
          </w:p>
        </w:tc>
        <w:tc>
          <w:tcPr>
            <w:tcW w:w="334" w:type="pct"/>
            <w:tcBorders>
              <w:top w:val="nil"/>
              <w:left w:val="nil"/>
              <w:bottom w:val="single" w:sz="4" w:space="0" w:color="auto"/>
              <w:right w:val="single" w:sz="4" w:space="0" w:color="auto"/>
            </w:tcBorders>
            <w:shd w:val="clear" w:color="auto" w:fill="auto"/>
            <w:noWrap/>
            <w:vAlign w:val="bottom"/>
            <w:hideMark/>
          </w:tcPr>
          <w:p w14:paraId="71E7D345"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171.7</w:t>
            </w:r>
          </w:p>
        </w:tc>
        <w:tc>
          <w:tcPr>
            <w:tcW w:w="334" w:type="pct"/>
            <w:tcBorders>
              <w:top w:val="nil"/>
              <w:left w:val="nil"/>
              <w:bottom w:val="single" w:sz="4" w:space="0" w:color="auto"/>
              <w:right w:val="single" w:sz="4" w:space="0" w:color="auto"/>
            </w:tcBorders>
            <w:shd w:val="clear" w:color="auto" w:fill="auto"/>
            <w:noWrap/>
            <w:vAlign w:val="bottom"/>
            <w:hideMark/>
          </w:tcPr>
          <w:p w14:paraId="65A0DF8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171.7</w:t>
            </w:r>
          </w:p>
        </w:tc>
        <w:tc>
          <w:tcPr>
            <w:tcW w:w="330" w:type="pct"/>
            <w:tcBorders>
              <w:top w:val="nil"/>
              <w:left w:val="nil"/>
              <w:bottom w:val="single" w:sz="4" w:space="0" w:color="auto"/>
              <w:right w:val="single" w:sz="4" w:space="0" w:color="auto"/>
            </w:tcBorders>
            <w:shd w:val="clear" w:color="auto" w:fill="auto"/>
            <w:noWrap/>
            <w:vAlign w:val="bottom"/>
            <w:hideMark/>
          </w:tcPr>
          <w:p w14:paraId="67ACE3D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171.7</w:t>
            </w:r>
          </w:p>
        </w:tc>
      </w:tr>
      <w:tr w:rsidR="00245464" w:rsidRPr="00191ACB" w14:paraId="5605656E" w14:textId="77777777" w:rsidTr="00B2278F">
        <w:trPr>
          <w:trHeight w:val="300"/>
        </w:trPr>
        <w:tc>
          <w:tcPr>
            <w:tcW w:w="1099" w:type="pct"/>
            <w:tcBorders>
              <w:top w:val="nil"/>
              <w:left w:val="single" w:sz="4" w:space="0" w:color="auto"/>
              <w:bottom w:val="single" w:sz="4" w:space="0" w:color="auto"/>
              <w:right w:val="single" w:sz="4" w:space="0" w:color="auto"/>
            </w:tcBorders>
            <w:shd w:val="clear" w:color="auto" w:fill="auto"/>
            <w:noWrap/>
            <w:vAlign w:val="bottom"/>
            <w:hideMark/>
          </w:tcPr>
          <w:p w14:paraId="0DE511B5" w14:textId="77777777" w:rsidR="00245464" w:rsidRPr="00191ACB" w:rsidRDefault="00245464" w:rsidP="00245464">
            <w:pPr>
              <w:spacing w:after="0" w:line="240" w:lineRule="auto"/>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Total</w:t>
            </w:r>
          </w:p>
        </w:tc>
        <w:tc>
          <w:tcPr>
            <w:tcW w:w="357" w:type="pct"/>
            <w:tcBorders>
              <w:top w:val="single" w:sz="8" w:space="0" w:color="auto"/>
              <w:left w:val="nil"/>
              <w:bottom w:val="single" w:sz="8" w:space="0" w:color="auto"/>
              <w:right w:val="single" w:sz="8" w:space="0" w:color="auto"/>
            </w:tcBorders>
            <w:shd w:val="clear" w:color="auto" w:fill="auto"/>
            <w:vAlign w:val="center"/>
          </w:tcPr>
          <w:p w14:paraId="27E50B05" w14:textId="77777777" w:rsidR="00245464" w:rsidRPr="00191ACB" w:rsidRDefault="00245464" w:rsidP="00245464">
            <w:pPr>
              <w:spacing w:after="0" w:line="240" w:lineRule="auto"/>
              <w:jc w:val="right"/>
              <w:rPr>
                <w:rFonts w:ascii="Times New Roman" w:eastAsia="Times New Roman" w:hAnsi="Times New Roman" w:cs="Times New Roman"/>
                <w:b/>
                <w:bCs/>
                <w:color w:val="000000" w:themeColor="text1"/>
                <w:sz w:val="24"/>
                <w:szCs w:val="24"/>
              </w:rPr>
            </w:pPr>
          </w:p>
        </w:tc>
        <w:tc>
          <w:tcPr>
            <w:tcW w:w="328" w:type="pct"/>
            <w:tcBorders>
              <w:top w:val="nil"/>
              <w:left w:val="single" w:sz="4" w:space="0" w:color="auto"/>
              <w:bottom w:val="single" w:sz="4" w:space="0" w:color="auto"/>
              <w:right w:val="single" w:sz="4" w:space="0" w:color="auto"/>
            </w:tcBorders>
            <w:shd w:val="clear" w:color="auto" w:fill="auto"/>
            <w:vAlign w:val="bottom"/>
          </w:tcPr>
          <w:p w14:paraId="18E4967C" w14:textId="77777777" w:rsidR="00245464" w:rsidRPr="00191ACB" w:rsidRDefault="00245464" w:rsidP="00245464">
            <w:pPr>
              <w:spacing w:after="0" w:line="240" w:lineRule="auto"/>
              <w:jc w:val="right"/>
              <w:rPr>
                <w:rFonts w:ascii="Times New Roman" w:eastAsia="Times New Roman" w:hAnsi="Times New Roman" w:cs="Times New Roman"/>
                <w:b/>
                <w:bCs/>
                <w:color w:val="000000" w:themeColor="text1"/>
                <w:sz w:val="24"/>
                <w:szCs w:val="24"/>
              </w:rPr>
            </w:pPr>
          </w:p>
        </w:tc>
        <w:tc>
          <w:tcPr>
            <w:tcW w:w="366" w:type="pct"/>
            <w:tcBorders>
              <w:top w:val="nil"/>
              <w:left w:val="nil"/>
              <w:bottom w:val="single" w:sz="4" w:space="0" w:color="auto"/>
              <w:right w:val="single" w:sz="4" w:space="0" w:color="auto"/>
            </w:tcBorders>
            <w:shd w:val="clear" w:color="auto" w:fill="auto"/>
            <w:vAlign w:val="bottom"/>
          </w:tcPr>
          <w:p w14:paraId="146DDA75" w14:textId="77777777" w:rsidR="00245464" w:rsidRPr="00191ACB" w:rsidRDefault="00245464" w:rsidP="00245464">
            <w:pPr>
              <w:spacing w:after="0" w:line="240" w:lineRule="auto"/>
              <w:jc w:val="right"/>
              <w:rPr>
                <w:rFonts w:ascii="Times New Roman" w:eastAsia="Times New Roman" w:hAnsi="Times New Roman" w:cs="Times New Roman"/>
                <w:b/>
                <w:bCs/>
                <w:color w:val="000000" w:themeColor="text1"/>
                <w:sz w:val="24"/>
                <w:szCs w:val="24"/>
              </w:rPr>
            </w:pPr>
          </w:p>
        </w:tc>
        <w:tc>
          <w:tcPr>
            <w:tcW w:w="278" w:type="pct"/>
            <w:tcBorders>
              <w:top w:val="nil"/>
              <w:left w:val="single" w:sz="4" w:space="0" w:color="auto"/>
              <w:bottom w:val="single" w:sz="4" w:space="0" w:color="auto"/>
              <w:right w:val="single" w:sz="4" w:space="0" w:color="auto"/>
            </w:tcBorders>
            <w:shd w:val="clear" w:color="auto" w:fill="auto"/>
            <w:noWrap/>
            <w:vAlign w:val="bottom"/>
            <w:hideMark/>
          </w:tcPr>
          <w:p w14:paraId="556271F3" w14:textId="77777777" w:rsidR="00245464" w:rsidRPr="00191ACB" w:rsidRDefault="00245464" w:rsidP="00245464">
            <w:pPr>
              <w:spacing w:after="0" w:line="240" w:lineRule="auto"/>
              <w:jc w:val="right"/>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0.0</w:t>
            </w:r>
          </w:p>
        </w:tc>
        <w:tc>
          <w:tcPr>
            <w:tcW w:w="278" w:type="pct"/>
            <w:tcBorders>
              <w:top w:val="nil"/>
              <w:left w:val="nil"/>
              <w:bottom w:val="single" w:sz="4" w:space="0" w:color="auto"/>
              <w:right w:val="single" w:sz="4" w:space="0" w:color="auto"/>
            </w:tcBorders>
            <w:shd w:val="clear" w:color="auto" w:fill="auto"/>
            <w:noWrap/>
            <w:vAlign w:val="bottom"/>
            <w:hideMark/>
          </w:tcPr>
          <w:p w14:paraId="3CBA6100" w14:textId="77777777" w:rsidR="00245464" w:rsidRPr="00191ACB" w:rsidRDefault="00245464" w:rsidP="00245464">
            <w:pPr>
              <w:spacing w:after="0" w:line="240" w:lineRule="auto"/>
              <w:jc w:val="right"/>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0.1</w:t>
            </w:r>
          </w:p>
        </w:tc>
        <w:tc>
          <w:tcPr>
            <w:tcW w:w="294" w:type="pct"/>
            <w:tcBorders>
              <w:top w:val="nil"/>
              <w:left w:val="nil"/>
              <w:bottom w:val="single" w:sz="4" w:space="0" w:color="auto"/>
              <w:right w:val="single" w:sz="4" w:space="0" w:color="auto"/>
            </w:tcBorders>
            <w:shd w:val="clear" w:color="auto" w:fill="auto"/>
            <w:noWrap/>
            <w:vAlign w:val="bottom"/>
            <w:hideMark/>
          </w:tcPr>
          <w:p w14:paraId="55282227" w14:textId="77777777" w:rsidR="00245464" w:rsidRPr="00191ACB" w:rsidRDefault="00245464" w:rsidP="00245464">
            <w:pPr>
              <w:spacing w:after="0" w:line="240" w:lineRule="auto"/>
              <w:jc w:val="right"/>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173.5</w:t>
            </w:r>
          </w:p>
        </w:tc>
        <w:tc>
          <w:tcPr>
            <w:tcW w:w="334" w:type="pct"/>
            <w:tcBorders>
              <w:top w:val="nil"/>
              <w:left w:val="nil"/>
              <w:bottom w:val="single" w:sz="4" w:space="0" w:color="auto"/>
              <w:right w:val="single" w:sz="4" w:space="0" w:color="auto"/>
            </w:tcBorders>
            <w:shd w:val="clear" w:color="auto" w:fill="auto"/>
            <w:noWrap/>
            <w:vAlign w:val="bottom"/>
            <w:hideMark/>
          </w:tcPr>
          <w:p w14:paraId="7FB3143F" w14:textId="77777777" w:rsidR="00245464" w:rsidRPr="00191ACB" w:rsidRDefault="00245464" w:rsidP="00245464">
            <w:pPr>
              <w:spacing w:after="0" w:line="240" w:lineRule="auto"/>
              <w:jc w:val="right"/>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1734.9</w:t>
            </w:r>
          </w:p>
        </w:tc>
        <w:tc>
          <w:tcPr>
            <w:tcW w:w="334" w:type="pct"/>
            <w:tcBorders>
              <w:top w:val="nil"/>
              <w:left w:val="nil"/>
              <w:bottom w:val="single" w:sz="4" w:space="0" w:color="auto"/>
              <w:right w:val="single" w:sz="4" w:space="0" w:color="auto"/>
            </w:tcBorders>
            <w:shd w:val="clear" w:color="auto" w:fill="auto"/>
            <w:noWrap/>
            <w:vAlign w:val="bottom"/>
            <w:hideMark/>
          </w:tcPr>
          <w:p w14:paraId="141CAC2D" w14:textId="77777777" w:rsidR="00245464" w:rsidRPr="00191ACB" w:rsidRDefault="00245464" w:rsidP="00245464">
            <w:pPr>
              <w:spacing w:after="0" w:line="240" w:lineRule="auto"/>
              <w:jc w:val="right"/>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1734.9</w:t>
            </w:r>
          </w:p>
        </w:tc>
        <w:tc>
          <w:tcPr>
            <w:tcW w:w="334" w:type="pct"/>
            <w:tcBorders>
              <w:top w:val="nil"/>
              <w:left w:val="nil"/>
              <w:bottom w:val="single" w:sz="4" w:space="0" w:color="auto"/>
              <w:right w:val="single" w:sz="4" w:space="0" w:color="auto"/>
            </w:tcBorders>
            <w:shd w:val="clear" w:color="auto" w:fill="auto"/>
            <w:noWrap/>
            <w:vAlign w:val="bottom"/>
            <w:hideMark/>
          </w:tcPr>
          <w:p w14:paraId="2B05F46B" w14:textId="77777777" w:rsidR="00245464" w:rsidRPr="00191ACB" w:rsidRDefault="00245464" w:rsidP="00245464">
            <w:pPr>
              <w:spacing w:after="0" w:line="240" w:lineRule="auto"/>
              <w:jc w:val="right"/>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1734.9</w:t>
            </w:r>
          </w:p>
        </w:tc>
        <w:tc>
          <w:tcPr>
            <w:tcW w:w="334" w:type="pct"/>
            <w:tcBorders>
              <w:top w:val="nil"/>
              <w:left w:val="nil"/>
              <w:bottom w:val="single" w:sz="4" w:space="0" w:color="auto"/>
              <w:right w:val="single" w:sz="4" w:space="0" w:color="auto"/>
            </w:tcBorders>
            <w:shd w:val="clear" w:color="auto" w:fill="auto"/>
            <w:noWrap/>
            <w:vAlign w:val="bottom"/>
            <w:hideMark/>
          </w:tcPr>
          <w:p w14:paraId="1E7E7DF2" w14:textId="77777777" w:rsidR="00245464" w:rsidRPr="00191ACB" w:rsidRDefault="00245464" w:rsidP="00245464">
            <w:pPr>
              <w:spacing w:after="0" w:line="240" w:lineRule="auto"/>
              <w:jc w:val="right"/>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1734.9</w:t>
            </w:r>
          </w:p>
        </w:tc>
        <w:tc>
          <w:tcPr>
            <w:tcW w:w="334" w:type="pct"/>
            <w:tcBorders>
              <w:top w:val="nil"/>
              <w:left w:val="nil"/>
              <w:bottom w:val="single" w:sz="4" w:space="0" w:color="auto"/>
              <w:right w:val="single" w:sz="4" w:space="0" w:color="auto"/>
            </w:tcBorders>
            <w:shd w:val="clear" w:color="auto" w:fill="auto"/>
            <w:noWrap/>
            <w:vAlign w:val="bottom"/>
            <w:hideMark/>
          </w:tcPr>
          <w:p w14:paraId="75B274EB" w14:textId="77777777" w:rsidR="00245464" w:rsidRPr="00191ACB" w:rsidRDefault="00245464" w:rsidP="00245464">
            <w:pPr>
              <w:spacing w:after="0" w:line="240" w:lineRule="auto"/>
              <w:jc w:val="right"/>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1734.9</w:t>
            </w:r>
          </w:p>
        </w:tc>
        <w:tc>
          <w:tcPr>
            <w:tcW w:w="330" w:type="pct"/>
            <w:tcBorders>
              <w:top w:val="nil"/>
              <w:left w:val="nil"/>
              <w:bottom w:val="single" w:sz="4" w:space="0" w:color="auto"/>
              <w:right w:val="single" w:sz="4" w:space="0" w:color="auto"/>
            </w:tcBorders>
            <w:shd w:val="clear" w:color="auto" w:fill="auto"/>
            <w:noWrap/>
            <w:vAlign w:val="bottom"/>
            <w:hideMark/>
          </w:tcPr>
          <w:p w14:paraId="5A3C4A90" w14:textId="77777777" w:rsidR="00245464" w:rsidRPr="00191ACB" w:rsidRDefault="00245464" w:rsidP="00245464">
            <w:pPr>
              <w:spacing w:after="0" w:line="240" w:lineRule="auto"/>
              <w:jc w:val="right"/>
              <w:rPr>
                <w:rFonts w:ascii="Times New Roman" w:eastAsia="Times New Roman" w:hAnsi="Times New Roman" w:cs="Times New Roman"/>
                <w:b/>
                <w:bCs/>
                <w:color w:val="000000" w:themeColor="text1"/>
                <w:sz w:val="24"/>
                <w:szCs w:val="24"/>
              </w:rPr>
            </w:pPr>
            <w:r w:rsidRPr="00191ACB">
              <w:rPr>
                <w:rFonts w:ascii="Times New Roman" w:eastAsia="Times New Roman" w:hAnsi="Times New Roman" w:cs="Times New Roman"/>
                <w:b/>
                <w:bCs/>
                <w:color w:val="000000" w:themeColor="text1"/>
                <w:sz w:val="24"/>
                <w:szCs w:val="24"/>
              </w:rPr>
              <w:t>1734.9</w:t>
            </w:r>
          </w:p>
        </w:tc>
      </w:tr>
    </w:tbl>
    <w:p w14:paraId="2811151D" w14:textId="77777777" w:rsidR="00245464" w:rsidRPr="00191ACB" w:rsidRDefault="00245464" w:rsidP="00245464">
      <w:pPr>
        <w:jc w:val="both"/>
        <w:rPr>
          <w:rFonts w:ascii="Times New Roman" w:eastAsia="Calibri" w:hAnsi="Times New Roman" w:cs="Times New Roman"/>
          <w:color w:val="000000" w:themeColor="text1"/>
          <w:sz w:val="24"/>
          <w:szCs w:val="24"/>
        </w:rPr>
      </w:pPr>
    </w:p>
    <w:p w14:paraId="5749A9B8" w14:textId="77777777" w:rsidR="00B2278F" w:rsidRPr="00191ACB" w:rsidRDefault="00B2278F" w:rsidP="005E626A">
      <w:pPr>
        <w:spacing w:after="120" w:line="240" w:lineRule="auto"/>
        <w:jc w:val="both"/>
        <w:rPr>
          <w:rFonts w:ascii="Times New Roman" w:eastAsia="Calibri" w:hAnsi="Times New Roman" w:cs="Times New Roman"/>
          <w:color w:val="000000" w:themeColor="text1"/>
          <w:sz w:val="24"/>
          <w:szCs w:val="24"/>
        </w:rPr>
        <w:sectPr w:rsidR="00B2278F" w:rsidRPr="00191ACB" w:rsidSect="00E95E0D">
          <w:pgSz w:w="16834" w:h="11909" w:orient="landscape" w:code="9"/>
          <w:pgMar w:top="720" w:right="862" w:bottom="1440" w:left="862" w:header="720" w:footer="720" w:gutter="0"/>
          <w:cols w:space="720"/>
          <w:docGrid w:linePitch="360"/>
        </w:sectPr>
      </w:pPr>
    </w:p>
    <w:p w14:paraId="3263BF72" w14:textId="404CA458" w:rsidR="00245464" w:rsidRPr="002A4DFC" w:rsidRDefault="00245464" w:rsidP="002A4DFC">
      <w:pPr>
        <w:spacing w:after="120" w:line="276" w:lineRule="auto"/>
        <w:jc w:val="both"/>
        <w:rPr>
          <w:rFonts w:ascii="Times New Roman" w:hAnsi="Times New Roman" w:cs="Times New Roman"/>
          <w:color w:val="000000" w:themeColor="text1"/>
          <w:sz w:val="24"/>
          <w:szCs w:val="24"/>
        </w:rPr>
      </w:pPr>
      <w:r w:rsidRPr="002A4DFC">
        <w:rPr>
          <w:rFonts w:ascii="Times New Roman" w:hAnsi="Times New Roman" w:cs="Times New Roman"/>
          <w:color w:val="000000" w:themeColor="text1"/>
          <w:sz w:val="24"/>
          <w:szCs w:val="24"/>
        </w:rPr>
        <w:lastRenderedPageBreak/>
        <w:t xml:space="preserve">A number of initiatives are currently being implemented to upscale deployment of solar PV utility scale in Zambia. These initiatives are being spearhead by a number of institutions which include; Industrial Development Corporation (IDC), ZESCO, Rural Electrification Authority (REA), among others. The Deutsche Gesellschaft für Internationale Zusammenarbeit GmbH (GIZ) is currently running a programme to support energy development (Demand management) in Solar PV and are working with 8 companies within Lusaka to install 1MW each with batteries. To date GIZ has supported the installation of 1 MW in Kitwe at Copperbelt Energy Corporation (CEC). CEC is participating in the GET FIT project and intends to develop up to 40 MW. </w:t>
      </w:r>
    </w:p>
    <w:p w14:paraId="37B43DF3" w14:textId="6263F574" w:rsidR="00245464" w:rsidRPr="002A4DFC" w:rsidRDefault="00245464" w:rsidP="002A4DFC">
      <w:pPr>
        <w:spacing w:after="120" w:line="276" w:lineRule="auto"/>
        <w:jc w:val="both"/>
        <w:rPr>
          <w:rFonts w:ascii="Times New Roman" w:hAnsi="Times New Roman" w:cs="Times New Roman"/>
          <w:color w:val="000000" w:themeColor="text1"/>
          <w:sz w:val="24"/>
          <w:szCs w:val="24"/>
        </w:rPr>
      </w:pPr>
      <w:r w:rsidRPr="002A4DFC">
        <w:rPr>
          <w:rFonts w:ascii="Times New Roman" w:hAnsi="Times New Roman" w:cs="Times New Roman"/>
          <w:color w:val="000000" w:themeColor="text1"/>
          <w:sz w:val="24"/>
          <w:szCs w:val="24"/>
        </w:rPr>
        <w:t>ZESCO has completed pre-feasibility studies for its solar 300 MW PV plant with Serenje having 100MW, Choma 100MW and Itezhi-tezhi – 100MW. Similar studies for Sesheke, Kasama, and Nakonde have been approved. Further, ZESCO plans to install 1 MW solar PV with battery system in Shangombo by 2021 to replace diesel generator. ZESCO has also installed 25 KW solar PV at its headquarters and 25kW at Parliament building. The Industrial Development Corporation is currently spearheading the Scaling-up Solar Initiative with a target of installing a total 600MW grid-connected Solar PV. Additional informational on mitigation actions for solar PV utility scale projects is provided in Table</w:t>
      </w:r>
      <w:r w:rsidR="00501324" w:rsidRPr="002A4DFC">
        <w:rPr>
          <w:rFonts w:ascii="Times New Roman" w:hAnsi="Times New Roman" w:cs="Times New Roman"/>
          <w:color w:val="000000" w:themeColor="text1"/>
          <w:sz w:val="24"/>
          <w:szCs w:val="24"/>
        </w:rPr>
        <w:t xml:space="preserve"> 4.16</w:t>
      </w:r>
      <w:r w:rsidRPr="002A4DFC">
        <w:rPr>
          <w:rFonts w:ascii="Times New Roman" w:hAnsi="Times New Roman" w:cs="Times New Roman"/>
          <w:color w:val="000000" w:themeColor="text1"/>
          <w:sz w:val="24"/>
          <w:szCs w:val="24"/>
        </w:rPr>
        <w:t xml:space="preserve">. </w:t>
      </w:r>
    </w:p>
    <w:p w14:paraId="18B95C56" w14:textId="77777777" w:rsidR="00245464" w:rsidRPr="00191ACB" w:rsidRDefault="00245464" w:rsidP="00245464">
      <w:pPr>
        <w:jc w:val="both"/>
        <w:rPr>
          <w:rFonts w:ascii="Times New Roman" w:eastAsia="Calibri" w:hAnsi="Times New Roman" w:cs="Times New Roman"/>
          <w:color w:val="000000" w:themeColor="text1"/>
          <w:sz w:val="24"/>
          <w:szCs w:val="24"/>
        </w:rPr>
        <w:sectPr w:rsidR="00245464" w:rsidRPr="00191ACB" w:rsidSect="00E92931">
          <w:pgSz w:w="11909" w:h="16834" w:code="9"/>
          <w:pgMar w:top="862" w:right="1440" w:bottom="862" w:left="720" w:header="720" w:footer="720" w:gutter="0"/>
          <w:cols w:space="720"/>
          <w:docGrid w:linePitch="360"/>
        </w:sectPr>
      </w:pPr>
    </w:p>
    <w:p w14:paraId="1A18068B" w14:textId="66B452AF" w:rsidR="00245464" w:rsidRPr="00191ACB" w:rsidRDefault="00C319A4" w:rsidP="00C319A4">
      <w:pPr>
        <w:pStyle w:val="Caption"/>
        <w:rPr>
          <w:rFonts w:eastAsia="Calibri"/>
          <w:color w:val="000000" w:themeColor="text1"/>
          <w:sz w:val="24"/>
          <w:szCs w:val="24"/>
        </w:rPr>
      </w:pPr>
      <w:bookmarkStart w:id="387" w:name="_Toc56583792"/>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16</w:t>
      </w:r>
      <w:r w:rsidR="00875942">
        <w:rPr>
          <w:sz w:val="24"/>
          <w:szCs w:val="24"/>
        </w:rPr>
        <w:fldChar w:fldCharType="end"/>
      </w:r>
      <w:r w:rsidRPr="00191ACB">
        <w:rPr>
          <w:sz w:val="24"/>
          <w:szCs w:val="24"/>
        </w:rPr>
        <w:t>:Mitigation actions on solar PV utility scale</w:t>
      </w:r>
      <w:bookmarkEnd w:id="387"/>
    </w:p>
    <w:tbl>
      <w:tblPr>
        <w:tblStyle w:val="GridTable4-Accent11"/>
        <w:tblW w:w="5000" w:type="pct"/>
        <w:tblLook w:val="04A0" w:firstRow="1" w:lastRow="0" w:firstColumn="1" w:lastColumn="0" w:noHBand="0" w:noVBand="1"/>
      </w:tblPr>
      <w:tblGrid>
        <w:gridCol w:w="1636"/>
        <w:gridCol w:w="2494"/>
        <w:gridCol w:w="3131"/>
        <w:gridCol w:w="1621"/>
        <w:gridCol w:w="1334"/>
        <w:gridCol w:w="1830"/>
        <w:gridCol w:w="1477"/>
        <w:gridCol w:w="1577"/>
      </w:tblGrid>
      <w:tr w:rsidR="00245464" w:rsidRPr="00191ACB" w14:paraId="7226A4C3" w14:textId="77777777" w:rsidTr="009B4DDC">
        <w:trPr>
          <w:cnfStyle w:val="100000000000" w:firstRow="1" w:lastRow="0" w:firstColumn="0" w:lastColumn="0" w:oddVBand="0" w:evenVBand="0" w:oddHBand="0" w:evenHBand="0" w:firstRowFirstColumn="0" w:firstRowLastColumn="0" w:lastRowFirstColumn="0" w:lastRowLastColumn="0"/>
          <w:trHeight w:val="489"/>
          <w:tblHeader/>
        </w:trPr>
        <w:tc>
          <w:tcPr>
            <w:cnfStyle w:val="001000000000" w:firstRow="0" w:lastRow="0" w:firstColumn="1" w:lastColumn="0" w:oddVBand="0" w:evenVBand="0" w:oddHBand="0" w:evenHBand="0" w:firstRowFirstColumn="0" w:firstRowLastColumn="0" w:lastRowFirstColumn="0" w:lastRowLastColumn="0"/>
            <w:tcW w:w="569" w:type="pct"/>
          </w:tcPr>
          <w:p w14:paraId="26BFB7EC"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853" w:type="pct"/>
          </w:tcPr>
          <w:p w14:paraId="23FF9FC5"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1064" w:type="pct"/>
          </w:tcPr>
          <w:p w14:paraId="20A1038A"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564" w:type="pct"/>
          </w:tcPr>
          <w:p w14:paraId="5C1176BC"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469" w:type="pct"/>
          </w:tcPr>
          <w:p w14:paraId="2504ED94"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tc>
        <w:tc>
          <w:tcPr>
            <w:tcW w:w="517" w:type="pct"/>
          </w:tcPr>
          <w:p w14:paraId="491B1417"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516" w:type="pct"/>
          </w:tcPr>
          <w:p w14:paraId="2EDEA194"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val="x-none" w:eastAsia="x-none"/>
              </w:rPr>
              <w:t xml:space="preserve">Estimated emission reduction </w:t>
            </w:r>
            <w:r w:rsidRPr="00191ACB">
              <w:rPr>
                <w:rFonts w:ascii="Times New Roman" w:hAnsi="Times New Roman"/>
                <w:color w:val="000000" w:themeColor="text1"/>
                <w:sz w:val="24"/>
                <w:szCs w:val="24"/>
                <w:lang w:eastAsia="x-none"/>
              </w:rPr>
              <w:t>cumulative by 2030 Gg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vertAlign w:val="subscript"/>
                <w:lang w:eastAsia="x-none"/>
              </w:rPr>
              <w:t>eq</w:t>
            </w:r>
          </w:p>
        </w:tc>
        <w:tc>
          <w:tcPr>
            <w:tcW w:w="448" w:type="pct"/>
          </w:tcPr>
          <w:p w14:paraId="2DE981D5"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nternational market mechanisms</w:t>
            </w:r>
          </w:p>
        </w:tc>
      </w:tr>
      <w:tr w:rsidR="00245464" w:rsidRPr="00191ACB" w14:paraId="5B24B8AF" w14:textId="77777777" w:rsidTr="009B4D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9" w:type="pct"/>
          </w:tcPr>
          <w:p w14:paraId="4F8BCB9E"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Wind solar hydro in Luapula (0.30MW)**</w:t>
            </w:r>
          </w:p>
        </w:tc>
        <w:tc>
          <w:tcPr>
            <w:tcW w:w="853" w:type="pct"/>
          </w:tcPr>
          <w:p w14:paraId="410F532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To be located in Luapula province and expected to be connected to the main electricity grid </w:t>
            </w:r>
          </w:p>
        </w:tc>
        <w:tc>
          <w:tcPr>
            <w:tcW w:w="1064" w:type="pct"/>
          </w:tcPr>
          <w:p w14:paraId="03F4CD98"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Baseline is the emissions from the South African Power Pool (SAPP) with Grid emission factor of 0.9958 tCO2/MWh, assuming capacity factor 65%. Algorithms in Equations 11 and 13 were used for estimations</w:t>
            </w:r>
          </w:p>
        </w:tc>
        <w:tc>
          <w:tcPr>
            <w:tcW w:w="564" w:type="pct"/>
          </w:tcPr>
          <w:p w14:paraId="617FE0F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Number of households connected to mini-grid</w:t>
            </w:r>
          </w:p>
        </w:tc>
        <w:tc>
          <w:tcPr>
            <w:tcW w:w="469" w:type="pct"/>
          </w:tcPr>
          <w:p w14:paraId="01E625A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To increase access to clean energy in rural areas</w:t>
            </w:r>
          </w:p>
        </w:tc>
        <w:tc>
          <w:tcPr>
            <w:tcW w:w="517" w:type="pct"/>
          </w:tcPr>
          <w:p w14:paraId="753FE4F7" w14:textId="77777777" w:rsidR="00245464" w:rsidRPr="00191ACB" w:rsidRDefault="00245464" w:rsidP="00F664C5">
            <w:pPr>
              <w:numPr>
                <w:ilvl w:val="0"/>
                <w:numId w:val="5"/>
              </w:numPr>
              <w:contextual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w:t>
            </w:r>
          </w:p>
          <w:p w14:paraId="2F3FBB64" w14:textId="77777777" w:rsidR="00245464" w:rsidRPr="00191ACB" w:rsidRDefault="00245464" w:rsidP="00F664C5">
            <w:pPr>
              <w:numPr>
                <w:ilvl w:val="0"/>
                <w:numId w:val="5"/>
              </w:numPr>
              <w:contextual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Funding and preparation</w:t>
            </w:r>
          </w:p>
          <w:p w14:paraId="3B04A5D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516" w:type="pct"/>
          </w:tcPr>
          <w:p w14:paraId="3C5B4A5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1</w:t>
            </w:r>
            <w:r w:rsidRPr="00191ACB">
              <w:rPr>
                <w:rFonts w:ascii="Times New Roman" w:hAnsi="Times New Roman"/>
                <w:color w:val="000000" w:themeColor="text1"/>
                <w:sz w:val="24"/>
                <w:szCs w:val="24"/>
              </w:rPr>
              <w:t xml:space="preserve">5.1 </w:t>
            </w:r>
          </w:p>
        </w:tc>
        <w:tc>
          <w:tcPr>
            <w:tcW w:w="448" w:type="pct"/>
          </w:tcPr>
          <w:p w14:paraId="1540345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No carbon trading under the project</w:t>
            </w:r>
          </w:p>
        </w:tc>
      </w:tr>
      <w:tr w:rsidR="00245464" w:rsidRPr="00191ACB" w14:paraId="6736D062" w14:textId="77777777" w:rsidTr="009B4DDC">
        <w:tc>
          <w:tcPr>
            <w:cnfStyle w:val="001000000000" w:firstRow="0" w:lastRow="0" w:firstColumn="1" w:lastColumn="0" w:oddVBand="0" w:evenVBand="0" w:oddHBand="0" w:evenHBand="0" w:firstRowFirstColumn="0" w:firstRowLastColumn="0" w:lastRowFirstColumn="0" w:lastRowLastColumn="0"/>
            <w:tcW w:w="569" w:type="pct"/>
          </w:tcPr>
          <w:p w14:paraId="2ACDEB91"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w:t>
            </w:r>
            <w:r w:rsidRPr="00191ACB">
              <w:rPr>
                <w:rFonts w:ascii="Times New Roman" w:eastAsia="Times New Roman" w:hAnsi="Times New Roman"/>
                <w:color w:val="000000" w:themeColor="text1"/>
                <w:sz w:val="24"/>
                <w:szCs w:val="24"/>
              </w:rPr>
              <w:t>Industrial development cooperation (54MW) Solar farm Bangweulu Project</w:t>
            </w:r>
          </w:p>
        </w:tc>
        <w:tc>
          <w:tcPr>
            <w:tcW w:w="853" w:type="pct"/>
          </w:tcPr>
          <w:p w14:paraId="38D2D2E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Located in Lusaka 54 MW</w:t>
            </w:r>
          </w:p>
        </w:tc>
        <w:tc>
          <w:tcPr>
            <w:tcW w:w="1064" w:type="pct"/>
          </w:tcPr>
          <w:p w14:paraId="0AF278E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Baseline is the emissions from the South African Power Pool (SAPP) with Grid emission factor of 0.9958 tCO2/MWh, assuming capacity factor 65%. Algorithms in Equations 11 and 13 were used for estimations</w:t>
            </w:r>
          </w:p>
        </w:tc>
        <w:tc>
          <w:tcPr>
            <w:tcW w:w="564" w:type="pct"/>
          </w:tcPr>
          <w:p w14:paraId="1314451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Units of energy generated (MWh)</w:t>
            </w:r>
          </w:p>
        </w:tc>
        <w:tc>
          <w:tcPr>
            <w:tcW w:w="469" w:type="pct"/>
          </w:tcPr>
          <w:p w14:paraId="0BAAD4F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To increase energy security at national level</w:t>
            </w:r>
          </w:p>
        </w:tc>
        <w:tc>
          <w:tcPr>
            <w:tcW w:w="517" w:type="pct"/>
          </w:tcPr>
          <w:p w14:paraId="33B943F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Implementation-installation completed and commissioned</w:t>
            </w:r>
          </w:p>
          <w:p w14:paraId="6570A5E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p>
        </w:tc>
        <w:tc>
          <w:tcPr>
            <w:tcW w:w="516" w:type="pct"/>
          </w:tcPr>
          <w:p w14:paraId="2D998CF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92.7</w:t>
            </w:r>
          </w:p>
        </w:tc>
        <w:tc>
          <w:tcPr>
            <w:tcW w:w="448" w:type="pct"/>
          </w:tcPr>
          <w:p w14:paraId="76C10DA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No carbon trading under the project</w:t>
            </w:r>
          </w:p>
        </w:tc>
      </w:tr>
      <w:tr w:rsidR="00245464" w:rsidRPr="00191ACB" w14:paraId="292F6757" w14:textId="77777777" w:rsidTr="009B4DDC">
        <w:trPr>
          <w:cnfStyle w:val="000000100000" w:firstRow="0" w:lastRow="0" w:firstColumn="0" w:lastColumn="0" w:oddVBand="0" w:evenVBand="0" w:oddHBand="1" w:evenHBand="0" w:firstRowFirstColumn="0" w:firstRowLastColumn="0" w:lastRowFirstColumn="0" w:lastRowLastColumn="0"/>
          <w:trHeight w:val="2400"/>
        </w:trPr>
        <w:tc>
          <w:tcPr>
            <w:cnfStyle w:val="001000000000" w:firstRow="0" w:lastRow="0" w:firstColumn="1" w:lastColumn="0" w:oddVBand="0" w:evenVBand="0" w:oddHBand="0" w:evenHBand="0" w:firstRowFirstColumn="0" w:firstRowLastColumn="0" w:lastRowFirstColumn="0" w:lastRowLastColumn="0"/>
            <w:tcW w:w="569" w:type="pct"/>
          </w:tcPr>
          <w:p w14:paraId="3CE52953"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 IDC Solar Farm Project </w:t>
            </w:r>
            <w:r w:rsidRPr="00191ACB">
              <w:rPr>
                <w:rFonts w:ascii="Times New Roman" w:hAnsi="Times New Roman"/>
                <w:color w:val="000000" w:themeColor="text1"/>
                <w:sz w:val="24"/>
                <w:szCs w:val="24"/>
              </w:rPr>
              <w:tab/>
              <w:t>46 MW</w:t>
            </w:r>
          </w:p>
        </w:tc>
        <w:tc>
          <w:tcPr>
            <w:tcW w:w="853" w:type="pct"/>
          </w:tcPr>
          <w:p w14:paraId="3E6F3A4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Power generated is expected to be fed into the national grid</w:t>
            </w:r>
          </w:p>
        </w:tc>
        <w:tc>
          <w:tcPr>
            <w:tcW w:w="1064" w:type="pct"/>
          </w:tcPr>
          <w:p w14:paraId="4C1CA46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Baseline is the emissions from the South African Power Pool (SAPP) with Grid emission factor of 0.9958 tCO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/MWh, assuming capacity factor 65%. Algorithms in Equations 11 and 13 were used for estimations</w:t>
            </w:r>
          </w:p>
        </w:tc>
        <w:tc>
          <w:tcPr>
            <w:tcW w:w="564" w:type="pct"/>
          </w:tcPr>
          <w:p w14:paraId="01DC6DC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Units of energy generated (MWh)</w:t>
            </w:r>
          </w:p>
        </w:tc>
        <w:tc>
          <w:tcPr>
            <w:tcW w:w="469" w:type="pct"/>
          </w:tcPr>
          <w:p w14:paraId="006CE52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To increase energy security at national level</w:t>
            </w:r>
          </w:p>
        </w:tc>
        <w:tc>
          <w:tcPr>
            <w:tcW w:w="517" w:type="pct"/>
          </w:tcPr>
          <w:p w14:paraId="6CA0E6C9" w14:textId="77777777" w:rsidR="00245464" w:rsidRPr="00191ACB" w:rsidRDefault="00245464" w:rsidP="00E435F6">
            <w:pPr>
              <w:numPr>
                <w:ilvl w:val="0"/>
                <w:numId w:val="21"/>
              </w:numPr>
              <w:contextual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w:t>
            </w:r>
          </w:p>
          <w:p w14:paraId="73C28C05" w14:textId="77777777" w:rsidR="00245464" w:rsidRPr="00191ACB" w:rsidRDefault="00245464" w:rsidP="00E435F6">
            <w:pPr>
              <w:numPr>
                <w:ilvl w:val="0"/>
                <w:numId w:val="21"/>
              </w:numPr>
              <w:contextual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Funding and preparation</w:t>
            </w:r>
          </w:p>
          <w:p w14:paraId="0982954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516" w:type="pct"/>
          </w:tcPr>
          <w:p w14:paraId="71A5893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79</w:t>
            </w:r>
          </w:p>
        </w:tc>
        <w:tc>
          <w:tcPr>
            <w:tcW w:w="448" w:type="pct"/>
          </w:tcPr>
          <w:p w14:paraId="768D638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No carbon trading under the project</w:t>
            </w:r>
          </w:p>
        </w:tc>
      </w:tr>
      <w:tr w:rsidR="00245464" w:rsidRPr="00191ACB" w14:paraId="2854AA39" w14:textId="77777777" w:rsidTr="009B4DDC">
        <w:tc>
          <w:tcPr>
            <w:cnfStyle w:val="001000000000" w:firstRow="0" w:lastRow="0" w:firstColumn="1" w:lastColumn="0" w:oddVBand="0" w:evenVBand="0" w:oddHBand="0" w:evenHBand="0" w:firstRowFirstColumn="0" w:firstRowLastColumn="0" w:lastRowFirstColumn="0" w:lastRowLastColumn="0"/>
            <w:tcW w:w="569" w:type="pct"/>
          </w:tcPr>
          <w:p w14:paraId="1A9C4ADA"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lastRenderedPageBreak/>
              <w:t>Industrial Development cooperation (500 MW)**</w:t>
            </w:r>
          </w:p>
        </w:tc>
        <w:tc>
          <w:tcPr>
            <w:tcW w:w="853" w:type="pct"/>
          </w:tcPr>
          <w:p w14:paraId="78F0434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Connected to the main electricity grid</w:t>
            </w:r>
          </w:p>
        </w:tc>
        <w:tc>
          <w:tcPr>
            <w:tcW w:w="1064" w:type="pct"/>
          </w:tcPr>
          <w:p w14:paraId="345273A1"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Baseline is the emissions from the SAPP with Grid emission factor of 0.9958 tCO2/MWh, assuming capacity factor 65%. Algorithms in Equations 11 and 13 were used for estimations</w:t>
            </w:r>
          </w:p>
        </w:tc>
        <w:tc>
          <w:tcPr>
            <w:tcW w:w="564" w:type="pct"/>
          </w:tcPr>
          <w:p w14:paraId="5A2ACA2B"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Units of energy generated (MWh)</w:t>
            </w:r>
          </w:p>
        </w:tc>
        <w:tc>
          <w:tcPr>
            <w:tcW w:w="469" w:type="pct"/>
          </w:tcPr>
          <w:p w14:paraId="369AB5E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increase energy security at national level</w:t>
            </w:r>
          </w:p>
        </w:tc>
        <w:tc>
          <w:tcPr>
            <w:tcW w:w="517" w:type="pct"/>
          </w:tcPr>
          <w:p w14:paraId="68422AEC" w14:textId="77777777" w:rsidR="00245464" w:rsidRPr="00191ACB" w:rsidRDefault="00245464" w:rsidP="00E435F6">
            <w:pPr>
              <w:numPr>
                <w:ilvl w:val="0"/>
                <w:numId w:val="22"/>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w:t>
            </w:r>
          </w:p>
          <w:p w14:paraId="4D759A2B" w14:textId="77777777" w:rsidR="00245464" w:rsidRPr="00191ACB" w:rsidRDefault="00245464" w:rsidP="00E435F6">
            <w:pPr>
              <w:numPr>
                <w:ilvl w:val="0"/>
                <w:numId w:val="22"/>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Funding and preparation</w:t>
            </w:r>
          </w:p>
          <w:p w14:paraId="33A835D2"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p>
        </w:tc>
        <w:tc>
          <w:tcPr>
            <w:tcW w:w="516" w:type="pct"/>
          </w:tcPr>
          <w:p w14:paraId="572576BB"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858.6</w:t>
            </w:r>
          </w:p>
        </w:tc>
        <w:tc>
          <w:tcPr>
            <w:tcW w:w="448" w:type="pct"/>
          </w:tcPr>
          <w:p w14:paraId="5348BBA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No carbon trading under the project</w:t>
            </w:r>
          </w:p>
        </w:tc>
      </w:tr>
      <w:tr w:rsidR="00245464" w:rsidRPr="00191ACB" w14:paraId="12AD6DD4" w14:textId="77777777" w:rsidTr="009B4D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9" w:type="pct"/>
          </w:tcPr>
          <w:p w14:paraId="53132665"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CEC(1 MW)**</w:t>
            </w:r>
          </w:p>
        </w:tc>
        <w:tc>
          <w:tcPr>
            <w:tcW w:w="853" w:type="pct"/>
          </w:tcPr>
          <w:p w14:paraId="20B4DAC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Connected to the main electricity grid</w:t>
            </w:r>
          </w:p>
        </w:tc>
        <w:tc>
          <w:tcPr>
            <w:tcW w:w="1064" w:type="pct"/>
          </w:tcPr>
          <w:p w14:paraId="553A590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Baseline is the emissions from the SAPP with Grid emission factor of 0.9958 tCO2/MWh, assuming capacity.  factor 65%, Algorithms in Equations 11 and 13 were used for estimations</w:t>
            </w:r>
          </w:p>
        </w:tc>
        <w:tc>
          <w:tcPr>
            <w:tcW w:w="564" w:type="pct"/>
          </w:tcPr>
          <w:p w14:paraId="3A75BBE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Units of energy generated (MWh)</w:t>
            </w:r>
          </w:p>
        </w:tc>
        <w:tc>
          <w:tcPr>
            <w:tcW w:w="469" w:type="pct"/>
          </w:tcPr>
          <w:p w14:paraId="51B76C4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To increase energy security at national level</w:t>
            </w:r>
          </w:p>
        </w:tc>
        <w:tc>
          <w:tcPr>
            <w:tcW w:w="517" w:type="pct"/>
          </w:tcPr>
          <w:p w14:paraId="04C0EEC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Implementation-installation completed and commissioned</w:t>
            </w:r>
          </w:p>
          <w:p w14:paraId="78960B9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516" w:type="pct"/>
          </w:tcPr>
          <w:p w14:paraId="2F48310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1.7</w:t>
            </w:r>
          </w:p>
        </w:tc>
        <w:tc>
          <w:tcPr>
            <w:tcW w:w="448" w:type="pct"/>
          </w:tcPr>
          <w:p w14:paraId="7F8E570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No carbon trading under the project</w:t>
            </w:r>
          </w:p>
        </w:tc>
      </w:tr>
      <w:tr w:rsidR="00245464" w:rsidRPr="00191ACB" w14:paraId="59908873" w14:textId="77777777" w:rsidTr="009B4DDC">
        <w:tc>
          <w:tcPr>
            <w:cnfStyle w:val="001000000000" w:firstRow="0" w:lastRow="0" w:firstColumn="1" w:lastColumn="0" w:oddVBand="0" w:evenVBand="0" w:oddHBand="0" w:evenHBand="0" w:firstRowFirstColumn="0" w:firstRowLastColumn="0" w:lastRowFirstColumn="0" w:lastRowLastColumn="0"/>
            <w:tcW w:w="569" w:type="pct"/>
          </w:tcPr>
          <w:p w14:paraId="225B202E"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GIZ 8MW**</w:t>
            </w:r>
          </w:p>
        </w:tc>
        <w:tc>
          <w:tcPr>
            <w:tcW w:w="853" w:type="pct"/>
          </w:tcPr>
          <w:p w14:paraId="1CEE471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GIZ working with 8 companies with each to install 1MW with batteries</w:t>
            </w:r>
          </w:p>
        </w:tc>
        <w:tc>
          <w:tcPr>
            <w:tcW w:w="1064" w:type="pct"/>
          </w:tcPr>
          <w:p w14:paraId="7C2A615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Baseline is the emissions from the SAPP with Grid emission factor of 0.9958 tCO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/MWh, assuming capacity factor 65%. Algorithms in Equations 11 and 13 were used for estimations</w:t>
            </w:r>
          </w:p>
        </w:tc>
        <w:tc>
          <w:tcPr>
            <w:tcW w:w="564" w:type="pct"/>
          </w:tcPr>
          <w:p w14:paraId="00E66AC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Units of energy generated (MWh)</w:t>
            </w:r>
          </w:p>
        </w:tc>
        <w:tc>
          <w:tcPr>
            <w:tcW w:w="469" w:type="pct"/>
          </w:tcPr>
          <w:p w14:paraId="229C2CE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at national level</w:t>
            </w:r>
          </w:p>
        </w:tc>
        <w:tc>
          <w:tcPr>
            <w:tcW w:w="517" w:type="pct"/>
          </w:tcPr>
          <w:p w14:paraId="5C72E851"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w:t>
            </w:r>
          </w:p>
          <w:p w14:paraId="3F47475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p>
        </w:tc>
        <w:tc>
          <w:tcPr>
            <w:tcW w:w="516" w:type="pct"/>
          </w:tcPr>
          <w:p w14:paraId="2C881FD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13.7</w:t>
            </w:r>
          </w:p>
        </w:tc>
        <w:tc>
          <w:tcPr>
            <w:tcW w:w="448" w:type="pct"/>
          </w:tcPr>
          <w:p w14:paraId="7D3AF331"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No carbon trading under the project</w:t>
            </w:r>
          </w:p>
        </w:tc>
      </w:tr>
      <w:tr w:rsidR="00245464" w:rsidRPr="00191ACB" w14:paraId="2AE72781" w14:textId="77777777" w:rsidTr="009B4D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9" w:type="pct"/>
          </w:tcPr>
          <w:p w14:paraId="18CF821D"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GETFiT Solar Project Phase I (</w:t>
            </w:r>
            <w:r w:rsidRPr="00191ACB">
              <w:rPr>
                <w:rFonts w:ascii="Times New Roman" w:hAnsi="Times New Roman"/>
                <w:color w:val="000000" w:themeColor="text1"/>
                <w:sz w:val="24"/>
                <w:szCs w:val="24"/>
              </w:rPr>
              <w:t>100MW)</w:t>
            </w:r>
          </w:p>
        </w:tc>
        <w:tc>
          <w:tcPr>
            <w:tcW w:w="853" w:type="pct"/>
          </w:tcPr>
          <w:p w14:paraId="6BBF604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be connected to the main electricity grid</w:t>
            </w:r>
          </w:p>
        </w:tc>
        <w:tc>
          <w:tcPr>
            <w:tcW w:w="1064" w:type="pct"/>
          </w:tcPr>
          <w:p w14:paraId="27DEA55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Baseline is the emissions from the SAPP with Grid emission factor of 0.9958 tCO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/MWh, assuming capacity factor 65%. Algorithms in Equations 11 and 13 were used for estimations</w:t>
            </w:r>
          </w:p>
        </w:tc>
        <w:tc>
          <w:tcPr>
            <w:tcW w:w="564" w:type="pct"/>
          </w:tcPr>
          <w:p w14:paraId="237AEBE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Units of energy generated (MWh)</w:t>
            </w:r>
          </w:p>
        </w:tc>
        <w:tc>
          <w:tcPr>
            <w:tcW w:w="469" w:type="pct"/>
          </w:tcPr>
          <w:p w14:paraId="3DB9C8B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at national level</w:t>
            </w:r>
          </w:p>
        </w:tc>
        <w:tc>
          <w:tcPr>
            <w:tcW w:w="517" w:type="pct"/>
          </w:tcPr>
          <w:p w14:paraId="1B55608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w:t>
            </w:r>
          </w:p>
          <w:p w14:paraId="35660625"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516" w:type="pct"/>
          </w:tcPr>
          <w:p w14:paraId="26069C2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171.7</w:t>
            </w:r>
          </w:p>
        </w:tc>
        <w:tc>
          <w:tcPr>
            <w:tcW w:w="448" w:type="pct"/>
          </w:tcPr>
          <w:p w14:paraId="66A0339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No carbon trading under the project</w:t>
            </w:r>
          </w:p>
        </w:tc>
      </w:tr>
      <w:tr w:rsidR="00245464" w:rsidRPr="00191ACB" w14:paraId="50A44D0F" w14:textId="77777777" w:rsidTr="009B4DDC">
        <w:tc>
          <w:tcPr>
            <w:cnfStyle w:val="001000000000" w:firstRow="0" w:lastRow="0" w:firstColumn="1" w:lastColumn="0" w:oddVBand="0" w:evenVBand="0" w:oddHBand="0" w:evenHBand="0" w:firstRowFirstColumn="0" w:firstRowLastColumn="0" w:lastRowFirstColumn="0" w:lastRowLastColumn="0"/>
            <w:tcW w:w="569" w:type="pct"/>
          </w:tcPr>
          <w:p w14:paraId="00E353F0"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lastRenderedPageBreak/>
              <w:t xml:space="preserve">ZESCO Shangombo 1MW </w:t>
            </w:r>
          </w:p>
        </w:tc>
        <w:tc>
          <w:tcPr>
            <w:tcW w:w="853" w:type="pct"/>
          </w:tcPr>
          <w:p w14:paraId="2C17CA06"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Isolated grid battery system to replace diesel by 2021 in Shangombo district</w:t>
            </w:r>
          </w:p>
        </w:tc>
        <w:tc>
          <w:tcPr>
            <w:tcW w:w="1064" w:type="pct"/>
          </w:tcPr>
          <w:p w14:paraId="27AE05A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Baseline is the emissions from the diesel gen set</w:t>
            </w:r>
          </w:p>
        </w:tc>
        <w:tc>
          <w:tcPr>
            <w:tcW w:w="564" w:type="pct"/>
          </w:tcPr>
          <w:p w14:paraId="5A1A8801"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Units of energy generated (MWh)</w:t>
            </w:r>
          </w:p>
        </w:tc>
        <w:tc>
          <w:tcPr>
            <w:tcW w:w="469" w:type="pct"/>
          </w:tcPr>
          <w:p w14:paraId="46E06B6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To replace diesel gen set with clean energy </w:t>
            </w:r>
          </w:p>
        </w:tc>
        <w:tc>
          <w:tcPr>
            <w:tcW w:w="517" w:type="pct"/>
          </w:tcPr>
          <w:p w14:paraId="2A848F0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w:t>
            </w:r>
          </w:p>
          <w:p w14:paraId="3A6FE61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p>
        </w:tc>
        <w:tc>
          <w:tcPr>
            <w:tcW w:w="516" w:type="pct"/>
          </w:tcPr>
          <w:p w14:paraId="71DC0049"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1.7</w:t>
            </w:r>
          </w:p>
        </w:tc>
        <w:tc>
          <w:tcPr>
            <w:tcW w:w="448" w:type="pct"/>
          </w:tcPr>
          <w:p w14:paraId="2003E63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No carbon trading under the project</w:t>
            </w:r>
          </w:p>
        </w:tc>
      </w:tr>
      <w:tr w:rsidR="00245464" w:rsidRPr="00191ACB" w14:paraId="311C685C" w14:textId="77777777" w:rsidTr="009B4D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9" w:type="pct"/>
          </w:tcPr>
          <w:p w14:paraId="4A2D1A4E"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ZESCO-300MW in Serenje, Choma, Itezhi-Tezhi**</w:t>
            </w:r>
          </w:p>
        </w:tc>
        <w:tc>
          <w:tcPr>
            <w:tcW w:w="853" w:type="pct"/>
          </w:tcPr>
          <w:p w14:paraId="3F5704B8"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be Connected to the main electricity grid</w:t>
            </w:r>
          </w:p>
        </w:tc>
        <w:tc>
          <w:tcPr>
            <w:tcW w:w="1064" w:type="pct"/>
          </w:tcPr>
          <w:p w14:paraId="085CCD48"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Baseline is the emissions from the SAPP with Grid emission factor of 0.9958 tCO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/MWh, assuming capacity factor 65%. Algorithms in Equations 11 and 13 were used for estimations</w:t>
            </w:r>
          </w:p>
        </w:tc>
        <w:tc>
          <w:tcPr>
            <w:tcW w:w="564" w:type="pct"/>
          </w:tcPr>
          <w:p w14:paraId="6B3BECB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Units of energy generated (MWh)</w:t>
            </w:r>
          </w:p>
        </w:tc>
        <w:tc>
          <w:tcPr>
            <w:tcW w:w="469" w:type="pct"/>
          </w:tcPr>
          <w:p w14:paraId="74F6079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To increase energy security at national level</w:t>
            </w:r>
          </w:p>
        </w:tc>
        <w:tc>
          <w:tcPr>
            <w:tcW w:w="517" w:type="pct"/>
          </w:tcPr>
          <w:p w14:paraId="1D8E32A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w:t>
            </w:r>
          </w:p>
          <w:p w14:paraId="733A01D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516" w:type="pct"/>
          </w:tcPr>
          <w:p w14:paraId="13647DE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515.1</w:t>
            </w:r>
          </w:p>
        </w:tc>
        <w:tc>
          <w:tcPr>
            <w:tcW w:w="448" w:type="pct"/>
          </w:tcPr>
          <w:p w14:paraId="113ECBC8"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No carbon trading under the project</w:t>
            </w:r>
          </w:p>
        </w:tc>
      </w:tr>
    </w:tbl>
    <w:p w14:paraId="29DC6DCF"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lang w:eastAsia="x-none"/>
        </w:rPr>
      </w:pPr>
      <w:r w:rsidRPr="00191ACB">
        <w:rPr>
          <w:rFonts w:ascii="Times New Roman" w:eastAsia="Times New Roman" w:hAnsi="Times New Roman" w:cs="Times New Roman"/>
          <w:b/>
          <w:color w:val="000000" w:themeColor="text1"/>
          <w:sz w:val="24"/>
          <w:szCs w:val="24"/>
          <w:lang w:eastAsia="x-none"/>
        </w:rPr>
        <w:t xml:space="preserve">* </w:t>
      </w:r>
      <w:r w:rsidRPr="00191ACB">
        <w:rPr>
          <w:rFonts w:ascii="Times New Roman" w:eastAsia="Times New Roman" w:hAnsi="Times New Roman" w:cs="Times New Roman"/>
          <w:color w:val="000000" w:themeColor="text1"/>
          <w:sz w:val="24"/>
          <w:szCs w:val="24"/>
          <w:lang w:eastAsia="x-none"/>
        </w:rPr>
        <w:t>Solar PV mini grid scheme</w:t>
      </w:r>
    </w:p>
    <w:p w14:paraId="086D769E" w14:textId="77777777" w:rsidR="009B4DDC" w:rsidRPr="00191ACB" w:rsidRDefault="00245464" w:rsidP="00245464">
      <w:pPr>
        <w:spacing w:after="0" w:line="240" w:lineRule="auto"/>
        <w:jc w:val="both"/>
        <w:rPr>
          <w:rFonts w:ascii="Times New Roman" w:eastAsia="Times New Roman" w:hAnsi="Times New Roman" w:cs="Times New Roman"/>
          <w:color w:val="000000" w:themeColor="text1"/>
          <w:sz w:val="24"/>
          <w:szCs w:val="24"/>
          <w:lang w:eastAsia="x-none"/>
        </w:rPr>
      </w:pPr>
      <w:r w:rsidRPr="00191ACB">
        <w:rPr>
          <w:rFonts w:ascii="Times New Roman" w:eastAsia="Times New Roman" w:hAnsi="Times New Roman" w:cs="Times New Roman"/>
          <w:color w:val="000000" w:themeColor="text1"/>
          <w:sz w:val="24"/>
          <w:szCs w:val="24"/>
          <w:lang w:eastAsia="x-none"/>
        </w:rPr>
        <w:t>** Solar PV Connected to the grid</w:t>
      </w:r>
    </w:p>
    <w:p w14:paraId="3E510410" w14:textId="77777777" w:rsidR="00E92931" w:rsidRPr="00191ACB" w:rsidRDefault="00E92931" w:rsidP="005E626A">
      <w:pPr>
        <w:spacing w:after="120" w:line="240" w:lineRule="auto"/>
        <w:jc w:val="both"/>
        <w:rPr>
          <w:rFonts w:ascii="Times New Roman" w:eastAsia="Times New Roman" w:hAnsi="Times New Roman" w:cs="Times New Roman"/>
          <w:color w:val="000000" w:themeColor="text1"/>
          <w:sz w:val="24"/>
          <w:szCs w:val="24"/>
          <w:lang w:eastAsia="x-none"/>
        </w:rPr>
        <w:sectPr w:rsidR="00E92931" w:rsidRPr="00191ACB" w:rsidSect="00E95E0D">
          <w:pgSz w:w="16834" w:h="11909" w:orient="landscape" w:code="9"/>
          <w:pgMar w:top="720" w:right="862" w:bottom="1440" w:left="862" w:header="720" w:footer="720" w:gutter="0"/>
          <w:cols w:space="720"/>
          <w:docGrid w:linePitch="360"/>
        </w:sectPr>
      </w:pPr>
    </w:p>
    <w:p w14:paraId="57A352CD" w14:textId="4808A170" w:rsidR="009B4DDC" w:rsidRPr="00191ACB" w:rsidRDefault="009B4DDC" w:rsidP="005D53F6">
      <w:pPr>
        <w:pStyle w:val="Heading4"/>
        <w:numPr>
          <w:ilvl w:val="3"/>
          <w:numId w:val="36"/>
        </w:numPr>
        <w:ind w:left="851" w:hanging="851"/>
      </w:pPr>
      <w:r w:rsidRPr="00191ACB">
        <w:lastRenderedPageBreak/>
        <w:t>Solar Home Systems</w:t>
      </w:r>
    </w:p>
    <w:p w14:paraId="2FAC6FF2" w14:textId="0F882583" w:rsidR="009B4DDC" w:rsidRPr="002A4DFC" w:rsidRDefault="009B4DDC" w:rsidP="002A4DFC">
      <w:pPr>
        <w:spacing w:after="120" w:line="276" w:lineRule="auto"/>
        <w:jc w:val="both"/>
        <w:rPr>
          <w:rFonts w:ascii="Times New Roman" w:hAnsi="Times New Roman" w:cs="Times New Roman"/>
          <w:color w:val="000000" w:themeColor="text1"/>
          <w:sz w:val="24"/>
          <w:szCs w:val="24"/>
        </w:rPr>
      </w:pPr>
      <w:r w:rsidRPr="002A4DFC">
        <w:rPr>
          <w:rFonts w:ascii="Times New Roman" w:hAnsi="Times New Roman" w:cs="Times New Roman"/>
          <w:color w:val="000000" w:themeColor="text1"/>
          <w:sz w:val="24"/>
          <w:szCs w:val="24"/>
        </w:rPr>
        <w:t>Emission reduction potential w</w:t>
      </w:r>
      <w:r w:rsidR="00E92931" w:rsidRPr="002A4DFC">
        <w:rPr>
          <w:rFonts w:ascii="Times New Roman" w:hAnsi="Times New Roman" w:cs="Times New Roman"/>
          <w:color w:val="000000" w:themeColor="text1"/>
          <w:sz w:val="24"/>
          <w:szCs w:val="24"/>
        </w:rPr>
        <w:t>as</w:t>
      </w:r>
      <w:r w:rsidRPr="002A4DFC">
        <w:rPr>
          <w:rFonts w:ascii="Times New Roman" w:hAnsi="Times New Roman" w:cs="Times New Roman"/>
          <w:color w:val="000000" w:themeColor="text1"/>
          <w:sz w:val="24"/>
          <w:szCs w:val="24"/>
        </w:rPr>
        <w:t xml:space="preserve"> estimated based on projects implementing solar home systems such as Power Woman</w:t>
      </w:r>
      <w:r w:rsidR="00E92931" w:rsidRPr="002A4DFC">
        <w:rPr>
          <w:rFonts w:ascii="Times New Roman" w:hAnsi="Times New Roman" w:cs="Times New Roman"/>
          <w:color w:val="000000" w:themeColor="text1"/>
          <w:sz w:val="24"/>
          <w:szCs w:val="24"/>
        </w:rPr>
        <w:t xml:space="preserve"> Project</w:t>
      </w:r>
      <w:r w:rsidRPr="002A4DFC">
        <w:rPr>
          <w:rFonts w:ascii="Times New Roman" w:hAnsi="Times New Roman" w:cs="Times New Roman"/>
          <w:color w:val="000000" w:themeColor="text1"/>
          <w:sz w:val="24"/>
          <w:szCs w:val="24"/>
        </w:rPr>
        <w:t xml:space="preserve"> being managed by NGOCC, REA SSMP, and Beyond the Grid projects are provided in table</w:t>
      </w:r>
      <w:r w:rsidR="00501324" w:rsidRPr="002A4DFC">
        <w:rPr>
          <w:rFonts w:ascii="Times New Roman" w:hAnsi="Times New Roman" w:cs="Times New Roman"/>
          <w:color w:val="000000" w:themeColor="text1"/>
          <w:sz w:val="24"/>
          <w:szCs w:val="24"/>
        </w:rPr>
        <w:t xml:space="preserve"> 4.17</w:t>
      </w:r>
      <w:r w:rsidRPr="002A4DFC">
        <w:rPr>
          <w:rFonts w:ascii="Times New Roman" w:hAnsi="Times New Roman" w:cs="Times New Roman"/>
          <w:color w:val="000000" w:themeColor="text1"/>
          <w:sz w:val="24"/>
          <w:szCs w:val="24"/>
        </w:rPr>
        <w:t>. The Rural Electrification Authority (REA) has installed solar mini grids and solar home systems in Zambia. In 2013, REA completed the construction and commissioning of a 60kW solar mini grid as pilot project in Mpanta, Samfya District, Luapula Province with 480 beneficiary households and shops connected with a 12Km long reticulation networks. Further in 2015, REA installed a total of 426 stand-alone solar home systems at various public and social institutions to supply electricity to rural communities across the country. From 2011 to 2015, REA with financial support from the World Bank, implemented Phase I of the Sustainable Solar Marketing Projects (SSMP I) in Isoka, Kalomo and Lukulu Districts. Following successful implementation of SSMP I, the World Bank approved Phase II of the SSMP project in Mwinilunga, Lundazi and Chama districts, respectively.</w:t>
      </w:r>
    </w:p>
    <w:p w14:paraId="5010770A" w14:textId="77777777" w:rsidR="009B4DDC" w:rsidRPr="002A4DFC" w:rsidRDefault="009B4DDC" w:rsidP="002A4DFC">
      <w:pPr>
        <w:spacing w:after="120" w:line="276" w:lineRule="auto"/>
        <w:jc w:val="both"/>
        <w:rPr>
          <w:rFonts w:ascii="Times New Roman" w:hAnsi="Times New Roman" w:cs="Times New Roman"/>
          <w:color w:val="000000" w:themeColor="text1"/>
          <w:sz w:val="24"/>
          <w:szCs w:val="24"/>
        </w:rPr>
        <w:sectPr w:rsidR="009B4DDC" w:rsidRPr="002A4DFC" w:rsidSect="00E92931">
          <w:pgSz w:w="11909" w:h="16834" w:code="9"/>
          <w:pgMar w:top="862" w:right="1440" w:bottom="862" w:left="720" w:header="720" w:footer="720" w:gutter="0"/>
          <w:cols w:space="720"/>
          <w:docGrid w:linePitch="360"/>
        </w:sectPr>
      </w:pPr>
      <w:r w:rsidRPr="002A4DFC">
        <w:rPr>
          <w:rFonts w:ascii="Times New Roman" w:hAnsi="Times New Roman" w:cs="Times New Roman"/>
          <w:color w:val="000000" w:themeColor="text1"/>
          <w:sz w:val="24"/>
          <w:szCs w:val="24"/>
        </w:rPr>
        <w:t xml:space="preserve">REA is currently developing two solar mini grid Projects in Lunga and Chunga at capacities of 300kW and 200kW respectively.  The solar mini grid has been installed at Chunga in Kafue National Park whose capacity is 200 KW and Mpanta on the shores of lake Bangweulu with 60KW peak solar PV network providing electricity to Mpanta village with 480 beneficiary households and shops connected with a 12 km long reticulation networks.  </w:t>
      </w:r>
      <w:r w:rsidR="00C67BFC" w:rsidRPr="002A4DFC">
        <w:rPr>
          <w:rFonts w:ascii="Times New Roman" w:hAnsi="Times New Roman" w:cs="Times New Roman"/>
          <w:color w:val="000000" w:themeColor="text1"/>
          <w:sz w:val="24"/>
          <w:szCs w:val="24"/>
        </w:rPr>
        <w:t>Muhanya Solar a private company has also been involved in marketing and installation of solar PV and has so far installed a 30 kW mini grid in Sinda village which connects about 120 households.</w:t>
      </w:r>
    </w:p>
    <w:p w14:paraId="22B39E4A" w14:textId="77777777" w:rsidR="00245464" w:rsidRPr="002A4DFC" w:rsidRDefault="00245464" w:rsidP="002A4DFC">
      <w:pPr>
        <w:spacing w:after="120" w:line="276" w:lineRule="auto"/>
        <w:jc w:val="both"/>
        <w:rPr>
          <w:rFonts w:ascii="Times New Roman" w:hAnsi="Times New Roman" w:cs="Times New Roman"/>
          <w:color w:val="000000" w:themeColor="text1"/>
          <w:sz w:val="24"/>
          <w:szCs w:val="24"/>
        </w:rPr>
      </w:pPr>
      <w:r w:rsidRPr="002A4DFC">
        <w:rPr>
          <w:rFonts w:ascii="Times New Roman" w:hAnsi="Times New Roman" w:cs="Times New Roman"/>
          <w:color w:val="000000" w:themeColor="text1"/>
          <w:sz w:val="24"/>
          <w:szCs w:val="24"/>
        </w:rPr>
        <w:lastRenderedPageBreak/>
        <w:t xml:space="preserve">This project is funded by U.S. African Development Foundation (USADF) through Musika development Initiative. Further, a mini grid is being constructed in Chipata district with a capacity of 30kW. In addition, Muhanya has been contracted to develop a 15kW solar power plant in Mumbwa in the near future. </w:t>
      </w:r>
    </w:p>
    <w:p w14:paraId="5FCC46B0" w14:textId="7E5E6D92" w:rsidR="00245464" w:rsidRPr="002A4DFC" w:rsidRDefault="00245464" w:rsidP="002A4DFC">
      <w:pPr>
        <w:spacing w:after="120" w:line="276" w:lineRule="auto"/>
        <w:jc w:val="both"/>
        <w:rPr>
          <w:rFonts w:ascii="Times New Roman" w:hAnsi="Times New Roman" w:cs="Times New Roman"/>
          <w:color w:val="000000" w:themeColor="text1"/>
          <w:sz w:val="24"/>
          <w:szCs w:val="24"/>
        </w:rPr>
      </w:pPr>
      <w:r w:rsidRPr="002A4DFC">
        <w:rPr>
          <w:rFonts w:ascii="Times New Roman" w:hAnsi="Times New Roman" w:cs="Times New Roman"/>
          <w:color w:val="000000" w:themeColor="text1"/>
          <w:sz w:val="24"/>
          <w:szCs w:val="24"/>
        </w:rPr>
        <w:t>Solar home systems at existing and planned projects will result in projected annual emission reduction to increase from 0.02 Gg CO2 eq. in 2015 to 7.1 Gg CO2 eq. in 2050 (Table</w:t>
      </w:r>
      <w:r w:rsidR="00501324" w:rsidRPr="002A4DFC">
        <w:rPr>
          <w:rFonts w:ascii="Times New Roman" w:hAnsi="Times New Roman" w:cs="Times New Roman"/>
          <w:color w:val="000000" w:themeColor="text1"/>
          <w:sz w:val="24"/>
          <w:szCs w:val="24"/>
        </w:rPr>
        <w:t xml:space="preserve"> 4.17</w:t>
      </w:r>
      <w:r w:rsidRPr="002A4DFC">
        <w:rPr>
          <w:rFonts w:ascii="Times New Roman" w:hAnsi="Times New Roman" w:cs="Times New Roman"/>
          <w:color w:val="000000" w:themeColor="text1"/>
          <w:sz w:val="24"/>
          <w:szCs w:val="24"/>
        </w:rPr>
        <w:t>).  The baseline for the solar home systems is continued use of kerosene, diesel lamps and candles for lighting. Kerosene consumption for lighting was assumed to be 1.4 litres per household per month.</w:t>
      </w:r>
      <w:r w:rsidR="00ED0A5C" w:rsidRPr="002A4DFC" w:rsidDel="00ED0A5C">
        <w:rPr>
          <w:rFonts w:ascii="Times New Roman" w:hAnsi="Times New Roman" w:cs="Times New Roman"/>
          <w:color w:val="000000" w:themeColor="text1"/>
          <w:sz w:val="24"/>
          <w:szCs w:val="24"/>
        </w:rPr>
        <w:t xml:space="preserve"> </w:t>
      </w:r>
      <w:r w:rsidRPr="002A4DFC">
        <w:rPr>
          <w:rFonts w:ascii="Times New Roman" w:hAnsi="Times New Roman" w:cs="Times New Roman"/>
          <w:color w:val="000000" w:themeColor="text1"/>
          <w:sz w:val="24"/>
          <w:szCs w:val="24"/>
        </w:rPr>
        <w:t>(ESMAP, 2019).</w:t>
      </w:r>
    </w:p>
    <w:p w14:paraId="3AC0A48E" w14:textId="77777777" w:rsidR="00245464" w:rsidRPr="00191ACB" w:rsidRDefault="00245464" w:rsidP="005E626A">
      <w:pPr>
        <w:spacing w:after="120" w:line="240" w:lineRule="auto"/>
        <w:ind w:left="660"/>
        <w:jc w:val="both"/>
        <w:rPr>
          <w:rFonts w:ascii="Times New Roman" w:eastAsia="Calibri" w:hAnsi="Times New Roman" w:cs="Times New Roman"/>
          <w:color w:val="000000" w:themeColor="text1"/>
          <w:sz w:val="24"/>
          <w:szCs w:val="24"/>
        </w:rPr>
      </w:pPr>
    </w:p>
    <w:p w14:paraId="0B75B488" w14:textId="2B887E65" w:rsidR="00245464" w:rsidRPr="00191ACB" w:rsidRDefault="00C319A4" w:rsidP="00C319A4">
      <w:pPr>
        <w:pStyle w:val="Caption"/>
        <w:rPr>
          <w:rFonts w:eastAsia="Calibri"/>
          <w:color w:val="000000" w:themeColor="text1"/>
          <w:sz w:val="24"/>
          <w:szCs w:val="24"/>
        </w:rPr>
      </w:pPr>
      <w:bookmarkStart w:id="388" w:name="_Toc56583793"/>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17</w:t>
      </w:r>
      <w:r w:rsidR="00875942">
        <w:rPr>
          <w:sz w:val="24"/>
          <w:szCs w:val="24"/>
        </w:rPr>
        <w:fldChar w:fldCharType="end"/>
      </w:r>
      <w:r w:rsidRPr="00191ACB">
        <w:rPr>
          <w:sz w:val="24"/>
          <w:szCs w:val="24"/>
        </w:rPr>
        <w:t>:Emission reduction potential Gg CO2 eq. for Solar Home Systems</w:t>
      </w:r>
      <w:bookmarkEnd w:id="388"/>
    </w:p>
    <w:tbl>
      <w:tblPr>
        <w:tblW w:w="5000" w:type="pct"/>
        <w:tblLook w:val="04A0" w:firstRow="1" w:lastRow="0" w:firstColumn="1" w:lastColumn="0" w:noHBand="0" w:noVBand="1"/>
      </w:tblPr>
      <w:tblGrid>
        <w:gridCol w:w="2088"/>
        <w:gridCol w:w="756"/>
        <w:gridCol w:w="756"/>
        <w:gridCol w:w="756"/>
        <w:gridCol w:w="756"/>
        <w:gridCol w:w="928"/>
        <w:gridCol w:w="928"/>
        <w:gridCol w:w="928"/>
        <w:gridCol w:w="928"/>
        <w:gridCol w:w="915"/>
      </w:tblGrid>
      <w:tr w:rsidR="00245464" w:rsidRPr="00191ACB" w14:paraId="092BEDD4" w14:textId="77777777" w:rsidTr="009B4DDC">
        <w:trPr>
          <w:trHeight w:val="315"/>
          <w:tblHeader/>
        </w:trPr>
        <w:tc>
          <w:tcPr>
            <w:tcW w:w="10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9B69D2"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64" w:type="pct"/>
            <w:tcBorders>
              <w:top w:val="single" w:sz="4" w:space="0" w:color="auto"/>
              <w:left w:val="nil"/>
              <w:bottom w:val="single" w:sz="4" w:space="0" w:color="auto"/>
              <w:right w:val="single" w:sz="4" w:space="0" w:color="auto"/>
            </w:tcBorders>
            <w:shd w:val="clear" w:color="auto" w:fill="auto"/>
            <w:noWrap/>
            <w:vAlign w:val="bottom"/>
            <w:hideMark/>
          </w:tcPr>
          <w:p w14:paraId="0E3781C5"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2010</w:t>
            </w:r>
          </w:p>
        </w:tc>
        <w:tc>
          <w:tcPr>
            <w:tcW w:w="365" w:type="pct"/>
            <w:tcBorders>
              <w:top w:val="single" w:sz="4" w:space="0" w:color="auto"/>
              <w:left w:val="nil"/>
              <w:bottom w:val="single" w:sz="4" w:space="0" w:color="auto"/>
              <w:right w:val="single" w:sz="4" w:space="0" w:color="auto"/>
            </w:tcBorders>
            <w:shd w:val="clear" w:color="auto" w:fill="auto"/>
            <w:noWrap/>
            <w:vAlign w:val="bottom"/>
            <w:hideMark/>
          </w:tcPr>
          <w:p w14:paraId="027A2C4D"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2015</w:t>
            </w:r>
          </w:p>
        </w:tc>
        <w:tc>
          <w:tcPr>
            <w:tcW w:w="365" w:type="pct"/>
            <w:tcBorders>
              <w:top w:val="single" w:sz="4" w:space="0" w:color="auto"/>
              <w:left w:val="nil"/>
              <w:bottom w:val="single" w:sz="4" w:space="0" w:color="auto"/>
              <w:right w:val="single" w:sz="4" w:space="0" w:color="auto"/>
            </w:tcBorders>
            <w:shd w:val="clear" w:color="auto" w:fill="auto"/>
            <w:noWrap/>
            <w:vAlign w:val="bottom"/>
            <w:hideMark/>
          </w:tcPr>
          <w:p w14:paraId="24022F43"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2020</w:t>
            </w:r>
          </w:p>
        </w:tc>
        <w:tc>
          <w:tcPr>
            <w:tcW w:w="359" w:type="pct"/>
            <w:tcBorders>
              <w:top w:val="single" w:sz="4" w:space="0" w:color="auto"/>
              <w:left w:val="nil"/>
              <w:bottom w:val="single" w:sz="4" w:space="0" w:color="auto"/>
              <w:right w:val="single" w:sz="4" w:space="0" w:color="auto"/>
            </w:tcBorders>
            <w:shd w:val="clear" w:color="auto" w:fill="auto"/>
            <w:noWrap/>
            <w:vAlign w:val="bottom"/>
            <w:hideMark/>
          </w:tcPr>
          <w:p w14:paraId="02DBD40B"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2025</w:t>
            </w:r>
          </w:p>
        </w:tc>
        <w:tc>
          <w:tcPr>
            <w:tcW w:w="493" w:type="pct"/>
            <w:tcBorders>
              <w:top w:val="single" w:sz="4" w:space="0" w:color="auto"/>
              <w:left w:val="nil"/>
              <w:bottom w:val="single" w:sz="4" w:space="0" w:color="auto"/>
              <w:right w:val="single" w:sz="4" w:space="0" w:color="auto"/>
            </w:tcBorders>
            <w:shd w:val="clear" w:color="auto" w:fill="auto"/>
            <w:noWrap/>
            <w:vAlign w:val="bottom"/>
            <w:hideMark/>
          </w:tcPr>
          <w:p w14:paraId="4662650A"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2030</w:t>
            </w:r>
          </w:p>
        </w:tc>
        <w:tc>
          <w:tcPr>
            <w:tcW w:w="493" w:type="pct"/>
            <w:tcBorders>
              <w:top w:val="single" w:sz="4" w:space="0" w:color="auto"/>
              <w:left w:val="nil"/>
              <w:bottom w:val="single" w:sz="4" w:space="0" w:color="auto"/>
              <w:right w:val="single" w:sz="4" w:space="0" w:color="auto"/>
            </w:tcBorders>
            <w:shd w:val="clear" w:color="auto" w:fill="auto"/>
            <w:noWrap/>
            <w:vAlign w:val="bottom"/>
            <w:hideMark/>
          </w:tcPr>
          <w:p w14:paraId="47CB0F92"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2035</w:t>
            </w:r>
          </w:p>
        </w:tc>
        <w:tc>
          <w:tcPr>
            <w:tcW w:w="493" w:type="pct"/>
            <w:tcBorders>
              <w:top w:val="single" w:sz="4" w:space="0" w:color="auto"/>
              <w:left w:val="nil"/>
              <w:bottom w:val="single" w:sz="4" w:space="0" w:color="auto"/>
              <w:right w:val="single" w:sz="4" w:space="0" w:color="auto"/>
            </w:tcBorders>
            <w:shd w:val="clear" w:color="auto" w:fill="auto"/>
            <w:noWrap/>
            <w:vAlign w:val="bottom"/>
            <w:hideMark/>
          </w:tcPr>
          <w:p w14:paraId="542123D6"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2040</w:t>
            </w:r>
          </w:p>
        </w:tc>
        <w:tc>
          <w:tcPr>
            <w:tcW w:w="493" w:type="pct"/>
            <w:tcBorders>
              <w:top w:val="single" w:sz="4" w:space="0" w:color="auto"/>
              <w:left w:val="nil"/>
              <w:bottom w:val="single" w:sz="4" w:space="0" w:color="auto"/>
              <w:right w:val="single" w:sz="4" w:space="0" w:color="auto"/>
            </w:tcBorders>
            <w:shd w:val="clear" w:color="auto" w:fill="auto"/>
            <w:noWrap/>
            <w:vAlign w:val="bottom"/>
            <w:hideMark/>
          </w:tcPr>
          <w:p w14:paraId="1668B3BE"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2045</w:t>
            </w:r>
          </w:p>
        </w:tc>
        <w:tc>
          <w:tcPr>
            <w:tcW w:w="486" w:type="pct"/>
            <w:tcBorders>
              <w:top w:val="single" w:sz="4" w:space="0" w:color="auto"/>
              <w:left w:val="nil"/>
              <w:bottom w:val="single" w:sz="4" w:space="0" w:color="auto"/>
              <w:right w:val="single" w:sz="4" w:space="0" w:color="auto"/>
            </w:tcBorders>
            <w:shd w:val="clear" w:color="auto" w:fill="auto"/>
            <w:noWrap/>
            <w:vAlign w:val="bottom"/>
            <w:hideMark/>
          </w:tcPr>
          <w:p w14:paraId="49C4422F"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2050</w:t>
            </w:r>
          </w:p>
        </w:tc>
      </w:tr>
      <w:tr w:rsidR="00245464" w:rsidRPr="00191ACB" w14:paraId="1DEE7309" w14:textId="77777777" w:rsidTr="009B4DDC">
        <w:trPr>
          <w:trHeight w:val="490"/>
        </w:trPr>
        <w:tc>
          <w:tcPr>
            <w:tcW w:w="1089" w:type="pct"/>
            <w:tcBorders>
              <w:top w:val="nil"/>
              <w:left w:val="single" w:sz="4" w:space="0" w:color="auto"/>
              <w:bottom w:val="single" w:sz="4" w:space="0" w:color="auto"/>
              <w:right w:val="single" w:sz="4" w:space="0" w:color="auto"/>
            </w:tcBorders>
            <w:shd w:val="clear" w:color="auto" w:fill="auto"/>
            <w:vAlign w:val="center"/>
            <w:hideMark/>
          </w:tcPr>
          <w:p w14:paraId="754F8EF1"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Power woman project in 3 </w:t>
            </w:r>
          </w:p>
        </w:tc>
        <w:tc>
          <w:tcPr>
            <w:tcW w:w="364" w:type="pct"/>
            <w:tcBorders>
              <w:top w:val="nil"/>
              <w:left w:val="nil"/>
              <w:bottom w:val="single" w:sz="4" w:space="0" w:color="auto"/>
              <w:right w:val="single" w:sz="4" w:space="0" w:color="auto"/>
            </w:tcBorders>
            <w:shd w:val="clear" w:color="auto" w:fill="auto"/>
            <w:noWrap/>
            <w:vAlign w:val="bottom"/>
            <w:hideMark/>
          </w:tcPr>
          <w:p w14:paraId="082BA4D9"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0D5FBE8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2D1CDC2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0.008</w:t>
            </w:r>
          </w:p>
        </w:tc>
        <w:tc>
          <w:tcPr>
            <w:tcW w:w="359" w:type="pct"/>
            <w:tcBorders>
              <w:top w:val="nil"/>
              <w:left w:val="nil"/>
              <w:bottom w:val="single" w:sz="4" w:space="0" w:color="auto"/>
              <w:right w:val="single" w:sz="4" w:space="0" w:color="auto"/>
            </w:tcBorders>
            <w:shd w:val="clear" w:color="auto" w:fill="auto"/>
            <w:noWrap/>
            <w:vAlign w:val="bottom"/>
            <w:hideMark/>
          </w:tcPr>
          <w:p w14:paraId="47372E05"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0.008</w:t>
            </w:r>
          </w:p>
        </w:tc>
        <w:tc>
          <w:tcPr>
            <w:tcW w:w="493" w:type="pct"/>
            <w:tcBorders>
              <w:top w:val="nil"/>
              <w:left w:val="nil"/>
              <w:bottom w:val="single" w:sz="4" w:space="0" w:color="auto"/>
              <w:right w:val="single" w:sz="4" w:space="0" w:color="auto"/>
            </w:tcBorders>
            <w:shd w:val="clear" w:color="auto" w:fill="auto"/>
            <w:noWrap/>
            <w:vAlign w:val="bottom"/>
            <w:hideMark/>
          </w:tcPr>
          <w:p w14:paraId="2AED4BD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0.008</w:t>
            </w:r>
          </w:p>
        </w:tc>
        <w:tc>
          <w:tcPr>
            <w:tcW w:w="493" w:type="pct"/>
            <w:tcBorders>
              <w:top w:val="nil"/>
              <w:left w:val="nil"/>
              <w:bottom w:val="single" w:sz="4" w:space="0" w:color="auto"/>
              <w:right w:val="single" w:sz="4" w:space="0" w:color="auto"/>
            </w:tcBorders>
            <w:shd w:val="clear" w:color="auto" w:fill="auto"/>
            <w:noWrap/>
            <w:vAlign w:val="bottom"/>
            <w:hideMark/>
          </w:tcPr>
          <w:p w14:paraId="6C83184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0.008</w:t>
            </w:r>
          </w:p>
        </w:tc>
        <w:tc>
          <w:tcPr>
            <w:tcW w:w="493" w:type="pct"/>
            <w:tcBorders>
              <w:top w:val="nil"/>
              <w:left w:val="nil"/>
              <w:bottom w:val="single" w:sz="4" w:space="0" w:color="auto"/>
              <w:right w:val="single" w:sz="4" w:space="0" w:color="auto"/>
            </w:tcBorders>
            <w:shd w:val="clear" w:color="auto" w:fill="auto"/>
            <w:noWrap/>
            <w:vAlign w:val="bottom"/>
            <w:hideMark/>
          </w:tcPr>
          <w:p w14:paraId="7C48075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0.008</w:t>
            </w:r>
          </w:p>
        </w:tc>
        <w:tc>
          <w:tcPr>
            <w:tcW w:w="493" w:type="pct"/>
            <w:tcBorders>
              <w:top w:val="nil"/>
              <w:left w:val="nil"/>
              <w:bottom w:val="single" w:sz="4" w:space="0" w:color="auto"/>
              <w:right w:val="single" w:sz="4" w:space="0" w:color="auto"/>
            </w:tcBorders>
            <w:shd w:val="clear" w:color="auto" w:fill="auto"/>
            <w:noWrap/>
            <w:vAlign w:val="bottom"/>
            <w:hideMark/>
          </w:tcPr>
          <w:p w14:paraId="724F0FB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0.008</w:t>
            </w:r>
          </w:p>
        </w:tc>
        <w:tc>
          <w:tcPr>
            <w:tcW w:w="486" w:type="pct"/>
            <w:tcBorders>
              <w:top w:val="nil"/>
              <w:left w:val="nil"/>
              <w:bottom w:val="single" w:sz="4" w:space="0" w:color="auto"/>
              <w:right w:val="single" w:sz="4" w:space="0" w:color="auto"/>
            </w:tcBorders>
            <w:shd w:val="clear" w:color="auto" w:fill="auto"/>
            <w:noWrap/>
            <w:vAlign w:val="bottom"/>
            <w:hideMark/>
          </w:tcPr>
          <w:p w14:paraId="5E19C6D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0.008</w:t>
            </w:r>
          </w:p>
        </w:tc>
      </w:tr>
      <w:tr w:rsidR="00245464" w:rsidRPr="00191ACB" w14:paraId="2BA14ECF" w14:textId="77777777" w:rsidTr="009B4DDC">
        <w:trPr>
          <w:trHeight w:val="630"/>
        </w:trPr>
        <w:tc>
          <w:tcPr>
            <w:tcW w:w="1089" w:type="pct"/>
            <w:tcBorders>
              <w:top w:val="nil"/>
              <w:left w:val="single" w:sz="4" w:space="0" w:color="auto"/>
              <w:bottom w:val="single" w:sz="4" w:space="0" w:color="auto"/>
              <w:right w:val="single" w:sz="4" w:space="0" w:color="auto"/>
            </w:tcBorders>
            <w:shd w:val="clear" w:color="auto" w:fill="auto"/>
            <w:vAlign w:val="center"/>
            <w:hideMark/>
          </w:tcPr>
          <w:p w14:paraId="5FBFF1F1" w14:textId="77777777" w:rsidR="00245464" w:rsidRPr="00191ACB" w:rsidRDefault="00245464" w:rsidP="009B4DDC">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Sustainable Solar Market Packages (SSMP) </w:t>
            </w:r>
          </w:p>
        </w:tc>
        <w:tc>
          <w:tcPr>
            <w:tcW w:w="364" w:type="pct"/>
            <w:tcBorders>
              <w:top w:val="nil"/>
              <w:left w:val="nil"/>
              <w:bottom w:val="single" w:sz="4" w:space="0" w:color="auto"/>
              <w:right w:val="single" w:sz="4" w:space="0" w:color="auto"/>
            </w:tcBorders>
            <w:shd w:val="clear" w:color="auto" w:fill="auto"/>
            <w:noWrap/>
            <w:vAlign w:val="bottom"/>
            <w:hideMark/>
          </w:tcPr>
          <w:p w14:paraId="61B183F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721F82C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3DE8D80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0.047</w:t>
            </w:r>
          </w:p>
        </w:tc>
        <w:tc>
          <w:tcPr>
            <w:tcW w:w="359" w:type="pct"/>
            <w:tcBorders>
              <w:top w:val="nil"/>
              <w:left w:val="nil"/>
              <w:bottom w:val="single" w:sz="4" w:space="0" w:color="auto"/>
              <w:right w:val="single" w:sz="4" w:space="0" w:color="auto"/>
            </w:tcBorders>
            <w:shd w:val="clear" w:color="auto" w:fill="auto"/>
            <w:noWrap/>
            <w:vAlign w:val="bottom"/>
            <w:hideMark/>
          </w:tcPr>
          <w:p w14:paraId="28B5106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0.047</w:t>
            </w:r>
          </w:p>
        </w:tc>
        <w:tc>
          <w:tcPr>
            <w:tcW w:w="493" w:type="pct"/>
            <w:tcBorders>
              <w:top w:val="nil"/>
              <w:left w:val="nil"/>
              <w:bottom w:val="single" w:sz="4" w:space="0" w:color="auto"/>
              <w:right w:val="single" w:sz="4" w:space="0" w:color="auto"/>
            </w:tcBorders>
            <w:shd w:val="clear" w:color="auto" w:fill="auto"/>
            <w:noWrap/>
            <w:vAlign w:val="bottom"/>
            <w:hideMark/>
          </w:tcPr>
          <w:p w14:paraId="454373FF"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0.047</w:t>
            </w:r>
          </w:p>
        </w:tc>
        <w:tc>
          <w:tcPr>
            <w:tcW w:w="493" w:type="pct"/>
            <w:tcBorders>
              <w:top w:val="nil"/>
              <w:left w:val="nil"/>
              <w:bottom w:val="single" w:sz="4" w:space="0" w:color="auto"/>
              <w:right w:val="single" w:sz="4" w:space="0" w:color="auto"/>
            </w:tcBorders>
            <w:shd w:val="clear" w:color="auto" w:fill="auto"/>
            <w:noWrap/>
            <w:vAlign w:val="bottom"/>
            <w:hideMark/>
          </w:tcPr>
          <w:p w14:paraId="47C5CE09"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0.047</w:t>
            </w:r>
          </w:p>
        </w:tc>
        <w:tc>
          <w:tcPr>
            <w:tcW w:w="493" w:type="pct"/>
            <w:tcBorders>
              <w:top w:val="nil"/>
              <w:left w:val="nil"/>
              <w:bottom w:val="single" w:sz="4" w:space="0" w:color="auto"/>
              <w:right w:val="single" w:sz="4" w:space="0" w:color="auto"/>
            </w:tcBorders>
            <w:shd w:val="clear" w:color="auto" w:fill="auto"/>
            <w:noWrap/>
            <w:vAlign w:val="bottom"/>
            <w:hideMark/>
          </w:tcPr>
          <w:p w14:paraId="0A7E054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0.047</w:t>
            </w:r>
          </w:p>
        </w:tc>
        <w:tc>
          <w:tcPr>
            <w:tcW w:w="493" w:type="pct"/>
            <w:tcBorders>
              <w:top w:val="nil"/>
              <w:left w:val="nil"/>
              <w:bottom w:val="single" w:sz="4" w:space="0" w:color="auto"/>
              <w:right w:val="single" w:sz="4" w:space="0" w:color="auto"/>
            </w:tcBorders>
            <w:shd w:val="clear" w:color="auto" w:fill="auto"/>
            <w:noWrap/>
            <w:vAlign w:val="bottom"/>
            <w:hideMark/>
          </w:tcPr>
          <w:p w14:paraId="1F9DAF71"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0.047</w:t>
            </w:r>
          </w:p>
        </w:tc>
        <w:tc>
          <w:tcPr>
            <w:tcW w:w="486" w:type="pct"/>
            <w:tcBorders>
              <w:top w:val="nil"/>
              <w:left w:val="nil"/>
              <w:bottom w:val="single" w:sz="4" w:space="0" w:color="auto"/>
              <w:right w:val="single" w:sz="4" w:space="0" w:color="auto"/>
            </w:tcBorders>
            <w:shd w:val="clear" w:color="auto" w:fill="auto"/>
            <w:noWrap/>
            <w:vAlign w:val="bottom"/>
            <w:hideMark/>
          </w:tcPr>
          <w:p w14:paraId="7F60476E"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0.047</w:t>
            </w:r>
          </w:p>
        </w:tc>
      </w:tr>
      <w:tr w:rsidR="00245464" w:rsidRPr="00191ACB" w14:paraId="104ED9CB" w14:textId="77777777" w:rsidTr="009B4DDC">
        <w:trPr>
          <w:trHeight w:val="544"/>
        </w:trPr>
        <w:tc>
          <w:tcPr>
            <w:tcW w:w="1089" w:type="pct"/>
            <w:tcBorders>
              <w:top w:val="nil"/>
              <w:left w:val="single" w:sz="4" w:space="0" w:color="auto"/>
              <w:bottom w:val="single" w:sz="4" w:space="0" w:color="auto"/>
              <w:right w:val="single" w:sz="4" w:space="0" w:color="auto"/>
            </w:tcBorders>
            <w:shd w:val="clear" w:color="auto" w:fill="auto"/>
            <w:vAlign w:val="bottom"/>
            <w:hideMark/>
          </w:tcPr>
          <w:p w14:paraId="66591AD0"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Beyond the Grid Project. The Power Africa: </w:t>
            </w:r>
          </w:p>
        </w:tc>
        <w:tc>
          <w:tcPr>
            <w:tcW w:w="364" w:type="pct"/>
            <w:tcBorders>
              <w:top w:val="nil"/>
              <w:left w:val="nil"/>
              <w:bottom w:val="single" w:sz="4" w:space="0" w:color="auto"/>
              <w:right w:val="single" w:sz="4" w:space="0" w:color="auto"/>
            </w:tcBorders>
            <w:shd w:val="clear" w:color="auto" w:fill="auto"/>
            <w:noWrap/>
            <w:vAlign w:val="bottom"/>
            <w:hideMark/>
          </w:tcPr>
          <w:p w14:paraId="03667F9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0E38CDFF"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34436DD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6.916</w:t>
            </w:r>
          </w:p>
        </w:tc>
        <w:tc>
          <w:tcPr>
            <w:tcW w:w="359" w:type="pct"/>
            <w:tcBorders>
              <w:top w:val="nil"/>
              <w:left w:val="nil"/>
              <w:bottom w:val="single" w:sz="4" w:space="0" w:color="auto"/>
              <w:right w:val="single" w:sz="4" w:space="0" w:color="auto"/>
            </w:tcBorders>
            <w:shd w:val="clear" w:color="auto" w:fill="auto"/>
            <w:noWrap/>
            <w:vAlign w:val="bottom"/>
            <w:hideMark/>
          </w:tcPr>
          <w:p w14:paraId="19D92EB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6.916</w:t>
            </w:r>
          </w:p>
        </w:tc>
        <w:tc>
          <w:tcPr>
            <w:tcW w:w="493" w:type="pct"/>
            <w:tcBorders>
              <w:top w:val="nil"/>
              <w:left w:val="nil"/>
              <w:bottom w:val="single" w:sz="4" w:space="0" w:color="auto"/>
              <w:right w:val="single" w:sz="4" w:space="0" w:color="auto"/>
            </w:tcBorders>
            <w:shd w:val="clear" w:color="auto" w:fill="auto"/>
            <w:noWrap/>
            <w:vAlign w:val="bottom"/>
            <w:hideMark/>
          </w:tcPr>
          <w:p w14:paraId="3BE1EE0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6.916</w:t>
            </w:r>
          </w:p>
        </w:tc>
        <w:tc>
          <w:tcPr>
            <w:tcW w:w="493" w:type="pct"/>
            <w:tcBorders>
              <w:top w:val="nil"/>
              <w:left w:val="nil"/>
              <w:bottom w:val="single" w:sz="4" w:space="0" w:color="auto"/>
              <w:right w:val="single" w:sz="4" w:space="0" w:color="auto"/>
            </w:tcBorders>
            <w:shd w:val="clear" w:color="auto" w:fill="auto"/>
            <w:noWrap/>
            <w:vAlign w:val="bottom"/>
            <w:hideMark/>
          </w:tcPr>
          <w:p w14:paraId="6574A029"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6.916</w:t>
            </w:r>
          </w:p>
        </w:tc>
        <w:tc>
          <w:tcPr>
            <w:tcW w:w="493" w:type="pct"/>
            <w:tcBorders>
              <w:top w:val="nil"/>
              <w:left w:val="nil"/>
              <w:bottom w:val="single" w:sz="4" w:space="0" w:color="auto"/>
              <w:right w:val="single" w:sz="4" w:space="0" w:color="auto"/>
            </w:tcBorders>
            <w:shd w:val="clear" w:color="auto" w:fill="auto"/>
            <w:noWrap/>
            <w:vAlign w:val="bottom"/>
            <w:hideMark/>
          </w:tcPr>
          <w:p w14:paraId="4631322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6.916</w:t>
            </w:r>
          </w:p>
        </w:tc>
        <w:tc>
          <w:tcPr>
            <w:tcW w:w="493" w:type="pct"/>
            <w:tcBorders>
              <w:top w:val="nil"/>
              <w:left w:val="nil"/>
              <w:bottom w:val="single" w:sz="4" w:space="0" w:color="auto"/>
              <w:right w:val="single" w:sz="4" w:space="0" w:color="auto"/>
            </w:tcBorders>
            <w:shd w:val="clear" w:color="auto" w:fill="auto"/>
            <w:noWrap/>
            <w:vAlign w:val="bottom"/>
            <w:hideMark/>
          </w:tcPr>
          <w:p w14:paraId="685D6279"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6.916</w:t>
            </w:r>
          </w:p>
        </w:tc>
        <w:tc>
          <w:tcPr>
            <w:tcW w:w="486" w:type="pct"/>
            <w:tcBorders>
              <w:top w:val="nil"/>
              <w:left w:val="nil"/>
              <w:bottom w:val="single" w:sz="4" w:space="0" w:color="auto"/>
              <w:right w:val="single" w:sz="4" w:space="0" w:color="auto"/>
            </w:tcBorders>
            <w:shd w:val="clear" w:color="auto" w:fill="auto"/>
            <w:noWrap/>
            <w:vAlign w:val="bottom"/>
            <w:hideMark/>
          </w:tcPr>
          <w:p w14:paraId="61979C2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6.916</w:t>
            </w:r>
          </w:p>
        </w:tc>
      </w:tr>
      <w:tr w:rsidR="00245464" w:rsidRPr="00191ACB" w14:paraId="351FEF82" w14:textId="77777777" w:rsidTr="009B4DDC">
        <w:trPr>
          <w:trHeight w:val="346"/>
        </w:trPr>
        <w:tc>
          <w:tcPr>
            <w:tcW w:w="1089" w:type="pct"/>
            <w:tcBorders>
              <w:top w:val="nil"/>
              <w:left w:val="single" w:sz="4" w:space="0" w:color="auto"/>
              <w:bottom w:val="single" w:sz="4" w:space="0" w:color="auto"/>
              <w:right w:val="single" w:sz="4" w:space="0" w:color="auto"/>
            </w:tcBorders>
            <w:shd w:val="clear" w:color="auto" w:fill="auto"/>
            <w:vAlign w:val="center"/>
            <w:hideMark/>
          </w:tcPr>
          <w:p w14:paraId="3C05EEC1"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Solar Mini-Grids Lunga </w:t>
            </w:r>
          </w:p>
        </w:tc>
        <w:tc>
          <w:tcPr>
            <w:tcW w:w="364" w:type="pct"/>
            <w:tcBorders>
              <w:top w:val="nil"/>
              <w:left w:val="nil"/>
              <w:bottom w:val="single" w:sz="4" w:space="0" w:color="auto"/>
              <w:right w:val="single" w:sz="4" w:space="0" w:color="auto"/>
            </w:tcBorders>
            <w:shd w:val="clear" w:color="auto" w:fill="auto"/>
            <w:noWrap/>
            <w:vAlign w:val="bottom"/>
            <w:hideMark/>
          </w:tcPr>
          <w:p w14:paraId="4AA529D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3D42309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2F4FA9E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0.090</w:t>
            </w:r>
          </w:p>
        </w:tc>
        <w:tc>
          <w:tcPr>
            <w:tcW w:w="359" w:type="pct"/>
            <w:tcBorders>
              <w:top w:val="nil"/>
              <w:left w:val="nil"/>
              <w:bottom w:val="single" w:sz="4" w:space="0" w:color="auto"/>
              <w:right w:val="single" w:sz="4" w:space="0" w:color="auto"/>
            </w:tcBorders>
            <w:shd w:val="clear" w:color="auto" w:fill="auto"/>
            <w:noWrap/>
            <w:vAlign w:val="bottom"/>
            <w:hideMark/>
          </w:tcPr>
          <w:p w14:paraId="1E36364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0.090</w:t>
            </w:r>
          </w:p>
        </w:tc>
        <w:tc>
          <w:tcPr>
            <w:tcW w:w="493" w:type="pct"/>
            <w:tcBorders>
              <w:top w:val="nil"/>
              <w:left w:val="nil"/>
              <w:bottom w:val="single" w:sz="4" w:space="0" w:color="auto"/>
              <w:right w:val="single" w:sz="4" w:space="0" w:color="auto"/>
            </w:tcBorders>
            <w:shd w:val="clear" w:color="auto" w:fill="auto"/>
            <w:noWrap/>
            <w:vAlign w:val="bottom"/>
            <w:hideMark/>
          </w:tcPr>
          <w:p w14:paraId="20CDD59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0.090</w:t>
            </w:r>
          </w:p>
        </w:tc>
        <w:tc>
          <w:tcPr>
            <w:tcW w:w="493" w:type="pct"/>
            <w:tcBorders>
              <w:top w:val="nil"/>
              <w:left w:val="nil"/>
              <w:bottom w:val="single" w:sz="4" w:space="0" w:color="auto"/>
              <w:right w:val="single" w:sz="4" w:space="0" w:color="auto"/>
            </w:tcBorders>
            <w:shd w:val="clear" w:color="auto" w:fill="auto"/>
            <w:noWrap/>
            <w:vAlign w:val="bottom"/>
            <w:hideMark/>
          </w:tcPr>
          <w:p w14:paraId="1388668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0.090</w:t>
            </w:r>
          </w:p>
        </w:tc>
        <w:tc>
          <w:tcPr>
            <w:tcW w:w="493" w:type="pct"/>
            <w:tcBorders>
              <w:top w:val="nil"/>
              <w:left w:val="nil"/>
              <w:bottom w:val="single" w:sz="4" w:space="0" w:color="auto"/>
              <w:right w:val="single" w:sz="4" w:space="0" w:color="auto"/>
            </w:tcBorders>
            <w:shd w:val="clear" w:color="auto" w:fill="auto"/>
            <w:noWrap/>
            <w:vAlign w:val="bottom"/>
            <w:hideMark/>
          </w:tcPr>
          <w:p w14:paraId="72D27DB1"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0.090</w:t>
            </w:r>
          </w:p>
        </w:tc>
        <w:tc>
          <w:tcPr>
            <w:tcW w:w="493" w:type="pct"/>
            <w:tcBorders>
              <w:top w:val="nil"/>
              <w:left w:val="nil"/>
              <w:bottom w:val="single" w:sz="4" w:space="0" w:color="auto"/>
              <w:right w:val="single" w:sz="4" w:space="0" w:color="auto"/>
            </w:tcBorders>
            <w:shd w:val="clear" w:color="auto" w:fill="auto"/>
            <w:noWrap/>
            <w:vAlign w:val="bottom"/>
            <w:hideMark/>
          </w:tcPr>
          <w:p w14:paraId="102CED09"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0.090</w:t>
            </w:r>
          </w:p>
        </w:tc>
        <w:tc>
          <w:tcPr>
            <w:tcW w:w="486" w:type="pct"/>
            <w:tcBorders>
              <w:top w:val="nil"/>
              <w:left w:val="nil"/>
              <w:bottom w:val="single" w:sz="4" w:space="0" w:color="auto"/>
              <w:right w:val="single" w:sz="4" w:space="0" w:color="auto"/>
            </w:tcBorders>
            <w:shd w:val="clear" w:color="auto" w:fill="auto"/>
            <w:noWrap/>
            <w:vAlign w:val="bottom"/>
            <w:hideMark/>
          </w:tcPr>
          <w:p w14:paraId="268E1DF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0.090</w:t>
            </w:r>
          </w:p>
        </w:tc>
      </w:tr>
      <w:tr w:rsidR="00245464" w:rsidRPr="00191ACB" w14:paraId="7D273317" w14:textId="77777777" w:rsidTr="009B4DDC">
        <w:trPr>
          <w:trHeight w:val="315"/>
        </w:trPr>
        <w:tc>
          <w:tcPr>
            <w:tcW w:w="1089" w:type="pct"/>
            <w:tcBorders>
              <w:top w:val="nil"/>
              <w:left w:val="single" w:sz="4" w:space="0" w:color="auto"/>
              <w:bottom w:val="single" w:sz="4" w:space="0" w:color="auto"/>
              <w:right w:val="single" w:sz="4" w:space="0" w:color="auto"/>
            </w:tcBorders>
            <w:shd w:val="clear" w:color="auto" w:fill="auto"/>
            <w:vAlign w:val="center"/>
            <w:hideMark/>
          </w:tcPr>
          <w:p w14:paraId="25342E36"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Mpanta Sola Mini grid (600KW)</w:t>
            </w:r>
          </w:p>
        </w:tc>
        <w:tc>
          <w:tcPr>
            <w:tcW w:w="364" w:type="pct"/>
            <w:tcBorders>
              <w:top w:val="nil"/>
              <w:left w:val="nil"/>
              <w:bottom w:val="single" w:sz="4" w:space="0" w:color="auto"/>
              <w:right w:val="single" w:sz="4" w:space="0" w:color="auto"/>
            </w:tcBorders>
            <w:shd w:val="clear" w:color="auto" w:fill="auto"/>
            <w:noWrap/>
            <w:vAlign w:val="bottom"/>
            <w:hideMark/>
          </w:tcPr>
          <w:p w14:paraId="5DDD9B3E"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19997A4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365" w:type="pct"/>
            <w:tcBorders>
              <w:top w:val="nil"/>
              <w:left w:val="nil"/>
              <w:bottom w:val="single" w:sz="4" w:space="0" w:color="auto"/>
              <w:right w:val="single" w:sz="4" w:space="0" w:color="auto"/>
            </w:tcBorders>
            <w:shd w:val="clear" w:color="auto" w:fill="auto"/>
            <w:noWrap/>
            <w:vAlign w:val="bottom"/>
            <w:hideMark/>
          </w:tcPr>
          <w:p w14:paraId="2FF3FC8F"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359" w:type="pct"/>
            <w:tcBorders>
              <w:top w:val="nil"/>
              <w:left w:val="nil"/>
              <w:bottom w:val="single" w:sz="4" w:space="0" w:color="auto"/>
              <w:right w:val="single" w:sz="4" w:space="0" w:color="auto"/>
            </w:tcBorders>
            <w:shd w:val="clear" w:color="auto" w:fill="auto"/>
            <w:noWrap/>
            <w:vAlign w:val="bottom"/>
            <w:hideMark/>
          </w:tcPr>
          <w:p w14:paraId="3E2CD7D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493" w:type="pct"/>
            <w:tcBorders>
              <w:top w:val="nil"/>
              <w:left w:val="nil"/>
              <w:bottom w:val="single" w:sz="4" w:space="0" w:color="auto"/>
              <w:right w:val="single" w:sz="4" w:space="0" w:color="auto"/>
            </w:tcBorders>
            <w:shd w:val="clear" w:color="auto" w:fill="auto"/>
            <w:noWrap/>
            <w:vAlign w:val="bottom"/>
            <w:hideMark/>
          </w:tcPr>
          <w:p w14:paraId="5960F71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493" w:type="pct"/>
            <w:tcBorders>
              <w:top w:val="nil"/>
              <w:left w:val="nil"/>
              <w:bottom w:val="single" w:sz="4" w:space="0" w:color="auto"/>
              <w:right w:val="single" w:sz="4" w:space="0" w:color="auto"/>
            </w:tcBorders>
            <w:shd w:val="clear" w:color="auto" w:fill="auto"/>
            <w:noWrap/>
            <w:vAlign w:val="bottom"/>
            <w:hideMark/>
          </w:tcPr>
          <w:p w14:paraId="77F34E91"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493" w:type="pct"/>
            <w:tcBorders>
              <w:top w:val="nil"/>
              <w:left w:val="nil"/>
              <w:bottom w:val="single" w:sz="4" w:space="0" w:color="auto"/>
              <w:right w:val="single" w:sz="4" w:space="0" w:color="auto"/>
            </w:tcBorders>
            <w:shd w:val="clear" w:color="auto" w:fill="auto"/>
            <w:noWrap/>
            <w:vAlign w:val="bottom"/>
            <w:hideMark/>
          </w:tcPr>
          <w:p w14:paraId="4C1A197F"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493" w:type="pct"/>
            <w:tcBorders>
              <w:top w:val="nil"/>
              <w:left w:val="nil"/>
              <w:bottom w:val="single" w:sz="4" w:space="0" w:color="auto"/>
              <w:right w:val="single" w:sz="4" w:space="0" w:color="auto"/>
            </w:tcBorders>
            <w:shd w:val="clear" w:color="auto" w:fill="auto"/>
            <w:noWrap/>
            <w:vAlign w:val="bottom"/>
            <w:hideMark/>
          </w:tcPr>
          <w:p w14:paraId="2050EAB1"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486" w:type="pct"/>
            <w:tcBorders>
              <w:top w:val="nil"/>
              <w:left w:val="nil"/>
              <w:bottom w:val="single" w:sz="4" w:space="0" w:color="auto"/>
              <w:right w:val="single" w:sz="4" w:space="0" w:color="auto"/>
            </w:tcBorders>
            <w:shd w:val="clear" w:color="auto" w:fill="auto"/>
            <w:noWrap/>
            <w:vAlign w:val="bottom"/>
            <w:hideMark/>
          </w:tcPr>
          <w:p w14:paraId="5B483BB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r>
      <w:tr w:rsidR="00245464" w:rsidRPr="00191ACB" w14:paraId="5AC04428" w14:textId="77777777" w:rsidTr="009B4DDC">
        <w:trPr>
          <w:trHeight w:val="630"/>
        </w:trPr>
        <w:tc>
          <w:tcPr>
            <w:tcW w:w="1089" w:type="pct"/>
            <w:tcBorders>
              <w:top w:val="nil"/>
              <w:left w:val="single" w:sz="4" w:space="0" w:color="auto"/>
              <w:bottom w:val="single" w:sz="4" w:space="0" w:color="auto"/>
              <w:right w:val="single" w:sz="4" w:space="0" w:color="auto"/>
            </w:tcBorders>
            <w:shd w:val="clear" w:color="auto" w:fill="auto"/>
            <w:vAlign w:val="center"/>
            <w:hideMark/>
          </w:tcPr>
          <w:p w14:paraId="63DFFD3A"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Muhanya Solar 30KW, 120 households</w:t>
            </w:r>
          </w:p>
        </w:tc>
        <w:tc>
          <w:tcPr>
            <w:tcW w:w="364" w:type="pct"/>
            <w:tcBorders>
              <w:top w:val="nil"/>
              <w:left w:val="nil"/>
              <w:bottom w:val="single" w:sz="4" w:space="0" w:color="auto"/>
              <w:right w:val="single" w:sz="4" w:space="0" w:color="auto"/>
            </w:tcBorders>
            <w:shd w:val="clear" w:color="auto" w:fill="auto"/>
            <w:noWrap/>
            <w:vAlign w:val="bottom"/>
            <w:hideMark/>
          </w:tcPr>
          <w:p w14:paraId="23028E49"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341955C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4AFD2D5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0.005</w:t>
            </w:r>
          </w:p>
        </w:tc>
        <w:tc>
          <w:tcPr>
            <w:tcW w:w="359" w:type="pct"/>
            <w:tcBorders>
              <w:top w:val="nil"/>
              <w:left w:val="nil"/>
              <w:bottom w:val="single" w:sz="4" w:space="0" w:color="auto"/>
              <w:right w:val="single" w:sz="4" w:space="0" w:color="auto"/>
            </w:tcBorders>
            <w:shd w:val="clear" w:color="auto" w:fill="auto"/>
            <w:noWrap/>
            <w:vAlign w:val="bottom"/>
            <w:hideMark/>
          </w:tcPr>
          <w:p w14:paraId="6DC0CE8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0.005</w:t>
            </w:r>
          </w:p>
        </w:tc>
        <w:tc>
          <w:tcPr>
            <w:tcW w:w="493" w:type="pct"/>
            <w:tcBorders>
              <w:top w:val="nil"/>
              <w:left w:val="nil"/>
              <w:bottom w:val="single" w:sz="4" w:space="0" w:color="auto"/>
              <w:right w:val="single" w:sz="4" w:space="0" w:color="auto"/>
            </w:tcBorders>
            <w:shd w:val="clear" w:color="auto" w:fill="auto"/>
            <w:noWrap/>
            <w:vAlign w:val="bottom"/>
            <w:hideMark/>
          </w:tcPr>
          <w:p w14:paraId="18BFD0CF"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0.005</w:t>
            </w:r>
          </w:p>
        </w:tc>
        <w:tc>
          <w:tcPr>
            <w:tcW w:w="493" w:type="pct"/>
            <w:tcBorders>
              <w:top w:val="nil"/>
              <w:left w:val="nil"/>
              <w:bottom w:val="single" w:sz="4" w:space="0" w:color="auto"/>
              <w:right w:val="single" w:sz="4" w:space="0" w:color="auto"/>
            </w:tcBorders>
            <w:shd w:val="clear" w:color="auto" w:fill="auto"/>
            <w:noWrap/>
            <w:vAlign w:val="bottom"/>
            <w:hideMark/>
          </w:tcPr>
          <w:p w14:paraId="11BA5ED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0.005</w:t>
            </w:r>
          </w:p>
        </w:tc>
        <w:tc>
          <w:tcPr>
            <w:tcW w:w="493" w:type="pct"/>
            <w:tcBorders>
              <w:top w:val="nil"/>
              <w:left w:val="nil"/>
              <w:bottom w:val="single" w:sz="4" w:space="0" w:color="auto"/>
              <w:right w:val="single" w:sz="4" w:space="0" w:color="auto"/>
            </w:tcBorders>
            <w:shd w:val="clear" w:color="auto" w:fill="auto"/>
            <w:noWrap/>
            <w:vAlign w:val="bottom"/>
            <w:hideMark/>
          </w:tcPr>
          <w:p w14:paraId="35D5C03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0.005</w:t>
            </w:r>
          </w:p>
        </w:tc>
        <w:tc>
          <w:tcPr>
            <w:tcW w:w="493" w:type="pct"/>
            <w:tcBorders>
              <w:top w:val="nil"/>
              <w:left w:val="nil"/>
              <w:bottom w:val="single" w:sz="4" w:space="0" w:color="auto"/>
              <w:right w:val="single" w:sz="4" w:space="0" w:color="auto"/>
            </w:tcBorders>
            <w:shd w:val="clear" w:color="auto" w:fill="auto"/>
            <w:noWrap/>
            <w:vAlign w:val="bottom"/>
            <w:hideMark/>
          </w:tcPr>
          <w:p w14:paraId="643CC55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0.005</w:t>
            </w:r>
          </w:p>
        </w:tc>
        <w:tc>
          <w:tcPr>
            <w:tcW w:w="486" w:type="pct"/>
            <w:tcBorders>
              <w:top w:val="nil"/>
              <w:left w:val="nil"/>
              <w:bottom w:val="single" w:sz="4" w:space="0" w:color="auto"/>
              <w:right w:val="single" w:sz="4" w:space="0" w:color="auto"/>
            </w:tcBorders>
            <w:shd w:val="clear" w:color="auto" w:fill="auto"/>
            <w:noWrap/>
            <w:vAlign w:val="bottom"/>
            <w:hideMark/>
          </w:tcPr>
          <w:p w14:paraId="0A6B8B0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0.005</w:t>
            </w:r>
          </w:p>
        </w:tc>
      </w:tr>
      <w:tr w:rsidR="00245464" w:rsidRPr="00191ACB" w14:paraId="2EF5439A" w14:textId="77777777" w:rsidTr="009B4DDC">
        <w:trPr>
          <w:trHeight w:val="571"/>
        </w:trPr>
        <w:tc>
          <w:tcPr>
            <w:tcW w:w="1089" w:type="pct"/>
            <w:tcBorders>
              <w:top w:val="nil"/>
              <w:left w:val="single" w:sz="4" w:space="0" w:color="auto"/>
              <w:bottom w:val="single" w:sz="4" w:space="0" w:color="auto"/>
              <w:right w:val="single" w:sz="4" w:space="0" w:color="auto"/>
            </w:tcBorders>
            <w:shd w:val="clear" w:color="auto" w:fill="auto"/>
            <w:vAlign w:val="center"/>
            <w:hideMark/>
          </w:tcPr>
          <w:p w14:paraId="1D03A579"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Chunga in Kafue national park </w:t>
            </w:r>
          </w:p>
        </w:tc>
        <w:tc>
          <w:tcPr>
            <w:tcW w:w="364" w:type="pct"/>
            <w:tcBorders>
              <w:top w:val="nil"/>
              <w:left w:val="nil"/>
              <w:bottom w:val="single" w:sz="4" w:space="0" w:color="auto"/>
              <w:right w:val="single" w:sz="4" w:space="0" w:color="auto"/>
            </w:tcBorders>
            <w:shd w:val="clear" w:color="auto" w:fill="auto"/>
            <w:noWrap/>
            <w:vAlign w:val="bottom"/>
            <w:hideMark/>
          </w:tcPr>
          <w:p w14:paraId="2FEFDED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204577D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vAlign w:val="bottom"/>
            <w:hideMark/>
          </w:tcPr>
          <w:p w14:paraId="2413256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359" w:type="pct"/>
            <w:tcBorders>
              <w:top w:val="nil"/>
              <w:left w:val="nil"/>
              <w:bottom w:val="single" w:sz="4" w:space="0" w:color="auto"/>
              <w:right w:val="single" w:sz="4" w:space="0" w:color="auto"/>
            </w:tcBorders>
            <w:shd w:val="clear" w:color="auto" w:fill="auto"/>
            <w:noWrap/>
            <w:vAlign w:val="bottom"/>
            <w:hideMark/>
          </w:tcPr>
          <w:p w14:paraId="0D8DF5E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493" w:type="pct"/>
            <w:tcBorders>
              <w:top w:val="nil"/>
              <w:left w:val="nil"/>
              <w:bottom w:val="single" w:sz="4" w:space="0" w:color="auto"/>
              <w:right w:val="single" w:sz="4" w:space="0" w:color="auto"/>
            </w:tcBorders>
            <w:shd w:val="clear" w:color="auto" w:fill="auto"/>
            <w:noWrap/>
            <w:vAlign w:val="bottom"/>
            <w:hideMark/>
          </w:tcPr>
          <w:p w14:paraId="1A1E3A9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493" w:type="pct"/>
            <w:tcBorders>
              <w:top w:val="nil"/>
              <w:left w:val="nil"/>
              <w:bottom w:val="single" w:sz="4" w:space="0" w:color="auto"/>
              <w:right w:val="single" w:sz="4" w:space="0" w:color="auto"/>
            </w:tcBorders>
            <w:shd w:val="clear" w:color="auto" w:fill="auto"/>
            <w:noWrap/>
            <w:vAlign w:val="bottom"/>
            <w:hideMark/>
          </w:tcPr>
          <w:p w14:paraId="14BB6145"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493" w:type="pct"/>
            <w:tcBorders>
              <w:top w:val="nil"/>
              <w:left w:val="nil"/>
              <w:bottom w:val="single" w:sz="4" w:space="0" w:color="auto"/>
              <w:right w:val="single" w:sz="4" w:space="0" w:color="auto"/>
            </w:tcBorders>
            <w:shd w:val="clear" w:color="auto" w:fill="auto"/>
            <w:noWrap/>
            <w:vAlign w:val="bottom"/>
            <w:hideMark/>
          </w:tcPr>
          <w:p w14:paraId="738F4B7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493" w:type="pct"/>
            <w:tcBorders>
              <w:top w:val="nil"/>
              <w:left w:val="nil"/>
              <w:bottom w:val="single" w:sz="4" w:space="0" w:color="auto"/>
              <w:right w:val="single" w:sz="4" w:space="0" w:color="auto"/>
            </w:tcBorders>
            <w:shd w:val="clear" w:color="auto" w:fill="auto"/>
            <w:noWrap/>
            <w:vAlign w:val="bottom"/>
            <w:hideMark/>
          </w:tcPr>
          <w:p w14:paraId="5B4DEA71"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c>
          <w:tcPr>
            <w:tcW w:w="486" w:type="pct"/>
            <w:tcBorders>
              <w:top w:val="nil"/>
              <w:left w:val="nil"/>
              <w:bottom w:val="single" w:sz="4" w:space="0" w:color="auto"/>
              <w:right w:val="single" w:sz="4" w:space="0" w:color="auto"/>
            </w:tcBorders>
            <w:shd w:val="clear" w:color="auto" w:fill="auto"/>
            <w:noWrap/>
            <w:vAlign w:val="bottom"/>
            <w:hideMark/>
          </w:tcPr>
          <w:p w14:paraId="5727DA79"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0.020</w:t>
            </w:r>
          </w:p>
        </w:tc>
      </w:tr>
      <w:tr w:rsidR="00245464" w:rsidRPr="00191ACB" w14:paraId="58280529" w14:textId="77777777" w:rsidTr="009B4DDC">
        <w:trPr>
          <w:trHeight w:val="454"/>
        </w:trPr>
        <w:tc>
          <w:tcPr>
            <w:tcW w:w="1089" w:type="pct"/>
            <w:tcBorders>
              <w:top w:val="nil"/>
              <w:left w:val="single" w:sz="4" w:space="0" w:color="auto"/>
              <w:bottom w:val="single" w:sz="4" w:space="0" w:color="auto"/>
              <w:right w:val="single" w:sz="4" w:space="0" w:color="auto"/>
            </w:tcBorders>
            <w:shd w:val="clear" w:color="auto" w:fill="auto"/>
            <w:vAlign w:val="center"/>
            <w:hideMark/>
          </w:tcPr>
          <w:p w14:paraId="122F3727"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Mpanta on the shores of lake Bangweulu </w:t>
            </w:r>
          </w:p>
        </w:tc>
        <w:tc>
          <w:tcPr>
            <w:tcW w:w="364" w:type="pct"/>
            <w:tcBorders>
              <w:top w:val="nil"/>
              <w:left w:val="nil"/>
              <w:bottom w:val="single" w:sz="4" w:space="0" w:color="auto"/>
              <w:right w:val="single" w:sz="4" w:space="0" w:color="auto"/>
            </w:tcBorders>
            <w:shd w:val="clear" w:color="auto" w:fill="auto"/>
            <w:noWrap/>
            <w:hideMark/>
          </w:tcPr>
          <w:p w14:paraId="38637C3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0.020</w:t>
            </w:r>
          </w:p>
        </w:tc>
        <w:tc>
          <w:tcPr>
            <w:tcW w:w="365" w:type="pct"/>
            <w:tcBorders>
              <w:top w:val="nil"/>
              <w:left w:val="nil"/>
              <w:bottom w:val="single" w:sz="4" w:space="0" w:color="auto"/>
              <w:right w:val="single" w:sz="4" w:space="0" w:color="auto"/>
            </w:tcBorders>
            <w:shd w:val="clear" w:color="auto" w:fill="auto"/>
            <w:noWrap/>
            <w:hideMark/>
          </w:tcPr>
          <w:p w14:paraId="5BA1AB9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0.020</w:t>
            </w:r>
          </w:p>
        </w:tc>
        <w:tc>
          <w:tcPr>
            <w:tcW w:w="365" w:type="pct"/>
            <w:tcBorders>
              <w:top w:val="nil"/>
              <w:left w:val="nil"/>
              <w:bottom w:val="single" w:sz="4" w:space="0" w:color="auto"/>
              <w:right w:val="single" w:sz="4" w:space="0" w:color="auto"/>
            </w:tcBorders>
            <w:shd w:val="clear" w:color="auto" w:fill="auto"/>
            <w:noWrap/>
            <w:hideMark/>
          </w:tcPr>
          <w:p w14:paraId="6440969F"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0.020</w:t>
            </w:r>
          </w:p>
        </w:tc>
        <w:tc>
          <w:tcPr>
            <w:tcW w:w="359" w:type="pct"/>
            <w:tcBorders>
              <w:top w:val="nil"/>
              <w:left w:val="nil"/>
              <w:bottom w:val="single" w:sz="4" w:space="0" w:color="auto"/>
              <w:right w:val="single" w:sz="4" w:space="0" w:color="auto"/>
            </w:tcBorders>
            <w:shd w:val="clear" w:color="auto" w:fill="auto"/>
            <w:noWrap/>
            <w:hideMark/>
          </w:tcPr>
          <w:p w14:paraId="1CDF38A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0.020</w:t>
            </w:r>
          </w:p>
        </w:tc>
        <w:tc>
          <w:tcPr>
            <w:tcW w:w="493" w:type="pct"/>
            <w:tcBorders>
              <w:top w:val="nil"/>
              <w:left w:val="nil"/>
              <w:bottom w:val="single" w:sz="4" w:space="0" w:color="auto"/>
              <w:right w:val="single" w:sz="4" w:space="0" w:color="auto"/>
            </w:tcBorders>
            <w:shd w:val="clear" w:color="auto" w:fill="auto"/>
            <w:noWrap/>
            <w:hideMark/>
          </w:tcPr>
          <w:p w14:paraId="3A8CAE1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0.020</w:t>
            </w:r>
          </w:p>
        </w:tc>
        <w:tc>
          <w:tcPr>
            <w:tcW w:w="493" w:type="pct"/>
            <w:tcBorders>
              <w:top w:val="nil"/>
              <w:left w:val="nil"/>
              <w:bottom w:val="single" w:sz="4" w:space="0" w:color="auto"/>
              <w:right w:val="single" w:sz="4" w:space="0" w:color="auto"/>
            </w:tcBorders>
            <w:shd w:val="clear" w:color="auto" w:fill="auto"/>
            <w:noWrap/>
            <w:hideMark/>
          </w:tcPr>
          <w:p w14:paraId="420073C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0.020</w:t>
            </w:r>
          </w:p>
        </w:tc>
        <w:tc>
          <w:tcPr>
            <w:tcW w:w="493" w:type="pct"/>
            <w:tcBorders>
              <w:top w:val="nil"/>
              <w:left w:val="nil"/>
              <w:bottom w:val="single" w:sz="4" w:space="0" w:color="auto"/>
              <w:right w:val="single" w:sz="4" w:space="0" w:color="auto"/>
            </w:tcBorders>
            <w:shd w:val="clear" w:color="auto" w:fill="auto"/>
            <w:noWrap/>
            <w:hideMark/>
          </w:tcPr>
          <w:p w14:paraId="2665E8E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0.020</w:t>
            </w:r>
          </w:p>
        </w:tc>
        <w:tc>
          <w:tcPr>
            <w:tcW w:w="493" w:type="pct"/>
            <w:tcBorders>
              <w:top w:val="nil"/>
              <w:left w:val="nil"/>
              <w:bottom w:val="single" w:sz="4" w:space="0" w:color="auto"/>
              <w:right w:val="single" w:sz="4" w:space="0" w:color="auto"/>
            </w:tcBorders>
            <w:shd w:val="clear" w:color="auto" w:fill="auto"/>
            <w:noWrap/>
            <w:hideMark/>
          </w:tcPr>
          <w:p w14:paraId="2EA43FA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0.020</w:t>
            </w:r>
          </w:p>
        </w:tc>
        <w:tc>
          <w:tcPr>
            <w:tcW w:w="486" w:type="pct"/>
            <w:tcBorders>
              <w:top w:val="nil"/>
              <w:left w:val="nil"/>
              <w:bottom w:val="single" w:sz="4" w:space="0" w:color="auto"/>
              <w:right w:val="single" w:sz="4" w:space="0" w:color="auto"/>
            </w:tcBorders>
            <w:shd w:val="clear" w:color="auto" w:fill="auto"/>
            <w:noWrap/>
            <w:hideMark/>
          </w:tcPr>
          <w:p w14:paraId="6E29E44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0.020</w:t>
            </w:r>
          </w:p>
        </w:tc>
      </w:tr>
      <w:tr w:rsidR="00245464" w:rsidRPr="00191ACB" w14:paraId="4444AD0A" w14:textId="77777777" w:rsidTr="009B4DDC">
        <w:trPr>
          <w:trHeight w:val="315"/>
        </w:trPr>
        <w:tc>
          <w:tcPr>
            <w:tcW w:w="1089" w:type="pct"/>
            <w:tcBorders>
              <w:top w:val="nil"/>
              <w:left w:val="single" w:sz="4" w:space="0" w:color="auto"/>
              <w:bottom w:val="single" w:sz="4" w:space="0" w:color="auto"/>
              <w:right w:val="single" w:sz="4" w:space="0" w:color="auto"/>
            </w:tcBorders>
            <w:shd w:val="clear" w:color="auto" w:fill="auto"/>
            <w:vAlign w:val="center"/>
            <w:hideMark/>
          </w:tcPr>
          <w:p w14:paraId="125ACFBD"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Total</w:t>
            </w:r>
          </w:p>
        </w:tc>
        <w:tc>
          <w:tcPr>
            <w:tcW w:w="364" w:type="pct"/>
            <w:tcBorders>
              <w:top w:val="nil"/>
              <w:left w:val="nil"/>
              <w:bottom w:val="single" w:sz="4" w:space="0" w:color="auto"/>
              <w:right w:val="single" w:sz="4" w:space="0" w:color="auto"/>
            </w:tcBorders>
            <w:shd w:val="clear" w:color="auto" w:fill="auto"/>
            <w:noWrap/>
            <w:hideMark/>
          </w:tcPr>
          <w:p w14:paraId="40E030F8"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0.000</w:t>
            </w:r>
          </w:p>
        </w:tc>
        <w:tc>
          <w:tcPr>
            <w:tcW w:w="365" w:type="pct"/>
            <w:tcBorders>
              <w:top w:val="nil"/>
              <w:left w:val="nil"/>
              <w:bottom w:val="single" w:sz="4" w:space="0" w:color="auto"/>
              <w:right w:val="single" w:sz="4" w:space="0" w:color="auto"/>
            </w:tcBorders>
            <w:shd w:val="clear" w:color="auto" w:fill="auto"/>
            <w:noWrap/>
            <w:hideMark/>
          </w:tcPr>
          <w:p w14:paraId="73C3737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0.020</w:t>
            </w:r>
          </w:p>
        </w:tc>
        <w:tc>
          <w:tcPr>
            <w:tcW w:w="365" w:type="pct"/>
            <w:tcBorders>
              <w:top w:val="nil"/>
              <w:left w:val="nil"/>
              <w:bottom w:val="single" w:sz="4" w:space="0" w:color="auto"/>
              <w:right w:val="single" w:sz="4" w:space="0" w:color="auto"/>
            </w:tcBorders>
            <w:shd w:val="clear" w:color="auto" w:fill="auto"/>
            <w:noWrap/>
            <w:hideMark/>
          </w:tcPr>
          <w:p w14:paraId="2C322A4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7.125</w:t>
            </w:r>
          </w:p>
        </w:tc>
        <w:tc>
          <w:tcPr>
            <w:tcW w:w="359" w:type="pct"/>
            <w:tcBorders>
              <w:top w:val="nil"/>
              <w:left w:val="nil"/>
              <w:bottom w:val="single" w:sz="4" w:space="0" w:color="auto"/>
              <w:right w:val="single" w:sz="4" w:space="0" w:color="auto"/>
            </w:tcBorders>
            <w:shd w:val="clear" w:color="auto" w:fill="auto"/>
            <w:noWrap/>
            <w:hideMark/>
          </w:tcPr>
          <w:p w14:paraId="1B8C8B2F"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7.125</w:t>
            </w:r>
          </w:p>
        </w:tc>
        <w:tc>
          <w:tcPr>
            <w:tcW w:w="493" w:type="pct"/>
            <w:tcBorders>
              <w:top w:val="nil"/>
              <w:left w:val="nil"/>
              <w:bottom w:val="single" w:sz="4" w:space="0" w:color="auto"/>
              <w:right w:val="single" w:sz="4" w:space="0" w:color="auto"/>
            </w:tcBorders>
            <w:shd w:val="clear" w:color="auto" w:fill="auto"/>
            <w:noWrap/>
            <w:hideMark/>
          </w:tcPr>
          <w:p w14:paraId="79C4560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7.125</w:t>
            </w:r>
          </w:p>
        </w:tc>
        <w:tc>
          <w:tcPr>
            <w:tcW w:w="493" w:type="pct"/>
            <w:tcBorders>
              <w:top w:val="nil"/>
              <w:left w:val="nil"/>
              <w:bottom w:val="single" w:sz="4" w:space="0" w:color="auto"/>
              <w:right w:val="single" w:sz="4" w:space="0" w:color="auto"/>
            </w:tcBorders>
            <w:shd w:val="clear" w:color="auto" w:fill="auto"/>
            <w:noWrap/>
            <w:hideMark/>
          </w:tcPr>
          <w:p w14:paraId="7C26119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7.125</w:t>
            </w:r>
          </w:p>
        </w:tc>
        <w:tc>
          <w:tcPr>
            <w:tcW w:w="493" w:type="pct"/>
            <w:tcBorders>
              <w:top w:val="nil"/>
              <w:left w:val="nil"/>
              <w:bottom w:val="single" w:sz="4" w:space="0" w:color="auto"/>
              <w:right w:val="single" w:sz="4" w:space="0" w:color="auto"/>
            </w:tcBorders>
            <w:shd w:val="clear" w:color="auto" w:fill="auto"/>
            <w:noWrap/>
            <w:hideMark/>
          </w:tcPr>
          <w:p w14:paraId="5B7E3BE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7.125</w:t>
            </w:r>
          </w:p>
        </w:tc>
        <w:tc>
          <w:tcPr>
            <w:tcW w:w="493" w:type="pct"/>
            <w:tcBorders>
              <w:top w:val="nil"/>
              <w:left w:val="nil"/>
              <w:bottom w:val="single" w:sz="4" w:space="0" w:color="auto"/>
              <w:right w:val="single" w:sz="4" w:space="0" w:color="auto"/>
            </w:tcBorders>
            <w:shd w:val="clear" w:color="auto" w:fill="auto"/>
            <w:noWrap/>
            <w:hideMark/>
          </w:tcPr>
          <w:p w14:paraId="14CCE99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7.125</w:t>
            </w:r>
          </w:p>
        </w:tc>
        <w:tc>
          <w:tcPr>
            <w:tcW w:w="486" w:type="pct"/>
            <w:tcBorders>
              <w:top w:val="nil"/>
              <w:left w:val="nil"/>
              <w:bottom w:val="single" w:sz="4" w:space="0" w:color="auto"/>
              <w:right w:val="single" w:sz="4" w:space="0" w:color="auto"/>
            </w:tcBorders>
            <w:shd w:val="clear" w:color="auto" w:fill="auto"/>
            <w:noWrap/>
            <w:hideMark/>
          </w:tcPr>
          <w:p w14:paraId="142AAD3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7.125</w:t>
            </w:r>
          </w:p>
        </w:tc>
      </w:tr>
    </w:tbl>
    <w:p w14:paraId="19AF3519"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p>
    <w:p w14:paraId="7194B91A" w14:textId="4DCA582C" w:rsidR="00245464" w:rsidRPr="002A4DFC" w:rsidRDefault="00245464" w:rsidP="002A4DFC">
      <w:pPr>
        <w:spacing w:after="120" w:line="276" w:lineRule="auto"/>
        <w:jc w:val="both"/>
        <w:rPr>
          <w:rFonts w:ascii="Times New Roman" w:hAnsi="Times New Roman" w:cs="Times New Roman"/>
          <w:color w:val="000000" w:themeColor="text1"/>
          <w:sz w:val="24"/>
          <w:szCs w:val="24"/>
        </w:rPr>
      </w:pPr>
      <w:r w:rsidRPr="002A4DFC">
        <w:rPr>
          <w:rFonts w:ascii="Times New Roman" w:hAnsi="Times New Roman" w:cs="Times New Roman"/>
          <w:color w:val="000000" w:themeColor="text1"/>
          <w:sz w:val="24"/>
          <w:szCs w:val="24"/>
        </w:rPr>
        <w:t xml:space="preserve">In addition, Power Africa-Beyond the Grid Fund for Zambia is implementing an ambitious undertaking to bring clean energy access to one million Zambians and accelerate private-sector growth in energy generation and distribution in the country. The Fund, which was launched in January 2016 and is financed by the Swedish International Development Cooperation Agency (SIDA) and implemented by the Renewable Energy and Efficiency Partnership (REEEP). Through this initiative solar home systems are being deployed in households not connected to electricity. Non-governmental Gender Coordinating council (NGOCC) has also been promoting the use of solar PV and has been involved in the distribution of solar lamps, healthy cooking solutions targeting 200 households. Additional informational on mitigation actions for solar home systems initiatives are provided in Table </w:t>
      </w:r>
      <w:r w:rsidR="00501324" w:rsidRPr="002A4DFC">
        <w:rPr>
          <w:rFonts w:ascii="Times New Roman" w:hAnsi="Times New Roman" w:cs="Times New Roman"/>
          <w:color w:val="000000" w:themeColor="text1"/>
          <w:sz w:val="24"/>
          <w:szCs w:val="24"/>
        </w:rPr>
        <w:t>4.18</w:t>
      </w:r>
      <w:r w:rsidRPr="002A4DFC">
        <w:rPr>
          <w:rFonts w:ascii="Times New Roman" w:hAnsi="Times New Roman" w:cs="Times New Roman"/>
          <w:color w:val="000000" w:themeColor="text1"/>
          <w:sz w:val="24"/>
          <w:szCs w:val="24"/>
        </w:rPr>
        <w:t xml:space="preserve"> and </w:t>
      </w:r>
      <w:r w:rsidR="00501324" w:rsidRPr="002A4DFC">
        <w:rPr>
          <w:rFonts w:ascii="Times New Roman" w:hAnsi="Times New Roman" w:cs="Times New Roman"/>
          <w:color w:val="000000" w:themeColor="text1"/>
          <w:sz w:val="24"/>
          <w:szCs w:val="24"/>
        </w:rPr>
        <w:t>4.19</w:t>
      </w:r>
      <w:r w:rsidRPr="002A4DFC">
        <w:rPr>
          <w:rFonts w:ascii="Times New Roman" w:hAnsi="Times New Roman" w:cs="Times New Roman"/>
          <w:color w:val="000000" w:themeColor="text1"/>
          <w:sz w:val="24"/>
          <w:szCs w:val="24"/>
        </w:rPr>
        <w:t>.</w:t>
      </w:r>
      <w:r w:rsidR="002A4DFC">
        <w:rPr>
          <w:rFonts w:ascii="Times New Roman" w:hAnsi="Times New Roman" w:cs="Times New Roman"/>
          <w:color w:val="000000" w:themeColor="text1"/>
          <w:sz w:val="24"/>
          <w:szCs w:val="24"/>
        </w:rPr>
        <w:t xml:space="preserve"> </w:t>
      </w:r>
    </w:p>
    <w:p w14:paraId="718DFD0C" w14:textId="77777777" w:rsidR="00C67BFC" w:rsidRPr="00191ACB" w:rsidRDefault="00C67BFC" w:rsidP="00245464">
      <w:pPr>
        <w:contextualSpacing/>
        <w:jc w:val="both"/>
        <w:rPr>
          <w:rFonts w:ascii="Times New Roman" w:eastAsia="Calibri" w:hAnsi="Times New Roman" w:cs="Times New Roman"/>
          <w:color w:val="000000" w:themeColor="text1"/>
          <w:sz w:val="24"/>
          <w:szCs w:val="24"/>
        </w:rPr>
      </w:pPr>
    </w:p>
    <w:p w14:paraId="70FF4AA9" w14:textId="77777777" w:rsidR="002A4DFC" w:rsidRDefault="002A4DFC" w:rsidP="00C319A4">
      <w:pPr>
        <w:pStyle w:val="Caption"/>
        <w:rPr>
          <w:sz w:val="24"/>
          <w:szCs w:val="24"/>
        </w:rPr>
      </w:pPr>
      <w:bookmarkStart w:id="389" w:name="_Toc56583794"/>
    </w:p>
    <w:p w14:paraId="6F31B70F" w14:textId="17E2761E" w:rsidR="00245464" w:rsidRPr="00191ACB" w:rsidRDefault="00C319A4" w:rsidP="00C319A4">
      <w:pPr>
        <w:pStyle w:val="Caption"/>
        <w:rPr>
          <w:rFonts w:eastAsia="Calibri"/>
          <w:color w:val="000000" w:themeColor="text1"/>
          <w:sz w:val="24"/>
          <w:szCs w:val="24"/>
        </w:rPr>
      </w:pPr>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18</w:t>
      </w:r>
      <w:r w:rsidR="00875942">
        <w:rPr>
          <w:sz w:val="24"/>
          <w:szCs w:val="24"/>
        </w:rPr>
        <w:fldChar w:fldCharType="end"/>
      </w:r>
      <w:r w:rsidRPr="00191ACB">
        <w:rPr>
          <w:sz w:val="24"/>
          <w:szCs w:val="24"/>
        </w:rPr>
        <w:t>:Solar Homes systems</w:t>
      </w:r>
      <w:bookmarkEnd w:id="389"/>
      <w:r w:rsidRPr="00191ACB">
        <w:rPr>
          <w:rFonts w:eastAsia="Calibri"/>
          <w:color w:val="000000" w:themeColor="text1"/>
          <w:sz w:val="24"/>
          <w:szCs w:val="24"/>
        </w:rPr>
        <w:t xml:space="preserve"> </w:t>
      </w:r>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0"/>
        <w:gridCol w:w="2647"/>
      </w:tblGrid>
      <w:tr w:rsidR="00245464" w:rsidRPr="00191ACB" w14:paraId="6DEDD53A" w14:textId="77777777" w:rsidTr="00A91A48">
        <w:trPr>
          <w:trHeight w:val="300"/>
        </w:trPr>
        <w:tc>
          <w:tcPr>
            <w:tcW w:w="3631" w:type="pct"/>
            <w:shd w:val="clear" w:color="auto" w:fill="auto"/>
            <w:vAlign w:val="center"/>
          </w:tcPr>
          <w:p w14:paraId="6148A479" w14:textId="77777777" w:rsidR="00245464" w:rsidRPr="00191ACB" w:rsidRDefault="00245464" w:rsidP="00245464">
            <w:pPr>
              <w:spacing w:after="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Project Description</w:t>
            </w:r>
          </w:p>
        </w:tc>
        <w:tc>
          <w:tcPr>
            <w:tcW w:w="1369" w:type="pct"/>
            <w:shd w:val="clear" w:color="auto" w:fill="auto"/>
            <w:vAlign w:val="bottom"/>
          </w:tcPr>
          <w:p w14:paraId="3ADA90B2" w14:textId="77777777" w:rsidR="00245464" w:rsidRPr="00191ACB" w:rsidRDefault="00245464" w:rsidP="00245464">
            <w:pPr>
              <w:spacing w:after="0" w:line="240" w:lineRule="auto"/>
              <w:jc w:val="both"/>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Number of Households</w:t>
            </w:r>
          </w:p>
        </w:tc>
      </w:tr>
      <w:tr w:rsidR="00245464" w:rsidRPr="00191ACB" w14:paraId="6BABC08A" w14:textId="77777777" w:rsidTr="00A91A48">
        <w:trPr>
          <w:trHeight w:val="300"/>
        </w:trPr>
        <w:tc>
          <w:tcPr>
            <w:tcW w:w="3631" w:type="pct"/>
            <w:shd w:val="clear" w:color="auto" w:fill="auto"/>
            <w:vAlign w:val="center"/>
          </w:tcPr>
          <w:p w14:paraId="581A06BC"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NGOCC/Rural Electrification Authority (REA)</w:t>
            </w:r>
            <w:r w:rsidRPr="00191ACB">
              <w:rPr>
                <w:rFonts w:ascii="Times New Roman" w:eastAsia="Times New Roman" w:hAnsi="Times New Roman" w:cs="Times New Roman"/>
                <w:bCs/>
                <w:color w:val="000000" w:themeColor="text1"/>
                <w:sz w:val="24"/>
                <w:szCs w:val="24"/>
              </w:rPr>
              <w:t xml:space="preserve"> Power woman project</w:t>
            </w:r>
            <w:r w:rsidRPr="00191ACB">
              <w:rPr>
                <w:rFonts w:ascii="Times New Roman" w:eastAsia="Times New Roman" w:hAnsi="Times New Roman" w:cs="Times New Roman"/>
                <w:color w:val="000000" w:themeColor="text1"/>
                <w:sz w:val="24"/>
                <w:szCs w:val="24"/>
              </w:rPr>
              <w:t xml:space="preserve"> </w:t>
            </w:r>
          </w:p>
        </w:tc>
        <w:tc>
          <w:tcPr>
            <w:tcW w:w="1369" w:type="pct"/>
            <w:shd w:val="clear" w:color="auto" w:fill="auto"/>
            <w:vAlign w:val="bottom"/>
          </w:tcPr>
          <w:p w14:paraId="79812D17"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w:t>
            </w:r>
          </w:p>
        </w:tc>
      </w:tr>
      <w:tr w:rsidR="00245464" w:rsidRPr="00191ACB" w14:paraId="3D9DBF75" w14:textId="77777777" w:rsidTr="00A91A48">
        <w:trPr>
          <w:trHeight w:val="300"/>
        </w:trPr>
        <w:tc>
          <w:tcPr>
            <w:tcW w:w="3631" w:type="pct"/>
            <w:shd w:val="clear" w:color="auto" w:fill="auto"/>
            <w:vAlign w:val="center"/>
          </w:tcPr>
          <w:p w14:paraId="370671A2"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REA Solar PV (SSMP) in Isoka, Kalomo, Lukulu</w:t>
            </w:r>
          </w:p>
        </w:tc>
        <w:tc>
          <w:tcPr>
            <w:tcW w:w="1369" w:type="pct"/>
            <w:shd w:val="clear" w:color="auto" w:fill="auto"/>
            <w:vAlign w:val="bottom"/>
          </w:tcPr>
          <w:p w14:paraId="0D42254D"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1130</w:t>
            </w:r>
          </w:p>
        </w:tc>
      </w:tr>
      <w:tr w:rsidR="00245464" w:rsidRPr="00191ACB" w14:paraId="53FF99E0" w14:textId="77777777" w:rsidTr="00A91A48">
        <w:trPr>
          <w:trHeight w:val="300"/>
        </w:trPr>
        <w:tc>
          <w:tcPr>
            <w:tcW w:w="3631" w:type="pct"/>
            <w:shd w:val="clear" w:color="auto" w:fill="auto"/>
            <w:vAlign w:val="center"/>
          </w:tcPr>
          <w:p w14:paraId="67C6C617"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Solar Water heaters Installation in public institutions </w:t>
            </w:r>
          </w:p>
        </w:tc>
        <w:tc>
          <w:tcPr>
            <w:tcW w:w="1369" w:type="pct"/>
            <w:shd w:val="clear" w:color="auto" w:fill="auto"/>
            <w:vAlign w:val="center"/>
          </w:tcPr>
          <w:p w14:paraId="4FAA5159"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90 </w:t>
            </w:r>
          </w:p>
        </w:tc>
      </w:tr>
      <w:tr w:rsidR="00245464" w:rsidRPr="00191ACB" w14:paraId="371BE48A" w14:textId="77777777" w:rsidTr="00A91A48">
        <w:trPr>
          <w:trHeight w:val="300"/>
        </w:trPr>
        <w:tc>
          <w:tcPr>
            <w:tcW w:w="3631" w:type="pct"/>
            <w:shd w:val="clear" w:color="auto" w:fill="auto"/>
            <w:vAlign w:val="center"/>
          </w:tcPr>
          <w:p w14:paraId="0FBEF85A"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Beyond the Grid Project. The Power Africa: </w:t>
            </w:r>
          </w:p>
        </w:tc>
        <w:tc>
          <w:tcPr>
            <w:tcW w:w="1369" w:type="pct"/>
            <w:shd w:val="clear" w:color="auto" w:fill="auto"/>
            <w:vAlign w:val="bottom"/>
          </w:tcPr>
          <w:p w14:paraId="2C4A3D3C"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167,000</w:t>
            </w:r>
          </w:p>
        </w:tc>
      </w:tr>
      <w:tr w:rsidR="00245464" w:rsidRPr="00191ACB" w14:paraId="1FC81AC0" w14:textId="77777777" w:rsidTr="00A91A48">
        <w:trPr>
          <w:trHeight w:val="300"/>
        </w:trPr>
        <w:tc>
          <w:tcPr>
            <w:tcW w:w="3631" w:type="pct"/>
            <w:shd w:val="clear" w:color="auto" w:fill="auto"/>
          </w:tcPr>
          <w:p w14:paraId="441B4F62"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Chunga Solar Mini Grid (200kW) in Kafue </w:t>
            </w:r>
          </w:p>
        </w:tc>
        <w:tc>
          <w:tcPr>
            <w:tcW w:w="1369" w:type="pct"/>
            <w:shd w:val="clear" w:color="auto" w:fill="auto"/>
          </w:tcPr>
          <w:p w14:paraId="66C146DB"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230</w:t>
            </w:r>
          </w:p>
        </w:tc>
      </w:tr>
      <w:tr w:rsidR="00245464" w:rsidRPr="00191ACB" w14:paraId="3B5D0E3E" w14:textId="77777777" w:rsidTr="00A91A48">
        <w:trPr>
          <w:trHeight w:val="300"/>
        </w:trPr>
        <w:tc>
          <w:tcPr>
            <w:tcW w:w="3631" w:type="pct"/>
            <w:shd w:val="clear" w:color="auto" w:fill="auto"/>
          </w:tcPr>
          <w:p w14:paraId="5AB6ED66"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Mpanta Solar Mini Grid (60kW) </w:t>
            </w:r>
          </w:p>
        </w:tc>
        <w:tc>
          <w:tcPr>
            <w:tcW w:w="1369" w:type="pct"/>
            <w:shd w:val="clear" w:color="auto" w:fill="auto"/>
          </w:tcPr>
          <w:p w14:paraId="36BE3DFE"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478</w:t>
            </w:r>
          </w:p>
        </w:tc>
      </w:tr>
      <w:tr w:rsidR="00245464" w:rsidRPr="00191ACB" w14:paraId="7C73E5FC" w14:textId="77777777" w:rsidTr="00A91A48">
        <w:trPr>
          <w:trHeight w:val="300"/>
        </w:trPr>
        <w:tc>
          <w:tcPr>
            <w:tcW w:w="3631" w:type="pct"/>
            <w:shd w:val="clear" w:color="auto" w:fill="auto"/>
          </w:tcPr>
          <w:p w14:paraId="7BF8399C"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Lunga Solar Mini Grid(300kW) in Luapula </w:t>
            </w:r>
          </w:p>
        </w:tc>
        <w:tc>
          <w:tcPr>
            <w:tcW w:w="1369" w:type="pct"/>
            <w:shd w:val="clear" w:color="auto" w:fill="auto"/>
          </w:tcPr>
          <w:p w14:paraId="7CC714BF"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1,059</w:t>
            </w:r>
          </w:p>
        </w:tc>
      </w:tr>
      <w:tr w:rsidR="00245464" w:rsidRPr="00191ACB" w14:paraId="4F86F5CC" w14:textId="77777777" w:rsidTr="00A91A48">
        <w:trPr>
          <w:trHeight w:val="300"/>
        </w:trPr>
        <w:tc>
          <w:tcPr>
            <w:tcW w:w="3631" w:type="pct"/>
            <w:shd w:val="clear" w:color="auto" w:fill="auto"/>
          </w:tcPr>
          <w:p w14:paraId="054AE578"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Muhanya Solar 30kW, </w:t>
            </w:r>
          </w:p>
        </w:tc>
        <w:tc>
          <w:tcPr>
            <w:tcW w:w="1369" w:type="pct"/>
            <w:shd w:val="clear" w:color="auto" w:fill="auto"/>
          </w:tcPr>
          <w:p w14:paraId="2551D5E2"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120</w:t>
            </w:r>
          </w:p>
        </w:tc>
      </w:tr>
    </w:tbl>
    <w:p w14:paraId="079083E1" w14:textId="77777777" w:rsidR="009B4DDC" w:rsidRPr="00191ACB" w:rsidRDefault="009B4DDC" w:rsidP="00245464">
      <w:pPr>
        <w:ind w:left="660"/>
        <w:contextualSpacing/>
        <w:jc w:val="both"/>
        <w:rPr>
          <w:rFonts w:ascii="Times New Roman" w:eastAsia="Calibri" w:hAnsi="Times New Roman" w:cs="Times New Roman"/>
          <w:color w:val="000000" w:themeColor="text1"/>
          <w:sz w:val="24"/>
          <w:szCs w:val="24"/>
        </w:rPr>
        <w:sectPr w:rsidR="009B4DDC" w:rsidRPr="00191ACB" w:rsidSect="009B4DDC">
          <w:pgSz w:w="11909" w:h="16834" w:code="9"/>
          <w:pgMar w:top="862" w:right="720" w:bottom="862" w:left="1440" w:header="720" w:footer="720" w:gutter="0"/>
          <w:cols w:space="720"/>
          <w:docGrid w:linePitch="360"/>
        </w:sectPr>
      </w:pPr>
    </w:p>
    <w:p w14:paraId="4E201060" w14:textId="080763BA" w:rsidR="00245464" w:rsidRPr="00191ACB" w:rsidRDefault="00C319A4" w:rsidP="00C319A4">
      <w:pPr>
        <w:pStyle w:val="Caption"/>
        <w:rPr>
          <w:rFonts w:eastAsia="Calibri"/>
          <w:color w:val="000000" w:themeColor="text1"/>
          <w:sz w:val="24"/>
          <w:szCs w:val="24"/>
        </w:rPr>
      </w:pPr>
      <w:bookmarkStart w:id="390" w:name="_Toc56583795"/>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19</w:t>
      </w:r>
      <w:r w:rsidR="00875942">
        <w:rPr>
          <w:sz w:val="24"/>
          <w:szCs w:val="24"/>
        </w:rPr>
        <w:fldChar w:fldCharType="end"/>
      </w:r>
      <w:r w:rsidRPr="00191ACB">
        <w:rPr>
          <w:sz w:val="24"/>
          <w:szCs w:val="24"/>
        </w:rPr>
        <w:t xml:space="preserve">:Mitigation </w:t>
      </w:r>
      <w:r w:rsidR="00501324" w:rsidRPr="00191ACB">
        <w:rPr>
          <w:sz w:val="24"/>
          <w:szCs w:val="24"/>
        </w:rPr>
        <w:t>Action</w:t>
      </w:r>
      <w:r w:rsidRPr="00191ACB">
        <w:rPr>
          <w:sz w:val="24"/>
          <w:szCs w:val="24"/>
        </w:rPr>
        <w:t>-Solar home systems</w:t>
      </w:r>
      <w:bookmarkEnd w:id="390"/>
    </w:p>
    <w:tbl>
      <w:tblPr>
        <w:tblStyle w:val="GridTable4-Accent11"/>
        <w:tblW w:w="5000" w:type="pct"/>
        <w:tblLook w:val="04A0" w:firstRow="1" w:lastRow="0" w:firstColumn="1" w:lastColumn="0" w:noHBand="0" w:noVBand="1"/>
      </w:tblPr>
      <w:tblGrid>
        <w:gridCol w:w="1771"/>
        <w:gridCol w:w="2677"/>
        <w:gridCol w:w="3288"/>
        <w:gridCol w:w="1303"/>
        <w:gridCol w:w="1304"/>
        <w:gridCol w:w="1830"/>
        <w:gridCol w:w="1350"/>
        <w:gridCol w:w="1577"/>
      </w:tblGrid>
      <w:tr w:rsidR="009B4DDC" w:rsidRPr="00191ACB" w14:paraId="17594A5E" w14:textId="77777777" w:rsidTr="00E92931">
        <w:trPr>
          <w:cnfStyle w:val="100000000000" w:firstRow="1" w:lastRow="0" w:firstColumn="0" w:lastColumn="0" w:oddVBand="0" w:evenVBand="0" w:oddHBand="0" w:evenHBand="0" w:firstRowFirstColumn="0" w:firstRowLastColumn="0" w:lastRowFirstColumn="0" w:lastRowLastColumn="0"/>
          <w:trHeight w:val="489"/>
          <w:tblHeader/>
        </w:trPr>
        <w:tc>
          <w:tcPr>
            <w:cnfStyle w:val="001000000000" w:firstRow="0" w:lastRow="0" w:firstColumn="1" w:lastColumn="0" w:oddVBand="0" w:evenVBand="0" w:oddHBand="0" w:evenHBand="0" w:firstRowFirstColumn="0" w:firstRowLastColumn="0" w:lastRowFirstColumn="0" w:lastRowLastColumn="0"/>
            <w:tcW w:w="624" w:type="pct"/>
          </w:tcPr>
          <w:p w14:paraId="3F211136"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924" w:type="pct"/>
          </w:tcPr>
          <w:p w14:paraId="729E1264"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1126" w:type="pct"/>
          </w:tcPr>
          <w:p w14:paraId="35347500"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469" w:type="pct"/>
          </w:tcPr>
          <w:p w14:paraId="38793F6B"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469" w:type="pct"/>
          </w:tcPr>
          <w:p w14:paraId="1E82AB1D"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tc>
        <w:tc>
          <w:tcPr>
            <w:tcW w:w="517" w:type="pct"/>
          </w:tcPr>
          <w:p w14:paraId="15EB36B4"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424" w:type="pct"/>
          </w:tcPr>
          <w:p w14:paraId="7B9E4F95"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val="x-none" w:eastAsia="x-none"/>
              </w:rPr>
              <w:t xml:space="preserve">Estimated emission reduction </w:t>
            </w:r>
            <w:r w:rsidRPr="00191ACB">
              <w:rPr>
                <w:rFonts w:ascii="Times New Roman" w:hAnsi="Times New Roman"/>
                <w:color w:val="000000" w:themeColor="text1"/>
                <w:sz w:val="24"/>
                <w:szCs w:val="24"/>
                <w:lang w:eastAsia="x-none"/>
              </w:rPr>
              <w:t>cumulative by 2030 Gg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vertAlign w:val="subscript"/>
                <w:lang w:eastAsia="x-none"/>
              </w:rPr>
              <w:t>eq</w:t>
            </w:r>
          </w:p>
        </w:tc>
        <w:tc>
          <w:tcPr>
            <w:tcW w:w="447" w:type="pct"/>
          </w:tcPr>
          <w:p w14:paraId="0360102D"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nternational market mechanisms</w:t>
            </w:r>
          </w:p>
        </w:tc>
      </w:tr>
      <w:tr w:rsidR="009B4DDC" w:rsidRPr="00191ACB" w14:paraId="08E315F4" w14:textId="77777777" w:rsidTr="00E92931">
        <w:trPr>
          <w:cnfStyle w:val="000000100000" w:firstRow="0" w:lastRow="0" w:firstColumn="0" w:lastColumn="0" w:oddVBand="0" w:evenVBand="0" w:oddHBand="1" w:evenHBand="0" w:firstRowFirstColumn="0" w:firstRowLastColumn="0" w:lastRowFirstColumn="0" w:lastRowLastColumn="0"/>
          <w:trHeight w:val="1338"/>
        </w:trPr>
        <w:tc>
          <w:tcPr>
            <w:cnfStyle w:val="001000000000" w:firstRow="0" w:lastRow="0" w:firstColumn="1" w:lastColumn="0" w:oddVBand="0" w:evenVBand="0" w:oddHBand="0" w:evenHBand="0" w:firstRowFirstColumn="0" w:firstRowLastColumn="0" w:lastRowFirstColumn="0" w:lastRowLastColumn="0"/>
            <w:tcW w:w="624" w:type="pct"/>
          </w:tcPr>
          <w:p w14:paraId="5786BE94" w14:textId="4E09D045"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 REA-Power woman project (Luapula, Northern </w:t>
            </w:r>
            <w:r w:rsidR="00E92931" w:rsidRPr="00191ACB">
              <w:rPr>
                <w:rFonts w:ascii="Times New Roman" w:hAnsi="Times New Roman"/>
                <w:color w:val="000000" w:themeColor="text1"/>
                <w:sz w:val="24"/>
                <w:szCs w:val="24"/>
              </w:rPr>
              <w:t>and</w:t>
            </w:r>
            <w:r w:rsidRPr="00191ACB">
              <w:rPr>
                <w:rFonts w:ascii="Times New Roman" w:hAnsi="Times New Roman"/>
                <w:color w:val="000000" w:themeColor="text1"/>
                <w:sz w:val="24"/>
                <w:szCs w:val="24"/>
              </w:rPr>
              <w:t xml:space="preserve"> Central) </w:t>
            </w:r>
          </w:p>
        </w:tc>
        <w:tc>
          <w:tcPr>
            <w:tcW w:w="924" w:type="pct"/>
          </w:tcPr>
          <w:p w14:paraId="674A2A1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Implementation is in 3 provinces (Luapula, Northern &amp; Central). Involves provision of Solar lamps, healthy cooking solutions.  200 households to be targeted in the project</w:t>
            </w:r>
          </w:p>
        </w:tc>
        <w:tc>
          <w:tcPr>
            <w:tcW w:w="1126" w:type="pct"/>
          </w:tcPr>
          <w:p w14:paraId="233D13D7" w14:textId="6D76C30F"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The baseline is use of kerosene, diesel and candles for lighting in rural and peri urban areas. Algorithms in Equations 13 and 14 were used in emissions estimates</w:t>
            </w:r>
          </w:p>
        </w:tc>
        <w:tc>
          <w:tcPr>
            <w:tcW w:w="469" w:type="pct"/>
          </w:tcPr>
          <w:p w14:paraId="792ED90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Number of households with solar home systems</w:t>
            </w:r>
          </w:p>
        </w:tc>
        <w:tc>
          <w:tcPr>
            <w:tcW w:w="469" w:type="pct"/>
          </w:tcPr>
          <w:p w14:paraId="1548A4A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increase access to clean energy in rural areas</w:t>
            </w:r>
          </w:p>
        </w:tc>
        <w:tc>
          <w:tcPr>
            <w:tcW w:w="517" w:type="pct"/>
          </w:tcPr>
          <w:p w14:paraId="1EE27776" w14:textId="6C3136E3" w:rsidR="00245464" w:rsidRPr="00191ACB" w:rsidRDefault="00E92931"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On-going</w:t>
            </w:r>
          </w:p>
          <w:p w14:paraId="710DB1F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p>
        </w:tc>
        <w:tc>
          <w:tcPr>
            <w:tcW w:w="424" w:type="pct"/>
          </w:tcPr>
          <w:p w14:paraId="3570871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0.008</w:t>
            </w:r>
          </w:p>
        </w:tc>
        <w:tc>
          <w:tcPr>
            <w:tcW w:w="447" w:type="pct"/>
          </w:tcPr>
          <w:p w14:paraId="38FACEF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No carbon trading under the project </w:t>
            </w:r>
          </w:p>
        </w:tc>
      </w:tr>
      <w:tr w:rsidR="009B4DDC" w:rsidRPr="00191ACB" w14:paraId="6F017A47" w14:textId="77777777" w:rsidTr="00E92931">
        <w:tc>
          <w:tcPr>
            <w:cnfStyle w:val="001000000000" w:firstRow="0" w:lastRow="0" w:firstColumn="1" w:lastColumn="0" w:oddVBand="0" w:evenVBand="0" w:oddHBand="0" w:evenHBand="0" w:firstRowFirstColumn="0" w:firstRowLastColumn="0" w:lastRowFirstColumn="0" w:lastRowLastColumn="0"/>
            <w:tcW w:w="624" w:type="pct"/>
          </w:tcPr>
          <w:p w14:paraId="0ACDEFE9" w14:textId="28BBF761"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REA Solar PV (SSMP) Isoka, Kalomo, Lukulu</w:t>
            </w:r>
          </w:p>
        </w:tc>
        <w:tc>
          <w:tcPr>
            <w:tcW w:w="924" w:type="pct"/>
          </w:tcPr>
          <w:p w14:paraId="19796EF3" w14:textId="09EE4E01"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REA Solar PV Sustainable Solar Market Packages (SSMP) in Isoka, Kalomo, Lukulu targeting 1</w:t>
            </w:r>
            <w:r w:rsidR="006A1C90">
              <w:rPr>
                <w:rFonts w:ascii="Times New Roman" w:hAnsi="Times New Roman"/>
                <w:color w:val="000000" w:themeColor="text1"/>
                <w:sz w:val="24"/>
                <w:szCs w:val="24"/>
              </w:rPr>
              <w:t>,</w:t>
            </w:r>
            <w:r w:rsidRPr="00191ACB">
              <w:rPr>
                <w:rFonts w:ascii="Times New Roman" w:hAnsi="Times New Roman"/>
                <w:color w:val="000000" w:themeColor="text1"/>
                <w:sz w:val="24"/>
                <w:szCs w:val="24"/>
              </w:rPr>
              <w:t>130 households</w:t>
            </w:r>
          </w:p>
        </w:tc>
        <w:tc>
          <w:tcPr>
            <w:tcW w:w="1126" w:type="pct"/>
          </w:tcPr>
          <w:p w14:paraId="62A227AF" w14:textId="6DC85A24"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The baseline is use of kerosene, diesel and candles for lighting in rural and peri urban areas. Algorithms in Equations 13 and 14 were used in emissions estimates</w:t>
            </w:r>
          </w:p>
        </w:tc>
        <w:tc>
          <w:tcPr>
            <w:tcW w:w="469" w:type="pct"/>
          </w:tcPr>
          <w:p w14:paraId="01D9426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Number of households with solar home systems</w:t>
            </w:r>
          </w:p>
        </w:tc>
        <w:tc>
          <w:tcPr>
            <w:tcW w:w="469" w:type="pct"/>
          </w:tcPr>
          <w:p w14:paraId="06D4935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increase access to clean energy in rural areas</w:t>
            </w:r>
          </w:p>
        </w:tc>
        <w:tc>
          <w:tcPr>
            <w:tcW w:w="517" w:type="pct"/>
          </w:tcPr>
          <w:p w14:paraId="682D79C2" w14:textId="77777777" w:rsidR="00E92931" w:rsidRPr="00191ACB" w:rsidRDefault="00E92931" w:rsidP="00E9293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On-going</w:t>
            </w:r>
          </w:p>
          <w:p w14:paraId="3058F569"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p>
        </w:tc>
        <w:tc>
          <w:tcPr>
            <w:tcW w:w="424" w:type="pct"/>
          </w:tcPr>
          <w:p w14:paraId="5FCB9C1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0.047</w:t>
            </w:r>
          </w:p>
        </w:tc>
        <w:tc>
          <w:tcPr>
            <w:tcW w:w="447" w:type="pct"/>
          </w:tcPr>
          <w:p w14:paraId="2130FA5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No carbon trading under the project</w:t>
            </w:r>
          </w:p>
        </w:tc>
      </w:tr>
      <w:tr w:rsidR="009B4DDC" w:rsidRPr="00191ACB" w14:paraId="26202D87" w14:textId="77777777" w:rsidTr="00E929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4" w:type="pct"/>
          </w:tcPr>
          <w:p w14:paraId="26BCF459"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Beyond the Grid Project. </w:t>
            </w:r>
          </w:p>
        </w:tc>
        <w:tc>
          <w:tcPr>
            <w:tcW w:w="924" w:type="pct"/>
          </w:tcPr>
          <w:p w14:paraId="39F6CC3B" w14:textId="352B4F19"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Targeting 167000 </w:t>
            </w:r>
            <w:r w:rsidR="00501324" w:rsidRPr="00191ACB">
              <w:rPr>
                <w:rFonts w:ascii="Times New Roman" w:hAnsi="Times New Roman"/>
                <w:color w:val="000000" w:themeColor="text1"/>
                <w:sz w:val="24"/>
                <w:szCs w:val="24"/>
              </w:rPr>
              <w:t>household’s</w:t>
            </w:r>
            <w:r w:rsidRPr="00191ACB">
              <w:rPr>
                <w:rFonts w:ascii="Times New Roman" w:hAnsi="Times New Roman"/>
                <w:color w:val="000000" w:themeColor="text1"/>
                <w:sz w:val="24"/>
                <w:szCs w:val="24"/>
              </w:rPr>
              <w:t xml:space="preserve"> country wide</w:t>
            </w:r>
          </w:p>
        </w:tc>
        <w:tc>
          <w:tcPr>
            <w:tcW w:w="1126" w:type="pct"/>
          </w:tcPr>
          <w:p w14:paraId="4C05BB5D" w14:textId="6CC6FAB3"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The baseline is use of kerosene, diesel and candles for lighting in rural and peri urban areas. Algorithms in Equations 13 and 14 were used in emissions estimates</w:t>
            </w:r>
          </w:p>
        </w:tc>
        <w:tc>
          <w:tcPr>
            <w:tcW w:w="469" w:type="pct"/>
          </w:tcPr>
          <w:p w14:paraId="12F1C70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Number of households with solar home systems</w:t>
            </w:r>
          </w:p>
        </w:tc>
        <w:tc>
          <w:tcPr>
            <w:tcW w:w="469" w:type="pct"/>
          </w:tcPr>
          <w:p w14:paraId="606C8AF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increase access to clean energy in rural areas</w:t>
            </w:r>
          </w:p>
        </w:tc>
        <w:tc>
          <w:tcPr>
            <w:tcW w:w="517" w:type="pct"/>
          </w:tcPr>
          <w:p w14:paraId="5BFF5413" w14:textId="77777777" w:rsidR="00E92931" w:rsidRPr="00191ACB" w:rsidRDefault="00E92931" w:rsidP="00E9293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On-going</w:t>
            </w:r>
          </w:p>
          <w:p w14:paraId="3F1C0D82" w14:textId="33A5000A"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p>
          <w:p w14:paraId="323EFDA8"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p>
        </w:tc>
        <w:tc>
          <w:tcPr>
            <w:tcW w:w="424" w:type="pct"/>
          </w:tcPr>
          <w:p w14:paraId="3595F02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6.916</w:t>
            </w:r>
          </w:p>
        </w:tc>
        <w:tc>
          <w:tcPr>
            <w:tcW w:w="447" w:type="pct"/>
          </w:tcPr>
          <w:p w14:paraId="542B8F2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No carbon trading under the project</w:t>
            </w:r>
          </w:p>
        </w:tc>
      </w:tr>
      <w:tr w:rsidR="009B4DDC" w:rsidRPr="00191ACB" w14:paraId="6FE257D8" w14:textId="77777777" w:rsidTr="00E92931">
        <w:tc>
          <w:tcPr>
            <w:cnfStyle w:val="001000000000" w:firstRow="0" w:lastRow="0" w:firstColumn="1" w:lastColumn="0" w:oddVBand="0" w:evenVBand="0" w:oddHBand="0" w:evenHBand="0" w:firstRowFirstColumn="0" w:firstRowLastColumn="0" w:lastRowFirstColumn="0" w:lastRowLastColumn="0"/>
            <w:tcW w:w="624" w:type="pct"/>
          </w:tcPr>
          <w:p w14:paraId="3B7F63C4" w14:textId="77777777" w:rsidR="00245464" w:rsidRPr="00191ACB" w:rsidRDefault="00245464" w:rsidP="00245464">
            <w:pPr>
              <w:jc w:val="both"/>
              <w:rPr>
                <w:rFonts w:ascii="Times New Roman" w:eastAsia="Times New Roman" w:hAnsi="Times New Roman"/>
                <w:color w:val="000000" w:themeColor="text1"/>
                <w:sz w:val="24"/>
                <w:szCs w:val="24"/>
              </w:rPr>
            </w:pPr>
            <w:r w:rsidRPr="00191ACB">
              <w:rPr>
                <w:rFonts w:ascii="Times New Roman" w:eastAsia="Times New Roman" w:hAnsi="Times New Roman"/>
                <w:color w:val="000000" w:themeColor="text1"/>
                <w:sz w:val="24"/>
                <w:szCs w:val="24"/>
              </w:rPr>
              <w:t xml:space="preserve">Solar Mini-Grids Lunga </w:t>
            </w:r>
          </w:p>
        </w:tc>
        <w:tc>
          <w:tcPr>
            <w:tcW w:w="924" w:type="pct"/>
          </w:tcPr>
          <w:p w14:paraId="21233A3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Mini-grid Chunga in Kafue national park direct 230 direct beneficiaries and 480 indirect beneficiaries</w:t>
            </w:r>
          </w:p>
        </w:tc>
        <w:tc>
          <w:tcPr>
            <w:tcW w:w="1126" w:type="pct"/>
          </w:tcPr>
          <w:p w14:paraId="5F7DD61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The baseline is use of kerosene, diesel and candles for lighting in rural and peri urban areas. Algorithms in Equations 13 and 14 were used in emissions estimates</w:t>
            </w:r>
          </w:p>
        </w:tc>
        <w:tc>
          <w:tcPr>
            <w:tcW w:w="469" w:type="pct"/>
          </w:tcPr>
          <w:p w14:paraId="798AA5A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Number of households connected to mini-grid</w:t>
            </w:r>
          </w:p>
        </w:tc>
        <w:tc>
          <w:tcPr>
            <w:tcW w:w="469" w:type="pct"/>
          </w:tcPr>
          <w:p w14:paraId="57015F6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To increase access to clean energy in rural areas</w:t>
            </w:r>
          </w:p>
        </w:tc>
        <w:tc>
          <w:tcPr>
            <w:tcW w:w="517" w:type="pct"/>
          </w:tcPr>
          <w:p w14:paraId="6D4951F0" w14:textId="77777777" w:rsidR="00E92931" w:rsidRPr="00191ACB" w:rsidRDefault="00E92931" w:rsidP="00E9293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On-going</w:t>
            </w:r>
          </w:p>
          <w:p w14:paraId="4B050E7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p>
        </w:tc>
        <w:tc>
          <w:tcPr>
            <w:tcW w:w="424" w:type="pct"/>
          </w:tcPr>
          <w:p w14:paraId="1C08BE5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0.090</w:t>
            </w:r>
          </w:p>
        </w:tc>
        <w:tc>
          <w:tcPr>
            <w:tcW w:w="447" w:type="pct"/>
          </w:tcPr>
          <w:p w14:paraId="167A60D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No carbon trading under the project</w:t>
            </w:r>
          </w:p>
        </w:tc>
      </w:tr>
      <w:tr w:rsidR="009B4DDC" w:rsidRPr="00191ACB" w14:paraId="502AE10B" w14:textId="77777777" w:rsidTr="00E92931">
        <w:trPr>
          <w:cnfStyle w:val="000000100000" w:firstRow="0" w:lastRow="0" w:firstColumn="0" w:lastColumn="0" w:oddVBand="0" w:evenVBand="0" w:oddHBand="1" w:evenHBand="0" w:firstRowFirstColumn="0" w:firstRowLastColumn="0" w:lastRowFirstColumn="0" w:lastRowLastColumn="0"/>
          <w:trHeight w:val="1212"/>
        </w:trPr>
        <w:tc>
          <w:tcPr>
            <w:cnfStyle w:val="001000000000" w:firstRow="0" w:lastRow="0" w:firstColumn="1" w:lastColumn="0" w:oddVBand="0" w:evenVBand="0" w:oddHBand="0" w:evenHBand="0" w:firstRowFirstColumn="0" w:firstRowLastColumn="0" w:lastRowFirstColumn="0" w:lastRowLastColumn="0"/>
            <w:tcW w:w="624" w:type="pct"/>
          </w:tcPr>
          <w:p w14:paraId="5950F2B4" w14:textId="77777777" w:rsidR="00245464" w:rsidRPr="00191ACB" w:rsidRDefault="00245464" w:rsidP="00245464">
            <w:pPr>
              <w:jc w:val="both"/>
              <w:rPr>
                <w:rFonts w:ascii="Times New Roman" w:eastAsia="Times New Roman" w:hAnsi="Times New Roman"/>
                <w:color w:val="000000" w:themeColor="text1"/>
                <w:sz w:val="24"/>
                <w:szCs w:val="24"/>
              </w:rPr>
            </w:pPr>
            <w:r w:rsidRPr="00191ACB">
              <w:rPr>
                <w:rFonts w:ascii="Times New Roman" w:eastAsia="Times New Roman" w:hAnsi="Times New Roman"/>
                <w:color w:val="000000" w:themeColor="text1"/>
                <w:sz w:val="24"/>
                <w:szCs w:val="24"/>
              </w:rPr>
              <w:lastRenderedPageBreak/>
              <w:t>Mpanta Solar Mini grid (600KW)</w:t>
            </w:r>
          </w:p>
        </w:tc>
        <w:tc>
          <w:tcPr>
            <w:tcW w:w="924" w:type="pct"/>
          </w:tcPr>
          <w:p w14:paraId="117BB95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Mpanta mini grid on the shores of lake Bangweulu servicing 478 direct and 3600 indirect+ households with a 12Km long reticulation networks and shops</w:t>
            </w:r>
          </w:p>
        </w:tc>
        <w:tc>
          <w:tcPr>
            <w:tcW w:w="1126" w:type="pct"/>
          </w:tcPr>
          <w:p w14:paraId="5281D8D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The baseline is use of kerosene, diesel and candles for lighting in rural and peri urban areas. Algorithms in Equations 13 and 14 were used in emissions estimates</w:t>
            </w:r>
          </w:p>
        </w:tc>
        <w:tc>
          <w:tcPr>
            <w:tcW w:w="469" w:type="pct"/>
          </w:tcPr>
          <w:p w14:paraId="5A682CE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Number of households connected to mini-grid</w:t>
            </w:r>
          </w:p>
        </w:tc>
        <w:tc>
          <w:tcPr>
            <w:tcW w:w="469" w:type="pct"/>
          </w:tcPr>
          <w:p w14:paraId="698EBB35"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To increase access to clean energy in rural areas</w:t>
            </w:r>
          </w:p>
        </w:tc>
        <w:tc>
          <w:tcPr>
            <w:tcW w:w="517" w:type="pct"/>
          </w:tcPr>
          <w:p w14:paraId="1D54F471" w14:textId="77777777" w:rsidR="00E92931" w:rsidRPr="00191ACB" w:rsidRDefault="00E92931" w:rsidP="00E9293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On-going</w:t>
            </w:r>
          </w:p>
          <w:p w14:paraId="23B0C9AE" w14:textId="30D959C0"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p>
        </w:tc>
        <w:tc>
          <w:tcPr>
            <w:tcW w:w="424" w:type="pct"/>
          </w:tcPr>
          <w:p w14:paraId="5035E17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0.020</w:t>
            </w:r>
          </w:p>
        </w:tc>
        <w:tc>
          <w:tcPr>
            <w:tcW w:w="447" w:type="pct"/>
          </w:tcPr>
          <w:p w14:paraId="3E186AF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No carbon trading under the project</w:t>
            </w:r>
          </w:p>
          <w:p w14:paraId="49CCC83E" w14:textId="77777777" w:rsidR="00245464" w:rsidRPr="00191ACB" w:rsidRDefault="00245464" w:rsidP="00245464">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p>
        </w:tc>
      </w:tr>
      <w:tr w:rsidR="009B4DDC" w:rsidRPr="00191ACB" w14:paraId="73C159AC" w14:textId="77777777" w:rsidTr="00E92931">
        <w:tc>
          <w:tcPr>
            <w:cnfStyle w:val="001000000000" w:firstRow="0" w:lastRow="0" w:firstColumn="1" w:lastColumn="0" w:oddVBand="0" w:evenVBand="0" w:oddHBand="0" w:evenHBand="0" w:firstRowFirstColumn="0" w:firstRowLastColumn="0" w:lastRowFirstColumn="0" w:lastRowLastColumn="0"/>
            <w:tcW w:w="624" w:type="pct"/>
          </w:tcPr>
          <w:p w14:paraId="180839C4" w14:textId="77777777" w:rsidR="00245464" w:rsidRPr="00191ACB" w:rsidRDefault="00245464" w:rsidP="00245464">
            <w:pPr>
              <w:jc w:val="both"/>
              <w:rPr>
                <w:rFonts w:ascii="Times New Roman" w:eastAsia="Times New Roman" w:hAnsi="Times New Roman"/>
                <w:color w:val="000000" w:themeColor="text1"/>
                <w:sz w:val="24"/>
                <w:szCs w:val="24"/>
              </w:rPr>
            </w:pPr>
            <w:r w:rsidRPr="00191ACB">
              <w:rPr>
                <w:rFonts w:ascii="Times New Roman" w:eastAsia="Times New Roman" w:hAnsi="Times New Roman"/>
                <w:color w:val="000000" w:themeColor="text1"/>
                <w:sz w:val="24"/>
                <w:szCs w:val="24"/>
              </w:rPr>
              <w:t>Muhanya Solar 30KW, 120 households</w:t>
            </w:r>
          </w:p>
        </w:tc>
        <w:tc>
          <w:tcPr>
            <w:tcW w:w="924" w:type="pct"/>
          </w:tcPr>
          <w:p w14:paraId="0E9CD4B8" w14:textId="5ECE3B0B"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Mini grid 120 households in Chipata district</w:t>
            </w:r>
            <w:r w:rsidR="00E92931" w:rsidRPr="00191ACB">
              <w:rPr>
                <w:rFonts w:ascii="Times New Roman" w:hAnsi="Times New Roman"/>
                <w:color w:val="000000" w:themeColor="text1"/>
                <w:sz w:val="24"/>
                <w:szCs w:val="24"/>
              </w:rPr>
              <w:t xml:space="preserve"> </w:t>
            </w:r>
            <w:r w:rsidRPr="00191ACB">
              <w:rPr>
                <w:rFonts w:ascii="Times New Roman" w:hAnsi="Times New Roman"/>
                <w:color w:val="000000" w:themeColor="text1"/>
                <w:sz w:val="24"/>
                <w:szCs w:val="24"/>
              </w:rPr>
              <w:t>of Eastern province</w:t>
            </w:r>
          </w:p>
        </w:tc>
        <w:tc>
          <w:tcPr>
            <w:tcW w:w="1126" w:type="pct"/>
          </w:tcPr>
          <w:p w14:paraId="31995962"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val="x-none" w:eastAsia="x-none"/>
              </w:rPr>
            </w:pPr>
            <w:r w:rsidRPr="00191ACB">
              <w:rPr>
                <w:rFonts w:ascii="Times New Roman" w:hAnsi="Times New Roman"/>
                <w:color w:val="000000" w:themeColor="text1"/>
                <w:sz w:val="24"/>
                <w:szCs w:val="24"/>
                <w:lang w:eastAsia="x-none"/>
              </w:rPr>
              <w:t>The baseline is use of kerosene, diesel and candles for lighting in rural and peri urban areas. Algorithms in Equations 13 and 14 were used in emissions estimates</w:t>
            </w:r>
          </w:p>
        </w:tc>
        <w:tc>
          <w:tcPr>
            <w:tcW w:w="469" w:type="pct"/>
          </w:tcPr>
          <w:p w14:paraId="6306C37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Number of households connected to mini-grid</w:t>
            </w:r>
          </w:p>
        </w:tc>
        <w:tc>
          <w:tcPr>
            <w:tcW w:w="469" w:type="pct"/>
          </w:tcPr>
          <w:p w14:paraId="1585954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To increase access to clean energy in rural areas</w:t>
            </w:r>
          </w:p>
        </w:tc>
        <w:tc>
          <w:tcPr>
            <w:tcW w:w="517" w:type="pct"/>
          </w:tcPr>
          <w:p w14:paraId="5F3256C9" w14:textId="77777777" w:rsidR="00E92931" w:rsidRPr="00191ACB" w:rsidRDefault="00E92931" w:rsidP="00E9293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On-going</w:t>
            </w:r>
          </w:p>
          <w:p w14:paraId="22EA12D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p>
        </w:tc>
        <w:tc>
          <w:tcPr>
            <w:tcW w:w="424" w:type="pct"/>
          </w:tcPr>
          <w:p w14:paraId="08E0831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0.005</w:t>
            </w:r>
          </w:p>
        </w:tc>
        <w:tc>
          <w:tcPr>
            <w:tcW w:w="447" w:type="pct"/>
          </w:tcPr>
          <w:p w14:paraId="2812C94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No carbon trading under the project</w:t>
            </w:r>
          </w:p>
        </w:tc>
      </w:tr>
    </w:tbl>
    <w:p w14:paraId="5B9A1F5B"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lang w:eastAsia="x-none"/>
        </w:rPr>
      </w:pPr>
      <w:r w:rsidRPr="00191ACB">
        <w:rPr>
          <w:rFonts w:ascii="Times New Roman" w:eastAsia="Times New Roman" w:hAnsi="Times New Roman" w:cs="Times New Roman"/>
          <w:color w:val="000000" w:themeColor="text1"/>
          <w:sz w:val="24"/>
          <w:szCs w:val="24"/>
          <w:lang w:eastAsia="x-none"/>
        </w:rPr>
        <w:t>Algorithms for estimating GHG emissions reduction under solar home systems is provided in Equations 13 and 14 were used</w:t>
      </w:r>
    </w:p>
    <w:p w14:paraId="42B1DA46"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lang w:eastAsia="x-none"/>
        </w:rPr>
      </w:pPr>
    </w:p>
    <w:p w14:paraId="36A75584" w14:textId="77777777" w:rsidR="00E92931" w:rsidRPr="00191ACB" w:rsidRDefault="00E92931" w:rsidP="005E626A">
      <w:pPr>
        <w:pStyle w:val="Heading2"/>
        <w:spacing w:after="120" w:line="240" w:lineRule="auto"/>
        <w:rPr>
          <w:rFonts w:ascii="Times New Roman" w:eastAsia="Times New Roman" w:hAnsi="Times New Roman" w:cs="Times New Roman"/>
          <w:color w:val="000000" w:themeColor="text1"/>
          <w:sz w:val="24"/>
          <w:szCs w:val="24"/>
        </w:rPr>
        <w:sectPr w:rsidR="00E92931" w:rsidRPr="00191ACB" w:rsidSect="009B4DDC">
          <w:pgSz w:w="16834" w:h="11909" w:orient="landscape" w:code="9"/>
          <w:pgMar w:top="720" w:right="862" w:bottom="1440" w:left="862" w:header="720" w:footer="720" w:gutter="0"/>
          <w:cols w:space="720"/>
          <w:docGrid w:linePitch="360"/>
        </w:sectPr>
      </w:pPr>
      <w:bookmarkStart w:id="391" w:name="_Toc26264938"/>
    </w:p>
    <w:p w14:paraId="3C0F7EB4" w14:textId="178A7B42" w:rsidR="00DB6786" w:rsidRPr="00191ACB" w:rsidRDefault="00DB6786" w:rsidP="005E626A">
      <w:pPr>
        <w:pStyle w:val="Heading2"/>
        <w:spacing w:after="120" w:line="240" w:lineRule="auto"/>
        <w:rPr>
          <w:rFonts w:ascii="Times New Roman" w:eastAsia="Times New Roman" w:hAnsi="Times New Roman" w:cs="Times New Roman"/>
          <w:color w:val="000000" w:themeColor="text1"/>
          <w:sz w:val="24"/>
          <w:szCs w:val="24"/>
        </w:rPr>
      </w:pPr>
    </w:p>
    <w:p w14:paraId="397C9FF9" w14:textId="4C8A1233" w:rsidR="00245464" w:rsidRPr="00191ACB" w:rsidRDefault="00245464" w:rsidP="005D53F6">
      <w:pPr>
        <w:pStyle w:val="Heading2"/>
        <w:numPr>
          <w:ilvl w:val="3"/>
          <w:numId w:val="36"/>
        </w:numPr>
        <w:spacing w:after="120" w:line="240" w:lineRule="auto"/>
        <w:ind w:left="851" w:hanging="851"/>
        <w:rPr>
          <w:rFonts w:ascii="Times New Roman" w:eastAsia="Times New Roman" w:hAnsi="Times New Roman" w:cs="Times New Roman"/>
          <w:b/>
          <w:color w:val="000000" w:themeColor="text1"/>
          <w:sz w:val="24"/>
          <w:szCs w:val="24"/>
        </w:rPr>
      </w:pPr>
      <w:bookmarkStart w:id="392" w:name="_Toc57902874"/>
      <w:r w:rsidRPr="00D61D72">
        <w:rPr>
          <w:rStyle w:val="Heading4Char"/>
          <w:color w:val="auto"/>
        </w:rPr>
        <w:t>Emissions reductions Electricity Generation-Small Hydro Off-Grid</w:t>
      </w:r>
      <w:bookmarkEnd w:id="391"/>
      <w:bookmarkEnd w:id="392"/>
      <w:r w:rsidRPr="00D61D72">
        <w:rPr>
          <w:rFonts w:ascii="Times New Roman" w:eastAsia="Times New Roman" w:hAnsi="Times New Roman" w:cs="Times New Roman"/>
          <w:b/>
          <w:color w:val="auto"/>
          <w:sz w:val="24"/>
          <w:szCs w:val="24"/>
        </w:rPr>
        <w:t xml:space="preserve"> </w:t>
      </w:r>
    </w:p>
    <w:p w14:paraId="7D11F276" w14:textId="2DDD58C5" w:rsidR="00245464" w:rsidRPr="00191ACB"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Small hydro off-grid electricity generation considered for mitigation include; Chipota small hydro targeting 11206 households and Kasanjiko mini hydro (0.64MW) in Mwinilunga under chief Mutambo targeting 4,144 direct beneficiaries and 12,913 indirect beneficiaries. Another small hydro is Zengamina targeting 1,000 households. The baseline for off-grid small hydro is use of charcoal and firewood for cooking in rural and urban areas. However, Zengamina was not included in the emissions reductions as it is considered to be under voluntary carbon trading. Annual emissions reductions from off grid small hydro was estimated at 179.5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(Table</w:t>
      </w:r>
      <w:r w:rsidR="00501324" w:rsidRPr="00191ACB">
        <w:rPr>
          <w:rFonts w:ascii="Times New Roman" w:eastAsia="Calibri" w:hAnsi="Times New Roman" w:cs="Times New Roman"/>
          <w:color w:val="000000" w:themeColor="text1"/>
          <w:sz w:val="24"/>
          <w:szCs w:val="24"/>
        </w:rPr>
        <w:t xml:space="preserve"> 4.20</w:t>
      </w:r>
      <w:r w:rsidRPr="00191ACB">
        <w:rPr>
          <w:rFonts w:ascii="Times New Roman" w:eastAsia="Calibri" w:hAnsi="Times New Roman" w:cs="Times New Roman"/>
          <w:color w:val="000000" w:themeColor="text1"/>
          <w:sz w:val="24"/>
          <w:szCs w:val="24"/>
        </w:rPr>
        <w:t>).</w:t>
      </w:r>
    </w:p>
    <w:p w14:paraId="348FA55C" w14:textId="660EA703"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p>
    <w:p w14:paraId="5B2A1D2B" w14:textId="38AFE7A7" w:rsidR="00C319A4" w:rsidRPr="00191ACB" w:rsidRDefault="00C319A4" w:rsidP="00C319A4">
      <w:pPr>
        <w:pStyle w:val="Caption"/>
        <w:rPr>
          <w:rFonts w:eastAsia="Calibri"/>
          <w:color w:val="000000" w:themeColor="text1"/>
          <w:sz w:val="24"/>
          <w:szCs w:val="24"/>
        </w:rPr>
      </w:pPr>
      <w:bookmarkStart w:id="393" w:name="_Toc56583796"/>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20</w:t>
      </w:r>
      <w:r w:rsidR="00875942">
        <w:rPr>
          <w:sz w:val="24"/>
          <w:szCs w:val="24"/>
        </w:rPr>
        <w:fldChar w:fldCharType="end"/>
      </w:r>
      <w:r w:rsidRPr="00191ACB">
        <w:rPr>
          <w:sz w:val="24"/>
          <w:szCs w:val="24"/>
        </w:rPr>
        <w:t>:Emission reduction potential for off-grid small hydro (Gg CO2 eq.)</w:t>
      </w:r>
      <w:bookmarkEnd w:id="393"/>
    </w:p>
    <w:tbl>
      <w:tblPr>
        <w:tblW w:w="8910" w:type="dxa"/>
        <w:tblInd w:w="-5" w:type="dxa"/>
        <w:tblLook w:val="04A0" w:firstRow="1" w:lastRow="0" w:firstColumn="1" w:lastColumn="0" w:noHBand="0" w:noVBand="1"/>
      </w:tblPr>
      <w:tblGrid>
        <w:gridCol w:w="1190"/>
        <w:gridCol w:w="810"/>
        <w:gridCol w:w="810"/>
        <w:gridCol w:w="990"/>
        <w:gridCol w:w="756"/>
        <w:gridCol w:w="990"/>
        <w:gridCol w:w="810"/>
        <w:gridCol w:w="810"/>
        <w:gridCol w:w="810"/>
        <w:gridCol w:w="1080"/>
      </w:tblGrid>
      <w:tr w:rsidR="00245464" w:rsidRPr="00191ACB" w14:paraId="47496E5C" w14:textId="77777777" w:rsidTr="00A91A48">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C78415"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5222BBF2"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19911419"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2015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6DBCCD1C"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2020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F1596B1"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2025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7A42F750"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7616B15E"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2035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5F9F6659"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2040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14:paraId="01264046"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2045</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337C6C09" w14:textId="77777777" w:rsidR="00245464" w:rsidRPr="00191ACB" w:rsidRDefault="00245464" w:rsidP="00245464">
            <w:pPr>
              <w:spacing w:after="0" w:line="240" w:lineRule="auto"/>
              <w:jc w:val="right"/>
              <w:rPr>
                <w:rFonts w:ascii="Times New Roman" w:eastAsia="Times New Roman" w:hAnsi="Times New Roman" w:cs="Times New Roman"/>
                <w:b/>
                <w:color w:val="000000" w:themeColor="text1"/>
                <w:sz w:val="24"/>
                <w:szCs w:val="24"/>
              </w:rPr>
            </w:pPr>
            <w:r w:rsidRPr="00191ACB">
              <w:rPr>
                <w:rFonts w:ascii="Times New Roman" w:eastAsia="Times New Roman" w:hAnsi="Times New Roman" w:cs="Times New Roman"/>
                <w:b/>
                <w:color w:val="000000" w:themeColor="text1"/>
                <w:sz w:val="24"/>
                <w:szCs w:val="24"/>
              </w:rPr>
              <w:t>2050</w:t>
            </w:r>
          </w:p>
        </w:tc>
      </w:tr>
      <w:tr w:rsidR="00245464" w:rsidRPr="00191ACB" w14:paraId="24DDD1A2" w14:textId="77777777" w:rsidTr="00A91A48">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71BA3A3"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Kasanjiku</w:t>
            </w:r>
          </w:p>
        </w:tc>
        <w:tc>
          <w:tcPr>
            <w:tcW w:w="810" w:type="dxa"/>
            <w:tcBorders>
              <w:top w:val="nil"/>
              <w:left w:val="nil"/>
              <w:bottom w:val="single" w:sz="4" w:space="0" w:color="auto"/>
              <w:right w:val="single" w:sz="4" w:space="0" w:color="auto"/>
            </w:tcBorders>
            <w:shd w:val="clear" w:color="auto" w:fill="auto"/>
            <w:noWrap/>
            <w:vAlign w:val="bottom"/>
            <w:hideMark/>
          </w:tcPr>
          <w:p w14:paraId="2A618F1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810" w:type="dxa"/>
            <w:tcBorders>
              <w:top w:val="nil"/>
              <w:left w:val="nil"/>
              <w:bottom w:val="single" w:sz="4" w:space="0" w:color="auto"/>
              <w:right w:val="single" w:sz="4" w:space="0" w:color="auto"/>
            </w:tcBorders>
            <w:shd w:val="clear" w:color="auto" w:fill="auto"/>
            <w:noWrap/>
            <w:vAlign w:val="bottom"/>
            <w:hideMark/>
          </w:tcPr>
          <w:p w14:paraId="7BBA336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990" w:type="dxa"/>
            <w:tcBorders>
              <w:top w:val="nil"/>
              <w:left w:val="nil"/>
              <w:bottom w:val="single" w:sz="4" w:space="0" w:color="auto"/>
              <w:right w:val="single" w:sz="4" w:space="0" w:color="auto"/>
            </w:tcBorders>
            <w:shd w:val="clear" w:color="auto" w:fill="auto"/>
            <w:noWrap/>
            <w:vAlign w:val="bottom"/>
            <w:hideMark/>
          </w:tcPr>
          <w:p w14:paraId="3152C10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48.4</w:t>
            </w:r>
          </w:p>
        </w:tc>
        <w:tc>
          <w:tcPr>
            <w:tcW w:w="720" w:type="dxa"/>
            <w:tcBorders>
              <w:top w:val="nil"/>
              <w:left w:val="nil"/>
              <w:bottom w:val="single" w:sz="4" w:space="0" w:color="auto"/>
              <w:right w:val="single" w:sz="4" w:space="0" w:color="auto"/>
            </w:tcBorders>
            <w:shd w:val="clear" w:color="auto" w:fill="auto"/>
            <w:noWrap/>
            <w:vAlign w:val="bottom"/>
            <w:hideMark/>
          </w:tcPr>
          <w:p w14:paraId="4EC4BFE7"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48.4</w:t>
            </w:r>
          </w:p>
        </w:tc>
        <w:tc>
          <w:tcPr>
            <w:tcW w:w="990" w:type="dxa"/>
            <w:tcBorders>
              <w:top w:val="nil"/>
              <w:left w:val="nil"/>
              <w:bottom w:val="single" w:sz="4" w:space="0" w:color="auto"/>
              <w:right w:val="single" w:sz="4" w:space="0" w:color="auto"/>
            </w:tcBorders>
            <w:shd w:val="clear" w:color="auto" w:fill="auto"/>
            <w:noWrap/>
            <w:vAlign w:val="bottom"/>
            <w:hideMark/>
          </w:tcPr>
          <w:p w14:paraId="6D02D2E3"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48.4</w:t>
            </w:r>
          </w:p>
        </w:tc>
        <w:tc>
          <w:tcPr>
            <w:tcW w:w="810" w:type="dxa"/>
            <w:tcBorders>
              <w:top w:val="nil"/>
              <w:left w:val="nil"/>
              <w:bottom w:val="single" w:sz="4" w:space="0" w:color="auto"/>
              <w:right w:val="single" w:sz="4" w:space="0" w:color="auto"/>
            </w:tcBorders>
            <w:shd w:val="clear" w:color="auto" w:fill="auto"/>
            <w:noWrap/>
            <w:vAlign w:val="bottom"/>
            <w:hideMark/>
          </w:tcPr>
          <w:p w14:paraId="206143B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48.4</w:t>
            </w:r>
          </w:p>
        </w:tc>
        <w:tc>
          <w:tcPr>
            <w:tcW w:w="810" w:type="dxa"/>
            <w:tcBorders>
              <w:top w:val="nil"/>
              <w:left w:val="nil"/>
              <w:bottom w:val="single" w:sz="4" w:space="0" w:color="auto"/>
              <w:right w:val="single" w:sz="4" w:space="0" w:color="auto"/>
            </w:tcBorders>
            <w:shd w:val="clear" w:color="auto" w:fill="auto"/>
            <w:noWrap/>
            <w:vAlign w:val="bottom"/>
            <w:hideMark/>
          </w:tcPr>
          <w:p w14:paraId="4E701AC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48.4</w:t>
            </w:r>
          </w:p>
        </w:tc>
        <w:tc>
          <w:tcPr>
            <w:tcW w:w="810" w:type="dxa"/>
            <w:tcBorders>
              <w:top w:val="nil"/>
              <w:left w:val="nil"/>
              <w:bottom w:val="single" w:sz="4" w:space="0" w:color="auto"/>
              <w:right w:val="single" w:sz="4" w:space="0" w:color="auto"/>
            </w:tcBorders>
            <w:shd w:val="clear" w:color="auto" w:fill="auto"/>
            <w:noWrap/>
            <w:vAlign w:val="bottom"/>
            <w:hideMark/>
          </w:tcPr>
          <w:p w14:paraId="3DBF0BF8"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48.4</w:t>
            </w:r>
          </w:p>
        </w:tc>
        <w:tc>
          <w:tcPr>
            <w:tcW w:w="1080" w:type="dxa"/>
            <w:tcBorders>
              <w:top w:val="nil"/>
              <w:left w:val="nil"/>
              <w:bottom w:val="single" w:sz="4" w:space="0" w:color="auto"/>
              <w:right w:val="single" w:sz="4" w:space="0" w:color="auto"/>
            </w:tcBorders>
            <w:shd w:val="clear" w:color="auto" w:fill="auto"/>
            <w:noWrap/>
            <w:vAlign w:val="bottom"/>
            <w:hideMark/>
          </w:tcPr>
          <w:p w14:paraId="653B093A"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48.4</w:t>
            </w:r>
          </w:p>
        </w:tc>
      </w:tr>
      <w:tr w:rsidR="00245464" w:rsidRPr="00191ACB" w14:paraId="21100981" w14:textId="77777777" w:rsidTr="00A91A48">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14:paraId="6CC00C57"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Chipota</w:t>
            </w:r>
          </w:p>
        </w:tc>
        <w:tc>
          <w:tcPr>
            <w:tcW w:w="810" w:type="dxa"/>
            <w:tcBorders>
              <w:top w:val="nil"/>
              <w:left w:val="nil"/>
              <w:bottom w:val="single" w:sz="4" w:space="0" w:color="auto"/>
              <w:right w:val="single" w:sz="4" w:space="0" w:color="auto"/>
            </w:tcBorders>
            <w:shd w:val="clear" w:color="auto" w:fill="auto"/>
            <w:noWrap/>
            <w:vAlign w:val="bottom"/>
            <w:hideMark/>
          </w:tcPr>
          <w:p w14:paraId="1EA6534E"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810" w:type="dxa"/>
            <w:tcBorders>
              <w:top w:val="nil"/>
              <w:left w:val="nil"/>
              <w:bottom w:val="single" w:sz="4" w:space="0" w:color="auto"/>
              <w:right w:val="single" w:sz="4" w:space="0" w:color="auto"/>
            </w:tcBorders>
            <w:shd w:val="clear" w:color="auto" w:fill="auto"/>
            <w:noWrap/>
            <w:vAlign w:val="bottom"/>
            <w:hideMark/>
          </w:tcPr>
          <w:p w14:paraId="6DD687D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990" w:type="dxa"/>
            <w:tcBorders>
              <w:top w:val="nil"/>
              <w:left w:val="nil"/>
              <w:bottom w:val="single" w:sz="4" w:space="0" w:color="auto"/>
              <w:right w:val="single" w:sz="4" w:space="0" w:color="auto"/>
            </w:tcBorders>
            <w:shd w:val="clear" w:color="auto" w:fill="auto"/>
            <w:noWrap/>
            <w:vAlign w:val="bottom"/>
            <w:hideMark/>
          </w:tcPr>
          <w:p w14:paraId="5A252468"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131.0</w:t>
            </w:r>
          </w:p>
        </w:tc>
        <w:tc>
          <w:tcPr>
            <w:tcW w:w="720" w:type="dxa"/>
            <w:tcBorders>
              <w:top w:val="nil"/>
              <w:left w:val="nil"/>
              <w:bottom w:val="single" w:sz="4" w:space="0" w:color="auto"/>
              <w:right w:val="single" w:sz="4" w:space="0" w:color="auto"/>
            </w:tcBorders>
            <w:shd w:val="clear" w:color="auto" w:fill="auto"/>
            <w:noWrap/>
            <w:vAlign w:val="bottom"/>
            <w:hideMark/>
          </w:tcPr>
          <w:p w14:paraId="5DF28EB5"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131.0</w:t>
            </w:r>
          </w:p>
        </w:tc>
        <w:tc>
          <w:tcPr>
            <w:tcW w:w="990" w:type="dxa"/>
            <w:tcBorders>
              <w:top w:val="nil"/>
              <w:left w:val="nil"/>
              <w:bottom w:val="single" w:sz="4" w:space="0" w:color="auto"/>
              <w:right w:val="single" w:sz="4" w:space="0" w:color="auto"/>
            </w:tcBorders>
            <w:shd w:val="clear" w:color="auto" w:fill="auto"/>
            <w:noWrap/>
            <w:vAlign w:val="bottom"/>
            <w:hideMark/>
          </w:tcPr>
          <w:p w14:paraId="3D59A94B"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131.0</w:t>
            </w:r>
          </w:p>
        </w:tc>
        <w:tc>
          <w:tcPr>
            <w:tcW w:w="810" w:type="dxa"/>
            <w:tcBorders>
              <w:top w:val="nil"/>
              <w:left w:val="nil"/>
              <w:bottom w:val="single" w:sz="4" w:space="0" w:color="auto"/>
              <w:right w:val="single" w:sz="4" w:space="0" w:color="auto"/>
            </w:tcBorders>
            <w:shd w:val="clear" w:color="auto" w:fill="auto"/>
            <w:noWrap/>
            <w:vAlign w:val="bottom"/>
            <w:hideMark/>
          </w:tcPr>
          <w:p w14:paraId="33C07F88"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131.0</w:t>
            </w:r>
          </w:p>
        </w:tc>
        <w:tc>
          <w:tcPr>
            <w:tcW w:w="810" w:type="dxa"/>
            <w:tcBorders>
              <w:top w:val="nil"/>
              <w:left w:val="nil"/>
              <w:bottom w:val="single" w:sz="4" w:space="0" w:color="auto"/>
              <w:right w:val="single" w:sz="4" w:space="0" w:color="auto"/>
            </w:tcBorders>
            <w:shd w:val="clear" w:color="auto" w:fill="auto"/>
            <w:noWrap/>
            <w:vAlign w:val="bottom"/>
            <w:hideMark/>
          </w:tcPr>
          <w:p w14:paraId="7AE963B6"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131.0</w:t>
            </w:r>
          </w:p>
        </w:tc>
        <w:tc>
          <w:tcPr>
            <w:tcW w:w="810" w:type="dxa"/>
            <w:tcBorders>
              <w:top w:val="nil"/>
              <w:left w:val="nil"/>
              <w:bottom w:val="single" w:sz="4" w:space="0" w:color="auto"/>
              <w:right w:val="single" w:sz="4" w:space="0" w:color="auto"/>
            </w:tcBorders>
            <w:shd w:val="clear" w:color="auto" w:fill="auto"/>
            <w:noWrap/>
            <w:vAlign w:val="bottom"/>
            <w:hideMark/>
          </w:tcPr>
          <w:p w14:paraId="66A33F1E"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131.0</w:t>
            </w:r>
          </w:p>
        </w:tc>
        <w:tc>
          <w:tcPr>
            <w:tcW w:w="1080" w:type="dxa"/>
            <w:tcBorders>
              <w:top w:val="nil"/>
              <w:left w:val="nil"/>
              <w:bottom w:val="single" w:sz="4" w:space="0" w:color="auto"/>
              <w:right w:val="single" w:sz="4" w:space="0" w:color="auto"/>
            </w:tcBorders>
            <w:shd w:val="clear" w:color="auto" w:fill="auto"/>
            <w:noWrap/>
            <w:vAlign w:val="bottom"/>
            <w:hideMark/>
          </w:tcPr>
          <w:p w14:paraId="1FB9416F"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131.0</w:t>
            </w:r>
          </w:p>
        </w:tc>
      </w:tr>
      <w:tr w:rsidR="00245464" w:rsidRPr="00191ACB" w14:paraId="616A511C" w14:textId="77777777" w:rsidTr="00A91A48">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496CF5" w14:textId="77777777" w:rsidR="00245464" w:rsidRPr="00191ACB" w:rsidRDefault="00245464" w:rsidP="00245464">
            <w:pPr>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Total</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E5DDB4"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770F0C"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88EBDE"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179.5</w:t>
            </w:r>
          </w:p>
        </w:tc>
        <w:tc>
          <w:tcPr>
            <w:tcW w:w="7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CD7970"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179.5</w:t>
            </w:r>
          </w:p>
        </w:tc>
        <w:tc>
          <w:tcPr>
            <w:tcW w:w="9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B8BD1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179.5</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3A06ED"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179.5</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286C18"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179.5</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C79ED2"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179.5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24D0C8" w14:textId="77777777" w:rsidR="00245464" w:rsidRPr="00191ACB" w:rsidRDefault="00245464" w:rsidP="00245464">
            <w:pPr>
              <w:spacing w:after="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179.5</w:t>
            </w:r>
          </w:p>
        </w:tc>
      </w:tr>
    </w:tbl>
    <w:p w14:paraId="46B691D0" w14:textId="77777777" w:rsidR="00C67BFC" w:rsidRPr="00191ACB" w:rsidRDefault="00C67BFC" w:rsidP="00245464">
      <w:pPr>
        <w:jc w:val="both"/>
        <w:rPr>
          <w:rFonts w:ascii="Times New Roman" w:eastAsia="Times New Roman" w:hAnsi="Times New Roman" w:cs="Times New Roman"/>
          <w:color w:val="000000" w:themeColor="text1"/>
          <w:sz w:val="24"/>
          <w:szCs w:val="24"/>
        </w:rPr>
      </w:pPr>
    </w:p>
    <w:p w14:paraId="6504AEF4" w14:textId="01B90F2C" w:rsidR="00245464" w:rsidRPr="00191ACB"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Details on mitigation actions for Small hydro off-grid initiatives are provided in Table </w:t>
      </w:r>
      <w:r w:rsidR="00501324" w:rsidRPr="00191ACB">
        <w:rPr>
          <w:rFonts w:ascii="Times New Roman" w:eastAsia="Times New Roman" w:hAnsi="Times New Roman" w:cs="Times New Roman"/>
          <w:color w:val="000000" w:themeColor="text1"/>
          <w:sz w:val="24"/>
          <w:szCs w:val="24"/>
        </w:rPr>
        <w:t>4.21</w:t>
      </w:r>
      <w:r w:rsidRPr="00191ACB">
        <w:rPr>
          <w:rFonts w:ascii="Times New Roman" w:eastAsia="Times New Roman"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w:t>
      </w:r>
    </w:p>
    <w:p w14:paraId="0CCA9FCE" w14:textId="77777777" w:rsidR="00C319A4" w:rsidRPr="00191ACB" w:rsidRDefault="00C319A4" w:rsidP="00245464">
      <w:pPr>
        <w:jc w:val="both"/>
        <w:rPr>
          <w:rFonts w:ascii="Times New Roman" w:eastAsia="Calibri" w:hAnsi="Times New Roman" w:cs="Times New Roman"/>
          <w:color w:val="000000" w:themeColor="text1"/>
          <w:sz w:val="24"/>
          <w:szCs w:val="24"/>
        </w:rPr>
      </w:pPr>
    </w:p>
    <w:p w14:paraId="7FB8B109" w14:textId="1BF80E87" w:rsidR="00245464" w:rsidRPr="00191ACB" w:rsidRDefault="00C319A4" w:rsidP="00C319A4">
      <w:pPr>
        <w:pStyle w:val="Caption"/>
        <w:rPr>
          <w:rFonts w:eastAsia="Calibri"/>
          <w:color w:val="000000" w:themeColor="text1"/>
          <w:sz w:val="24"/>
          <w:szCs w:val="24"/>
        </w:rPr>
      </w:pPr>
      <w:bookmarkStart w:id="394" w:name="_Toc56583797"/>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21</w:t>
      </w:r>
      <w:r w:rsidR="00875942">
        <w:rPr>
          <w:sz w:val="24"/>
          <w:szCs w:val="24"/>
        </w:rPr>
        <w:fldChar w:fldCharType="end"/>
      </w:r>
      <w:r w:rsidRPr="00191ACB">
        <w:rPr>
          <w:sz w:val="24"/>
          <w:szCs w:val="24"/>
        </w:rPr>
        <w:t>:Mitigation Actions -Small hydro off grid Initiatives</w:t>
      </w:r>
      <w:bookmarkEnd w:id="394"/>
    </w:p>
    <w:tbl>
      <w:tblPr>
        <w:tblStyle w:val="GridTable4-Accent11"/>
        <w:tblW w:w="5000" w:type="pct"/>
        <w:tblLook w:val="04A0" w:firstRow="1" w:lastRow="0" w:firstColumn="1" w:lastColumn="0" w:noHBand="0" w:noVBand="1"/>
      </w:tblPr>
      <w:tblGrid>
        <w:gridCol w:w="1067"/>
        <w:gridCol w:w="1213"/>
        <w:gridCol w:w="1392"/>
        <w:gridCol w:w="1066"/>
        <w:gridCol w:w="1066"/>
        <w:gridCol w:w="1487"/>
        <w:gridCol w:w="1109"/>
        <w:gridCol w:w="1339"/>
      </w:tblGrid>
      <w:tr w:rsidR="00245464" w:rsidRPr="00191ACB" w14:paraId="73C92D65" w14:textId="77777777" w:rsidTr="00A91A48">
        <w:trPr>
          <w:cnfStyle w:val="100000000000" w:firstRow="1" w:lastRow="0" w:firstColumn="0" w:lastColumn="0" w:oddVBand="0" w:evenVBand="0" w:oddHBand="0"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569" w:type="pct"/>
          </w:tcPr>
          <w:p w14:paraId="6B6CA3C6"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731" w:type="pct"/>
          </w:tcPr>
          <w:p w14:paraId="41D3C65C"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845" w:type="pct"/>
          </w:tcPr>
          <w:p w14:paraId="746D92C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525" w:type="pct"/>
          </w:tcPr>
          <w:p w14:paraId="2AA4066D"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525" w:type="pct"/>
          </w:tcPr>
          <w:p w14:paraId="71975771"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tc>
        <w:tc>
          <w:tcPr>
            <w:tcW w:w="755" w:type="pct"/>
          </w:tcPr>
          <w:p w14:paraId="56026DB4"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485" w:type="pct"/>
          </w:tcPr>
          <w:p w14:paraId="363782B6"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val="x-none" w:eastAsia="x-none"/>
              </w:rPr>
              <w:t xml:space="preserve">Estimated emission reduction </w:t>
            </w:r>
            <w:r w:rsidRPr="00191ACB">
              <w:rPr>
                <w:rFonts w:ascii="Times New Roman" w:hAnsi="Times New Roman"/>
                <w:color w:val="000000" w:themeColor="text1"/>
                <w:sz w:val="24"/>
                <w:szCs w:val="24"/>
                <w:lang w:eastAsia="x-none"/>
              </w:rPr>
              <w:t>cumulative by 2030 Gg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vertAlign w:val="subscript"/>
                <w:lang w:eastAsia="x-none"/>
              </w:rPr>
              <w:t>eq</w:t>
            </w:r>
          </w:p>
        </w:tc>
        <w:tc>
          <w:tcPr>
            <w:tcW w:w="565" w:type="pct"/>
          </w:tcPr>
          <w:p w14:paraId="0A9E3E50"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international market mechanisms</w:t>
            </w:r>
          </w:p>
        </w:tc>
      </w:tr>
      <w:tr w:rsidR="00245464" w:rsidRPr="00191ACB" w14:paraId="35B38CE4" w14:textId="77777777" w:rsidTr="00A91A48">
        <w:trPr>
          <w:cnfStyle w:val="000000100000" w:firstRow="0" w:lastRow="0" w:firstColumn="0" w:lastColumn="0" w:oddVBand="0" w:evenVBand="0" w:oddHBand="1" w:evenHBand="0" w:firstRowFirstColumn="0" w:firstRowLastColumn="0" w:lastRowFirstColumn="0" w:lastRowLastColumn="0"/>
          <w:trHeight w:val="1286"/>
        </w:trPr>
        <w:tc>
          <w:tcPr>
            <w:cnfStyle w:val="001000000000" w:firstRow="0" w:lastRow="0" w:firstColumn="1" w:lastColumn="0" w:oddVBand="0" w:evenVBand="0" w:oddHBand="0" w:evenHBand="0" w:firstRowFirstColumn="0" w:firstRowLastColumn="0" w:lastRowFirstColumn="0" w:lastRowLastColumn="0"/>
            <w:tcW w:w="569" w:type="pct"/>
          </w:tcPr>
          <w:p w14:paraId="07DF6D96"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 Kasanjiku Hydro </w:t>
            </w:r>
          </w:p>
        </w:tc>
        <w:tc>
          <w:tcPr>
            <w:tcW w:w="731" w:type="pct"/>
          </w:tcPr>
          <w:p w14:paraId="217BCA9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Installation of small hydro in Kasanjiku</w:t>
            </w:r>
          </w:p>
        </w:tc>
        <w:tc>
          <w:tcPr>
            <w:tcW w:w="845" w:type="pct"/>
          </w:tcPr>
          <w:p w14:paraId="2516E38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The baseline is the use of charcoal and firewood for cooking in targeted </w:t>
            </w:r>
            <w:r w:rsidRPr="00191ACB">
              <w:rPr>
                <w:rFonts w:ascii="Times New Roman" w:eastAsia="Times New Roman" w:hAnsi="Times New Roman"/>
                <w:color w:val="000000" w:themeColor="text1"/>
                <w:sz w:val="24"/>
                <w:szCs w:val="24"/>
              </w:rPr>
              <w:t>4144</w:t>
            </w:r>
            <w:r w:rsidRPr="00191ACB">
              <w:rPr>
                <w:rFonts w:ascii="Times New Roman" w:hAnsi="Times New Roman"/>
                <w:color w:val="000000" w:themeColor="text1"/>
                <w:sz w:val="24"/>
                <w:szCs w:val="24"/>
              </w:rPr>
              <w:t xml:space="preserve"> rural households</w:t>
            </w:r>
          </w:p>
        </w:tc>
        <w:tc>
          <w:tcPr>
            <w:tcW w:w="525" w:type="pct"/>
          </w:tcPr>
          <w:p w14:paraId="7A24B85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Number of households connected to small mini-grid</w:t>
            </w:r>
          </w:p>
        </w:tc>
        <w:tc>
          <w:tcPr>
            <w:tcW w:w="525" w:type="pct"/>
          </w:tcPr>
          <w:p w14:paraId="6DC0E82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increase access to clean energy in rural areas</w:t>
            </w:r>
          </w:p>
        </w:tc>
        <w:tc>
          <w:tcPr>
            <w:tcW w:w="755" w:type="pct"/>
          </w:tcPr>
          <w:p w14:paraId="1C97E8E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Under construction</w:t>
            </w:r>
          </w:p>
          <w:p w14:paraId="0ACDD43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p>
        </w:tc>
        <w:tc>
          <w:tcPr>
            <w:tcW w:w="485" w:type="pct"/>
          </w:tcPr>
          <w:p w14:paraId="1551DDC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48.4</w:t>
            </w:r>
          </w:p>
        </w:tc>
        <w:tc>
          <w:tcPr>
            <w:tcW w:w="565" w:type="pct"/>
          </w:tcPr>
          <w:p w14:paraId="00B4DDF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27F9D210" w14:textId="77777777" w:rsidTr="00A91A48">
        <w:tc>
          <w:tcPr>
            <w:cnfStyle w:val="001000000000" w:firstRow="0" w:lastRow="0" w:firstColumn="1" w:lastColumn="0" w:oddVBand="0" w:evenVBand="0" w:oddHBand="0" w:evenHBand="0" w:firstRowFirstColumn="0" w:firstRowLastColumn="0" w:lastRowFirstColumn="0" w:lastRowLastColumn="0"/>
            <w:tcW w:w="569" w:type="pct"/>
          </w:tcPr>
          <w:p w14:paraId="4430E9F6"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Chipota Hydro</w:t>
            </w:r>
          </w:p>
        </w:tc>
        <w:tc>
          <w:tcPr>
            <w:tcW w:w="731" w:type="pct"/>
          </w:tcPr>
          <w:p w14:paraId="238C4D39"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Installation of Chipota Mini Hydro Power Plant on Chipota </w:t>
            </w:r>
            <w:r w:rsidRPr="00191ACB">
              <w:rPr>
                <w:rFonts w:ascii="Times New Roman" w:hAnsi="Times New Roman"/>
                <w:color w:val="000000" w:themeColor="text1"/>
                <w:sz w:val="24"/>
                <w:szCs w:val="24"/>
              </w:rPr>
              <w:lastRenderedPageBreak/>
              <w:t xml:space="preserve">Falls of Serenje District in Central Province aimed at increasing the rural community`s access to electricity </w:t>
            </w:r>
          </w:p>
        </w:tc>
        <w:tc>
          <w:tcPr>
            <w:tcW w:w="845" w:type="pct"/>
          </w:tcPr>
          <w:p w14:paraId="587B48C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lastRenderedPageBreak/>
              <w:t xml:space="preserve">The baseline is the use of charcoal and firewood for cooking in targeted </w:t>
            </w:r>
            <w:r w:rsidRPr="00191ACB">
              <w:rPr>
                <w:rFonts w:ascii="Times New Roman" w:hAnsi="Times New Roman"/>
                <w:color w:val="000000" w:themeColor="text1"/>
                <w:sz w:val="24"/>
                <w:szCs w:val="24"/>
              </w:rPr>
              <w:lastRenderedPageBreak/>
              <w:t>11,206 rural households</w:t>
            </w:r>
          </w:p>
        </w:tc>
        <w:tc>
          <w:tcPr>
            <w:tcW w:w="525" w:type="pct"/>
          </w:tcPr>
          <w:p w14:paraId="0CA4595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lastRenderedPageBreak/>
              <w:t xml:space="preserve">Number of households connected to small hydro </w:t>
            </w:r>
            <w:r w:rsidRPr="00191ACB">
              <w:rPr>
                <w:rFonts w:ascii="Times New Roman" w:hAnsi="Times New Roman"/>
                <w:color w:val="000000" w:themeColor="text1"/>
                <w:sz w:val="24"/>
                <w:szCs w:val="24"/>
                <w:lang w:eastAsia="x-none"/>
              </w:rPr>
              <w:lastRenderedPageBreak/>
              <w:t>mini-grid</w:t>
            </w:r>
          </w:p>
        </w:tc>
        <w:tc>
          <w:tcPr>
            <w:tcW w:w="525" w:type="pct"/>
          </w:tcPr>
          <w:p w14:paraId="1804C816"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lastRenderedPageBreak/>
              <w:t>To increase access to clean energy in rural areas</w:t>
            </w:r>
          </w:p>
        </w:tc>
        <w:tc>
          <w:tcPr>
            <w:tcW w:w="755" w:type="pct"/>
          </w:tcPr>
          <w:p w14:paraId="0A7CA72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Under construction</w:t>
            </w:r>
          </w:p>
          <w:p w14:paraId="6B25F8C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p>
        </w:tc>
        <w:tc>
          <w:tcPr>
            <w:tcW w:w="485" w:type="pct"/>
          </w:tcPr>
          <w:p w14:paraId="2AC5FA8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131.0</w:t>
            </w:r>
          </w:p>
        </w:tc>
        <w:tc>
          <w:tcPr>
            <w:tcW w:w="565" w:type="pct"/>
          </w:tcPr>
          <w:p w14:paraId="08290036"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No carbon trading under the project</w:t>
            </w:r>
          </w:p>
        </w:tc>
      </w:tr>
    </w:tbl>
    <w:p w14:paraId="35FC7D5D"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lang w:eastAsia="x-none"/>
        </w:rPr>
      </w:pPr>
    </w:p>
    <w:p w14:paraId="3262328D" w14:textId="77777777" w:rsidR="00DB6786" w:rsidRPr="00191ACB" w:rsidRDefault="00DB6786" w:rsidP="00245464">
      <w:pPr>
        <w:spacing w:after="0" w:line="240" w:lineRule="auto"/>
        <w:jc w:val="both"/>
        <w:rPr>
          <w:rFonts w:ascii="Times New Roman" w:eastAsia="Times New Roman" w:hAnsi="Times New Roman" w:cs="Times New Roman"/>
          <w:color w:val="000000" w:themeColor="text1"/>
          <w:sz w:val="24"/>
          <w:szCs w:val="24"/>
          <w:lang w:eastAsia="x-none"/>
        </w:rPr>
      </w:pPr>
    </w:p>
    <w:p w14:paraId="7C3A15EC"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lang w:eastAsia="x-none"/>
        </w:rPr>
      </w:pPr>
    </w:p>
    <w:p w14:paraId="5B68029B" w14:textId="4AA2EEFE" w:rsidR="00245464" w:rsidRPr="00191ACB" w:rsidRDefault="00245464" w:rsidP="00D21C5B">
      <w:pPr>
        <w:pStyle w:val="Heading4"/>
        <w:numPr>
          <w:ilvl w:val="3"/>
          <w:numId w:val="36"/>
        </w:numPr>
        <w:ind w:left="851" w:hanging="851"/>
      </w:pPr>
      <w:bookmarkStart w:id="395" w:name="_Toc26264939"/>
      <w:r w:rsidRPr="00191ACB">
        <w:t>Mitigation Actions from Electricity Generation-On Grid</w:t>
      </w:r>
      <w:bookmarkEnd w:id="395"/>
    </w:p>
    <w:p w14:paraId="4038E886" w14:textId="00F41C11" w:rsidR="00245464" w:rsidRPr="00191ACB"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total installed capacity of the recently completed and planned schemes for on-grid electricity generation is 6,734 MW. Consultations with ZESCO revealed that planned hydro schemes for </w:t>
      </w:r>
      <w:r w:rsidRPr="00191ACB">
        <w:rPr>
          <w:rFonts w:ascii="Times New Roman" w:eastAsia="Times New Roman" w:hAnsi="Times New Roman" w:cs="Times New Roman"/>
          <w:color w:val="000000" w:themeColor="text1"/>
          <w:sz w:val="24"/>
          <w:szCs w:val="24"/>
        </w:rPr>
        <w:t xml:space="preserve">Kafue Gorge Lower, Batoka, Luapula, and Kalungwishi are expected to be completed before 2030. However, planned hydro power schemes such as Kabwelume Falls, Kundabwika Falls, Luchenene, Mambilima Falls Site I, Mkushi, Mumbotuta, and Mutinondo do not have indication on anticipated completion date. As part of mitigation analysis the projects whose anticipated completion date was not indicated, had completion date staggered between 2030 and 2050. </w:t>
      </w:r>
      <w:r w:rsidRPr="00191ACB">
        <w:rPr>
          <w:rFonts w:ascii="Times New Roman" w:eastAsia="Calibri" w:hAnsi="Times New Roman" w:cs="Times New Roman"/>
          <w:color w:val="000000" w:themeColor="text1"/>
          <w:sz w:val="24"/>
          <w:szCs w:val="24"/>
        </w:rPr>
        <w:t>It was further assumed that all the planned schemes will be connected to the National Grid and thus the baseline is the Southern African Power Pool (SAPP). The emission factor used to calculate projected emissions reduction under this mitigation action was the regional emission factor for operating margin 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for the project electricity system (0.9958 tCO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/MWh). The capacity factor for hydro was assumed to be 0.45, while that of biomass electricity generation was 0.55.</w:t>
      </w:r>
      <w:r w:rsidRPr="00191ACB">
        <w:rPr>
          <w:rFonts w:ascii="Times New Roman" w:eastAsia="Times New Roman" w:hAnsi="Times New Roman" w:cs="Times New Roman"/>
          <w:color w:val="000000" w:themeColor="text1"/>
          <w:sz w:val="24"/>
          <w:szCs w:val="24"/>
        </w:rPr>
        <w:t xml:space="preserve"> Based on the above</w:t>
      </w:r>
      <w:r w:rsidR="004A054E" w:rsidRPr="00191ACB">
        <w:rPr>
          <w:rFonts w:ascii="Times New Roman" w:eastAsia="Times New Roman" w:hAnsi="Times New Roman" w:cs="Times New Roman"/>
          <w:color w:val="000000" w:themeColor="text1"/>
          <w:sz w:val="24"/>
          <w:szCs w:val="24"/>
        </w:rPr>
        <w:t>-</w:t>
      </w:r>
      <w:r w:rsidRPr="00191ACB">
        <w:rPr>
          <w:rFonts w:ascii="Times New Roman" w:eastAsia="Times New Roman" w:hAnsi="Times New Roman" w:cs="Times New Roman"/>
          <w:color w:val="000000" w:themeColor="text1"/>
          <w:sz w:val="24"/>
          <w:szCs w:val="24"/>
        </w:rPr>
        <w:t xml:space="preserve">mentioned assumptions and other parameters, emissions reductions from electricity generation were projected to increase from </w:t>
      </w:r>
      <w:r w:rsidRPr="00191ACB">
        <w:rPr>
          <w:rFonts w:ascii="Times New Roman" w:eastAsia="Times New Roman" w:hAnsi="Times New Roman" w:cs="Times New Roman"/>
          <w:bCs/>
          <w:color w:val="000000" w:themeColor="text1"/>
          <w:sz w:val="24"/>
          <w:szCs w:val="24"/>
        </w:rPr>
        <w:t>1417.09</w:t>
      </w:r>
      <w:r w:rsidRPr="00191ACB">
        <w:rPr>
          <w:rFonts w:ascii="Times New Roman" w:eastAsia="Times New Roman"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2015 to </w:t>
      </w:r>
      <w:r w:rsidRPr="00191ACB">
        <w:rPr>
          <w:rFonts w:ascii="Times New Roman" w:eastAsia="Times New Roman" w:hAnsi="Times New Roman" w:cs="Times New Roman"/>
          <w:bCs/>
          <w:color w:val="000000" w:themeColor="text1"/>
          <w:sz w:val="24"/>
          <w:szCs w:val="24"/>
        </w:rPr>
        <w:t>26,437.43</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 xml:space="preserve">2 eq. </w:t>
      </w:r>
      <w:r w:rsidRPr="00191ACB">
        <w:rPr>
          <w:rFonts w:ascii="Times New Roman" w:eastAsia="Calibri" w:hAnsi="Times New Roman" w:cs="Times New Roman"/>
          <w:color w:val="000000" w:themeColor="text1"/>
          <w:sz w:val="24"/>
          <w:szCs w:val="24"/>
        </w:rPr>
        <w:t>in 2050</w:t>
      </w:r>
      <w:r w:rsidR="005B5FDA"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w:t>
      </w:r>
      <w:r w:rsidR="00501324" w:rsidRPr="00191ACB">
        <w:rPr>
          <w:rFonts w:ascii="Times New Roman" w:eastAsia="Calibri" w:hAnsi="Times New Roman" w:cs="Times New Roman"/>
          <w:color w:val="000000" w:themeColor="text1"/>
          <w:sz w:val="24"/>
          <w:szCs w:val="24"/>
        </w:rPr>
        <w:t>Table 4.22</w:t>
      </w:r>
      <w:r w:rsidRPr="00191ACB">
        <w:rPr>
          <w:rFonts w:ascii="Times New Roman" w:eastAsia="Calibri" w:hAnsi="Times New Roman" w:cs="Times New Roman"/>
          <w:color w:val="000000" w:themeColor="text1"/>
          <w:sz w:val="24"/>
          <w:szCs w:val="24"/>
        </w:rPr>
        <w:t>).</w:t>
      </w:r>
    </w:p>
    <w:p w14:paraId="758849BF" w14:textId="77777777" w:rsidR="004A054E" w:rsidRPr="00191ACB" w:rsidRDefault="004A054E" w:rsidP="005E626A">
      <w:pPr>
        <w:spacing w:after="120" w:line="240" w:lineRule="auto"/>
        <w:jc w:val="both"/>
        <w:rPr>
          <w:rFonts w:ascii="Times New Roman" w:eastAsia="Calibri" w:hAnsi="Times New Roman" w:cs="Times New Roman"/>
          <w:color w:val="000000" w:themeColor="text1"/>
          <w:sz w:val="24"/>
          <w:szCs w:val="24"/>
        </w:rPr>
        <w:sectPr w:rsidR="004A054E" w:rsidRPr="00191ACB" w:rsidSect="004A054E">
          <w:pgSz w:w="11909" w:h="16834" w:code="9"/>
          <w:pgMar w:top="862" w:right="1440" w:bottom="862" w:left="720" w:header="720" w:footer="720" w:gutter="0"/>
          <w:cols w:space="720"/>
          <w:docGrid w:linePitch="360"/>
        </w:sectPr>
      </w:pPr>
    </w:p>
    <w:p w14:paraId="623D2BF4" w14:textId="3855F823" w:rsidR="00245464" w:rsidRPr="00191ACB" w:rsidRDefault="00C319A4" w:rsidP="00C319A4">
      <w:pPr>
        <w:pStyle w:val="Caption"/>
        <w:rPr>
          <w:rFonts w:eastAsia="Calibri"/>
          <w:color w:val="000000" w:themeColor="text1"/>
          <w:sz w:val="24"/>
          <w:szCs w:val="24"/>
          <w:vertAlign w:val="subscript"/>
        </w:rPr>
      </w:pPr>
      <w:bookmarkStart w:id="396" w:name="_Toc56583798"/>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22</w:t>
      </w:r>
      <w:r w:rsidR="00875942">
        <w:rPr>
          <w:sz w:val="24"/>
          <w:szCs w:val="24"/>
        </w:rPr>
        <w:fldChar w:fldCharType="end"/>
      </w:r>
      <w:r w:rsidRPr="00191ACB">
        <w:rPr>
          <w:sz w:val="24"/>
          <w:szCs w:val="24"/>
        </w:rPr>
        <w:t>:Emission reduction potential for on-grid electricity generation Gg CO2 eq</w:t>
      </w:r>
      <w:bookmarkEnd w:id="396"/>
    </w:p>
    <w:tbl>
      <w:tblPr>
        <w:tblW w:w="5000" w:type="pct"/>
        <w:tblLayout w:type="fixed"/>
        <w:tblLook w:val="04A0" w:firstRow="1" w:lastRow="0" w:firstColumn="1" w:lastColumn="0" w:noHBand="0" w:noVBand="1"/>
      </w:tblPr>
      <w:tblGrid>
        <w:gridCol w:w="1982"/>
        <w:gridCol w:w="952"/>
        <w:gridCol w:w="1653"/>
        <w:gridCol w:w="655"/>
        <w:gridCol w:w="1051"/>
        <w:gridCol w:w="1365"/>
        <w:gridCol w:w="1259"/>
        <w:gridCol w:w="1151"/>
        <w:gridCol w:w="1154"/>
        <w:gridCol w:w="1154"/>
        <w:gridCol w:w="1365"/>
        <w:gridCol w:w="1359"/>
      </w:tblGrid>
      <w:tr w:rsidR="00245464" w:rsidRPr="006A1C90" w14:paraId="1EBD0613" w14:textId="77777777" w:rsidTr="00A91A48">
        <w:trPr>
          <w:trHeight w:val="300"/>
          <w:tblHeader/>
        </w:trPr>
        <w:tc>
          <w:tcPr>
            <w:tcW w:w="6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CC1039" w14:textId="77777777" w:rsidR="00245464" w:rsidRPr="006A1C90" w:rsidRDefault="00245464" w:rsidP="00245464">
            <w:pPr>
              <w:spacing w:after="0" w:line="240" w:lineRule="auto"/>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Project</w:t>
            </w:r>
          </w:p>
        </w:tc>
        <w:tc>
          <w:tcPr>
            <w:tcW w:w="315" w:type="pct"/>
            <w:tcBorders>
              <w:top w:val="single" w:sz="4" w:space="0" w:color="auto"/>
              <w:left w:val="nil"/>
              <w:bottom w:val="single" w:sz="4" w:space="0" w:color="auto"/>
              <w:right w:val="single" w:sz="4" w:space="0" w:color="auto"/>
            </w:tcBorders>
            <w:shd w:val="clear" w:color="auto" w:fill="auto"/>
            <w:noWrap/>
            <w:vAlign w:val="bottom"/>
            <w:hideMark/>
          </w:tcPr>
          <w:p w14:paraId="329739B8" w14:textId="77777777" w:rsidR="00245464" w:rsidRPr="006A1C90" w:rsidRDefault="00245464" w:rsidP="00245464">
            <w:pPr>
              <w:spacing w:after="0" w:line="240" w:lineRule="auto"/>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Capacity (MW)</w:t>
            </w:r>
          </w:p>
        </w:tc>
        <w:tc>
          <w:tcPr>
            <w:tcW w:w="547" w:type="pct"/>
            <w:tcBorders>
              <w:top w:val="single" w:sz="4" w:space="0" w:color="auto"/>
              <w:left w:val="nil"/>
              <w:bottom w:val="single" w:sz="4" w:space="0" w:color="auto"/>
              <w:right w:val="single" w:sz="4" w:space="0" w:color="auto"/>
            </w:tcBorders>
            <w:shd w:val="clear" w:color="auto" w:fill="auto"/>
            <w:noWrap/>
            <w:vAlign w:val="bottom"/>
            <w:hideMark/>
          </w:tcPr>
          <w:p w14:paraId="6E8E079B" w14:textId="77777777" w:rsidR="00245464" w:rsidRPr="006A1C90" w:rsidRDefault="00245464" w:rsidP="00245464">
            <w:pPr>
              <w:spacing w:after="0" w:line="240" w:lineRule="auto"/>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Annual Energy Units Generated (MWh)</w:t>
            </w:r>
          </w:p>
        </w:tc>
        <w:tc>
          <w:tcPr>
            <w:tcW w:w="217" w:type="pct"/>
            <w:tcBorders>
              <w:top w:val="single" w:sz="4" w:space="0" w:color="auto"/>
              <w:left w:val="nil"/>
              <w:bottom w:val="single" w:sz="4" w:space="0" w:color="auto"/>
              <w:right w:val="single" w:sz="4" w:space="0" w:color="auto"/>
            </w:tcBorders>
            <w:shd w:val="clear" w:color="auto" w:fill="auto"/>
            <w:noWrap/>
            <w:vAlign w:val="bottom"/>
            <w:hideMark/>
          </w:tcPr>
          <w:p w14:paraId="59C6B540" w14:textId="77777777" w:rsidR="00245464" w:rsidRPr="006A1C90" w:rsidRDefault="00245464" w:rsidP="00245464">
            <w:pPr>
              <w:spacing w:after="0" w:line="240" w:lineRule="auto"/>
              <w:jc w:val="right"/>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2010</w:t>
            </w:r>
          </w:p>
        </w:tc>
        <w:tc>
          <w:tcPr>
            <w:tcW w:w="348" w:type="pct"/>
            <w:tcBorders>
              <w:top w:val="single" w:sz="4" w:space="0" w:color="auto"/>
              <w:left w:val="nil"/>
              <w:bottom w:val="single" w:sz="4" w:space="0" w:color="auto"/>
              <w:right w:val="single" w:sz="4" w:space="0" w:color="auto"/>
            </w:tcBorders>
            <w:shd w:val="clear" w:color="auto" w:fill="auto"/>
            <w:noWrap/>
            <w:vAlign w:val="bottom"/>
            <w:hideMark/>
          </w:tcPr>
          <w:p w14:paraId="3724407A" w14:textId="77777777" w:rsidR="00245464" w:rsidRPr="006A1C90" w:rsidRDefault="00245464" w:rsidP="00245464">
            <w:pPr>
              <w:spacing w:after="0" w:line="240" w:lineRule="auto"/>
              <w:jc w:val="right"/>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2015</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04CA5533" w14:textId="77777777" w:rsidR="00245464" w:rsidRPr="006A1C90" w:rsidRDefault="00245464" w:rsidP="00245464">
            <w:pPr>
              <w:spacing w:after="0" w:line="240" w:lineRule="auto"/>
              <w:jc w:val="right"/>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2020</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14:paraId="613346F0" w14:textId="77777777" w:rsidR="00245464" w:rsidRPr="006A1C90" w:rsidRDefault="00245464" w:rsidP="00245464">
            <w:pPr>
              <w:spacing w:after="0" w:line="240" w:lineRule="auto"/>
              <w:jc w:val="right"/>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2025</w:t>
            </w:r>
          </w:p>
        </w:tc>
        <w:tc>
          <w:tcPr>
            <w:tcW w:w="381" w:type="pct"/>
            <w:tcBorders>
              <w:top w:val="single" w:sz="4" w:space="0" w:color="auto"/>
              <w:left w:val="nil"/>
              <w:bottom w:val="single" w:sz="4" w:space="0" w:color="auto"/>
              <w:right w:val="single" w:sz="4" w:space="0" w:color="auto"/>
            </w:tcBorders>
            <w:shd w:val="clear" w:color="auto" w:fill="auto"/>
            <w:noWrap/>
            <w:vAlign w:val="bottom"/>
            <w:hideMark/>
          </w:tcPr>
          <w:p w14:paraId="073554FC" w14:textId="77777777" w:rsidR="00245464" w:rsidRPr="006A1C90" w:rsidRDefault="00245464" w:rsidP="00245464">
            <w:pPr>
              <w:spacing w:after="0" w:line="240" w:lineRule="auto"/>
              <w:jc w:val="right"/>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2030</w:t>
            </w:r>
          </w:p>
        </w:tc>
        <w:tc>
          <w:tcPr>
            <w:tcW w:w="382" w:type="pct"/>
            <w:tcBorders>
              <w:top w:val="single" w:sz="4" w:space="0" w:color="auto"/>
              <w:left w:val="nil"/>
              <w:bottom w:val="single" w:sz="4" w:space="0" w:color="auto"/>
              <w:right w:val="single" w:sz="4" w:space="0" w:color="auto"/>
            </w:tcBorders>
            <w:shd w:val="clear" w:color="auto" w:fill="auto"/>
            <w:noWrap/>
            <w:vAlign w:val="bottom"/>
            <w:hideMark/>
          </w:tcPr>
          <w:p w14:paraId="2409FB53" w14:textId="77777777" w:rsidR="00245464" w:rsidRPr="006A1C90" w:rsidRDefault="00245464" w:rsidP="00245464">
            <w:pPr>
              <w:spacing w:after="0" w:line="240" w:lineRule="auto"/>
              <w:jc w:val="right"/>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2035</w:t>
            </w:r>
          </w:p>
        </w:tc>
        <w:tc>
          <w:tcPr>
            <w:tcW w:w="382" w:type="pct"/>
            <w:tcBorders>
              <w:top w:val="single" w:sz="4" w:space="0" w:color="auto"/>
              <w:left w:val="nil"/>
              <w:bottom w:val="single" w:sz="4" w:space="0" w:color="auto"/>
              <w:right w:val="single" w:sz="4" w:space="0" w:color="auto"/>
            </w:tcBorders>
            <w:shd w:val="clear" w:color="auto" w:fill="auto"/>
            <w:noWrap/>
            <w:vAlign w:val="bottom"/>
            <w:hideMark/>
          </w:tcPr>
          <w:p w14:paraId="2DFB6656" w14:textId="77777777" w:rsidR="00245464" w:rsidRPr="006A1C90" w:rsidRDefault="00245464" w:rsidP="00245464">
            <w:pPr>
              <w:spacing w:after="0" w:line="240" w:lineRule="auto"/>
              <w:jc w:val="right"/>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2040</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091BA26" w14:textId="77777777" w:rsidR="00245464" w:rsidRPr="006A1C90" w:rsidRDefault="00245464" w:rsidP="00245464">
            <w:pPr>
              <w:spacing w:after="0" w:line="240" w:lineRule="auto"/>
              <w:jc w:val="right"/>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2045</w:t>
            </w:r>
          </w:p>
        </w:tc>
        <w:tc>
          <w:tcPr>
            <w:tcW w:w="450" w:type="pct"/>
            <w:tcBorders>
              <w:top w:val="single" w:sz="4" w:space="0" w:color="auto"/>
              <w:left w:val="nil"/>
              <w:bottom w:val="single" w:sz="4" w:space="0" w:color="auto"/>
              <w:right w:val="single" w:sz="4" w:space="0" w:color="auto"/>
            </w:tcBorders>
            <w:shd w:val="clear" w:color="auto" w:fill="auto"/>
            <w:noWrap/>
            <w:vAlign w:val="bottom"/>
            <w:hideMark/>
          </w:tcPr>
          <w:p w14:paraId="119F1388" w14:textId="77777777" w:rsidR="00245464" w:rsidRPr="006A1C90" w:rsidRDefault="00245464" w:rsidP="00245464">
            <w:pPr>
              <w:spacing w:after="0" w:line="240" w:lineRule="auto"/>
              <w:jc w:val="right"/>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2050</w:t>
            </w:r>
          </w:p>
        </w:tc>
      </w:tr>
      <w:tr w:rsidR="00245464" w:rsidRPr="006A1C90" w14:paraId="7F300FEE"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549ECD2F"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Kafue Gorge Lower</w:t>
            </w:r>
          </w:p>
        </w:tc>
        <w:tc>
          <w:tcPr>
            <w:tcW w:w="315" w:type="pct"/>
            <w:tcBorders>
              <w:top w:val="nil"/>
              <w:left w:val="nil"/>
              <w:bottom w:val="single" w:sz="4" w:space="0" w:color="auto"/>
              <w:right w:val="single" w:sz="4" w:space="0" w:color="auto"/>
            </w:tcBorders>
            <w:shd w:val="clear" w:color="auto" w:fill="auto"/>
            <w:noWrap/>
            <w:vAlign w:val="bottom"/>
            <w:hideMark/>
          </w:tcPr>
          <w:p w14:paraId="6B326C7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750</w:t>
            </w:r>
          </w:p>
        </w:tc>
        <w:tc>
          <w:tcPr>
            <w:tcW w:w="547" w:type="pct"/>
            <w:tcBorders>
              <w:top w:val="nil"/>
              <w:left w:val="nil"/>
              <w:bottom w:val="single" w:sz="4" w:space="0" w:color="auto"/>
              <w:right w:val="single" w:sz="4" w:space="0" w:color="auto"/>
            </w:tcBorders>
            <w:shd w:val="clear" w:color="auto" w:fill="auto"/>
            <w:noWrap/>
            <w:vAlign w:val="bottom"/>
            <w:hideMark/>
          </w:tcPr>
          <w:p w14:paraId="08775298" w14:textId="73F0C2EA"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w:t>
            </w:r>
            <w:r w:rsidR="004A054E" w:rsidRPr="006A1C90">
              <w:rPr>
                <w:rFonts w:ascii="Times New Roman" w:eastAsia="Times New Roman" w:hAnsi="Times New Roman" w:cs="Times New Roman"/>
                <w:color w:val="000000" w:themeColor="text1"/>
                <w:sz w:val="20"/>
                <w:szCs w:val="20"/>
              </w:rPr>
              <w:t>,</w:t>
            </w:r>
            <w:r w:rsidRPr="006A1C90">
              <w:rPr>
                <w:rFonts w:ascii="Times New Roman" w:eastAsia="Times New Roman" w:hAnsi="Times New Roman" w:cs="Times New Roman"/>
                <w:color w:val="000000" w:themeColor="text1"/>
                <w:sz w:val="20"/>
                <w:szCs w:val="20"/>
              </w:rPr>
              <w:t>956</w:t>
            </w:r>
            <w:r w:rsidR="004A054E" w:rsidRPr="006A1C90">
              <w:rPr>
                <w:rFonts w:ascii="Times New Roman" w:eastAsia="Times New Roman" w:hAnsi="Times New Roman" w:cs="Times New Roman"/>
                <w:color w:val="000000" w:themeColor="text1"/>
                <w:sz w:val="20"/>
                <w:szCs w:val="20"/>
              </w:rPr>
              <w:t>,</w:t>
            </w:r>
            <w:r w:rsidRPr="006A1C90">
              <w:rPr>
                <w:rFonts w:ascii="Times New Roman" w:eastAsia="Times New Roman" w:hAnsi="Times New Roman" w:cs="Times New Roman"/>
                <w:color w:val="000000" w:themeColor="text1"/>
                <w:sz w:val="20"/>
                <w:szCs w:val="20"/>
              </w:rPr>
              <w:t>500</w:t>
            </w:r>
          </w:p>
        </w:tc>
        <w:tc>
          <w:tcPr>
            <w:tcW w:w="217" w:type="pct"/>
            <w:tcBorders>
              <w:top w:val="nil"/>
              <w:left w:val="nil"/>
              <w:bottom w:val="single" w:sz="4" w:space="0" w:color="auto"/>
              <w:right w:val="single" w:sz="4" w:space="0" w:color="auto"/>
            </w:tcBorders>
            <w:shd w:val="clear" w:color="auto" w:fill="auto"/>
            <w:noWrap/>
            <w:vAlign w:val="bottom"/>
            <w:hideMark/>
          </w:tcPr>
          <w:p w14:paraId="64A84A6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273AA88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105F565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347F727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2944.1</w:t>
            </w:r>
          </w:p>
        </w:tc>
        <w:tc>
          <w:tcPr>
            <w:tcW w:w="381" w:type="pct"/>
            <w:tcBorders>
              <w:top w:val="nil"/>
              <w:left w:val="nil"/>
              <w:bottom w:val="single" w:sz="4" w:space="0" w:color="auto"/>
              <w:right w:val="single" w:sz="4" w:space="0" w:color="auto"/>
            </w:tcBorders>
            <w:shd w:val="clear" w:color="auto" w:fill="auto"/>
            <w:noWrap/>
            <w:vAlign w:val="bottom"/>
            <w:hideMark/>
          </w:tcPr>
          <w:p w14:paraId="1857F21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2944.1</w:t>
            </w:r>
          </w:p>
        </w:tc>
        <w:tc>
          <w:tcPr>
            <w:tcW w:w="382" w:type="pct"/>
            <w:tcBorders>
              <w:top w:val="nil"/>
              <w:left w:val="nil"/>
              <w:bottom w:val="single" w:sz="4" w:space="0" w:color="auto"/>
              <w:right w:val="single" w:sz="4" w:space="0" w:color="auto"/>
            </w:tcBorders>
            <w:shd w:val="clear" w:color="auto" w:fill="auto"/>
            <w:noWrap/>
            <w:vAlign w:val="bottom"/>
            <w:hideMark/>
          </w:tcPr>
          <w:p w14:paraId="00EE22B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2944.1</w:t>
            </w:r>
          </w:p>
        </w:tc>
        <w:tc>
          <w:tcPr>
            <w:tcW w:w="382" w:type="pct"/>
            <w:tcBorders>
              <w:top w:val="nil"/>
              <w:left w:val="nil"/>
              <w:bottom w:val="single" w:sz="4" w:space="0" w:color="auto"/>
              <w:right w:val="single" w:sz="4" w:space="0" w:color="auto"/>
            </w:tcBorders>
            <w:shd w:val="clear" w:color="auto" w:fill="auto"/>
            <w:noWrap/>
            <w:vAlign w:val="bottom"/>
            <w:hideMark/>
          </w:tcPr>
          <w:p w14:paraId="4AB5695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2944.1</w:t>
            </w:r>
          </w:p>
        </w:tc>
        <w:tc>
          <w:tcPr>
            <w:tcW w:w="452" w:type="pct"/>
            <w:tcBorders>
              <w:top w:val="nil"/>
              <w:left w:val="nil"/>
              <w:bottom w:val="single" w:sz="4" w:space="0" w:color="auto"/>
              <w:right w:val="single" w:sz="4" w:space="0" w:color="auto"/>
            </w:tcBorders>
            <w:shd w:val="clear" w:color="auto" w:fill="auto"/>
            <w:noWrap/>
            <w:vAlign w:val="bottom"/>
            <w:hideMark/>
          </w:tcPr>
          <w:p w14:paraId="2C98142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2944.1</w:t>
            </w:r>
          </w:p>
        </w:tc>
        <w:tc>
          <w:tcPr>
            <w:tcW w:w="450" w:type="pct"/>
            <w:tcBorders>
              <w:top w:val="nil"/>
              <w:left w:val="nil"/>
              <w:bottom w:val="single" w:sz="4" w:space="0" w:color="auto"/>
              <w:right w:val="single" w:sz="4" w:space="0" w:color="auto"/>
            </w:tcBorders>
            <w:shd w:val="clear" w:color="auto" w:fill="auto"/>
            <w:noWrap/>
            <w:vAlign w:val="bottom"/>
            <w:hideMark/>
          </w:tcPr>
          <w:p w14:paraId="614A6C7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2944.1</w:t>
            </w:r>
          </w:p>
        </w:tc>
      </w:tr>
      <w:tr w:rsidR="00245464" w:rsidRPr="006A1C90" w14:paraId="6C33B7F7"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71E02394"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Batoka (Build operate &amp; transfer)</w:t>
            </w:r>
          </w:p>
        </w:tc>
        <w:tc>
          <w:tcPr>
            <w:tcW w:w="315" w:type="pct"/>
            <w:tcBorders>
              <w:top w:val="nil"/>
              <w:left w:val="nil"/>
              <w:bottom w:val="single" w:sz="4" w:space="0" w:color="auto"/>
              <w:right w:val="single" w:sz="4" w:space="0" w:color="auto"/>
            </w:tcBorders>
            <w:shd w:val="clear" w:color="auto" w:fill="auto"/>
            <w:noWrap/>
            <w:vAlign w:val="bottom"/>
            <w:hideMark/>
          </w:tcPr>
          <w:p w14:paraId="3EC1EA5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1200</w:t>
            </w:r>
          </w:p>
        </w:tc>
        <w:tc>
          <w:tcPr>
            <w:tcW w:w="547" w:type="pct"/>
            <w:tcBorders>
              <w:top w:val="nil"/>
              <w:left w:val="nil"/>
              <w:bottom w:val="single" w:sz="4" w:space="0" w:color="auto"/>
              <w:right w:val="single" w:sz="4" w:space="0" w:color="auto"/>
            </w:tcBorders>
            <w:shd w:val="clear" w:color="auto" w:fill="auto"/>
            <w:noWrap/>
            <w:vAlign w:val="bottom"/>
            <w:hideMark/>
          </w:tcPr>
          <w:p w14:paraId="3048C68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4730400</w:t>
            </w:r>
          </w:p>
        </w:tc>
        <w:tc>
          <w:tcPr>
            <w:tcW w:w="217" w:type="pct"/>
            <w:tcBorders>
              <w:top w:val="nil"/>
              <w:left w:val="nil"/>
              <w:bottom w:val="single" w:sz="4" w:space="0" w:color="auto"/>
              <w:right w:val="single" w:sz="4" w:space="0" w:color="auto"/>
            </w:tcBorders>
            <w:shd w:val="clear" w:color="auto" w:fill="auto"/>
            <w:noWrap/>
            <w:vAlign w:val="bottom"/>
            <w:hideMark/>
          </w:tcPr>
          <w:p w14:paraId="72F5139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3EFD6CE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1B48E80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56F9971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40269C6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4710.5</w:t>
            </w:r>
          </w:p>
        </w:tc>
        <w:tc>
          <w:tcPr>
            <w:tcW w:w="382" w:type="pct"/>
            <w:tcBorders>
              <w:top w:val="nil"/>
              <w:left w:val="nil"/>
              <w:bottom w:val="single" w:sz="4" w:space="0" w:color="auto"/>
              <w:right w:val="single" w:sz="4" w:space="0" w:color="auto"/>
            </w:tcBorders>
            <w:shd w:val="clear" w:color="auto" w:fill="auto"/>
            <w:noWrap/>
            <w:vAlign w:val="bottom"/>
            <w:hideMark/>
          </w:tcPr>
          <w:p w14:paraId="244A309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4710.5</w:t>
            </w:r>
          </w:p>
        </w:tc>
        <w:tc>
          <w:tcPr>
            <w:tcW w:w="382" w:type="pct"/>
            <w:tcBorders>
              <w:top w:val="nil"/>
              <w:left w:val="nil"/>
              <w:bottom w:val="single" w:sz="4" w:space="0" w:color="auto"/>
              <w:right w:val="single" w:sz="4" w:space="0" w:color="auto"/>
            </w:tcBorders>
            <w:shd w:val="clear" w:color="auto" w:fill="auto"/>
            <w:noWrap/>
            <w:vAlign w:val="bottom"/>
            <w:hideMark/>
          </w:tcPr>
          <w:p w14:paraId="4D362A2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4710.5</w:t>
            </w:r>
          </w:p>
        </w:tc>
        <w:tc>
          <w:tcPr>
            <w:tcW w:w="452" w:type="pct"/>
            <w:tcBorders>
              <w:top w:val="nil"/>
              <w:left w:val="nil"/>
              <w:bottom w:val="single" w:sz="4" w:space="0" w:color="auto"/>
              <w:right w:val="single" w:sz="4" w:space="0" w:color="auto"/>
            </w:tcBorders>
            <w:shd w:val="clear" w:color="auto" w:fill="auto"/>
            <w:noWrap/>
            <w:vAlign w:val="bottom"/>
            <w:hideMark/>
          </w:tcPr>
          <w:p w14:paraId="31FB0CB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4710.5</w:t>
            </w:r>
          </w:p>
        </w:tc>
        <w:tc>
          <w:tcPr>
            <w:tcW w:w="450" w:type="pct"/>
            <w:tcBorders>
              <w:top w:val="nil"/>
              <w:left w:val="nil"/>
              <w:bottom w:val="single" w:sz="4" w:space="0" w:color="auto"/>
              <w:right w:val="single" w:sz="4" w:space="0" w:color="auto"/>
            </w:tcBorders>
            <w:shd w:val="clear" w:color="auto" w:fill="auto"/>
            <w:noWrap/>
            <w:vAlign w:val="bottom"/>
            <w:hideMark/>
          </w:tcPr>
          <w:p w14:paraId="072331A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4710.5</w:t>
            </w:r>
          </w:p>
        </w:tc>
      </w:tr>
      <w:tr w:rsidR="00245464" w:rsidRPr="006A1C90" w14:paraId="2FA6D424"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17256DB4"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Luapula</w:t>
            </w:r>
          </w:p>
        </w:tc>
        <w:tc>
          <w:tcPr>
            <w:tcW w:w="315" w:type="pct"/>
            <w:tcBorders>
              <w:top w:val="nil"/>
              <w:left w:val="nil"/>
              <w:bottom w:val="single" w:sz="4" w:space="0" w:color="auto"/>
              <w:right w:val="single" w:sz="4" w:space="0" w:color="auto"/>
            </w:tcBorders>
            <w:shd w:val="clear" w:color="auto" w:fill="auto"/>
            <w:noWrap/>
            <w:vAlign w:val="bottom"/>
            <w:hideMark/>
          </w:tcPr>
          <w:p w14:paraId="11EE465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350</w:t>
            </w:r>
          </w:p>
        </w:tc>
        <w:tc>
          <w:tcPr>
            <w:tcW w:w="547" w:type="pct"/>
            <w:tcBorders>
              <w:top w:val="nil"/>
              <w:left w:val="nil"/>
              <w:bottom w:val="single" w:sz="4" w:space="0" w:color="auto"/>
              <w:right w:val="single" w:sz="4" w:space="0" w:color="auto"/>
            </w:tcBorders>
            <w:shd w:val="clear" w:color="auto" w:fill="auto"/>
            <w:noWrap/>
            <w:vAlign w:val="bottom"/>
            <w:hideMark/>
          </w:tcPr>
          <w:p w14:paraId="7D0C668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1379700</w:t>
            </w:r>
          </w:p>
        </w:tc>
        <w:tc>
          <w:tcPr>
            <w:tcW w:w="217" w:type="pct"/>
            <w:tcBorders>
              <w:top w:val="nil"/>
              <w:left w:val="nil"/>
              <w:bottom w:val="single" w:sz="4" w:space="0" w:color="auto"/>
              <w:right w:val="single" w:sz="4" w:space="0" w:color="auto"/>
            </w:tcBorders>
            <w:shd w:val="clear" w:color="auto" w:fill="auto"/>
            <w:noWrap/>
            <w:vAlign w:val="bottom"/>
            <w:hideMark/>
          </w:tcPr>
          <w:p w14:paraId="5FC6C98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682DEA3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447F970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6DD1A6D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1EFB0C0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1373.9</w:t>
            </w:r>
          </w:p>
        </w:tc>
        <w:tc>
          <w:tcPr>
            <w:tcW w:w="382" w:type="pct"/>
            <w:tcBorders>
              <w:top w:val="nil"/>
              <w:left w:val="nil"/>
              <w:bottom w:val="single" w:sz="4" w:space="0" w:color="auto"/>
              <w:right w:val="single" w:sz="4" w:space="0" w:color="auto"/>
            </w:tcBorders>
            <w:shd w:val="clear" w:color="auto" w:fill="auto"/>
            <w:noWrap/>
            <w:vAlign w:val="bottom"/>
            <w:hideMark/>
          </w:tcPr>
          <w:p w14:paraId="200A4F8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1373.9</w:t>
            </w:r>
          </w:p>
        </w:tc>
        <w:tc>
          <w:tcPr>
            <w:tcW w:w="382" w:type="pct"/>
            <w:tcBorders>
              <w:top w:val="nil"/>
              <w:left w:val="nil"/>
              <w:bottom w:val="single" w:sz="4" w:space="0" w:color="auto"/>
              <w:right w:val="single" w:sz="4" w:space="0" w:color="auto"/>
            </w:tcBorders>
            <w:shd w:val="clear" w:color="auto" w:fill="auto"/>
            <w:noWrap/>
            <w:vAlign w:val="bottom"/>
            <w:hideMark/>
          </w:tcPr>
          <w:p w14:paraId="4699AAB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1373.9</w:t>
            </w:r>
          </w:p>
        </w:tc>
        <w:tc>
          <w:tcPr>
            <w:tcW w:w="452" w:type="pct"/>
            <w:tcBorders>
              <w:top w:val="nil"/>
              <w:left w:val="nil"/>
              <w:bottom w:val="single" w:sz="4" w:space="0" w:color="auto"/>
              <w:right w:val="single" w:sz="4" w:space="0" w:color="auto"/>
            </w:tcBorders>
            <w:shd w:val="clear" w:color="auto" w:fill="auto"/>
            <w:noWrap/>
            <w:vAlign w:val="bottom"/>
            <w:hideMark/>
          </w:tcPr>
          <w:p w14:paraId="1037CD1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1373.9</w:t>
            </w:r>
          </w:p>
        </w:tc>
        <w:tc>
          <w:tcPr>
            <w:tcW w:w="450" w:type="pct"/>
            <w:tcBorders>
              <w:top w:val="nil"/>
              <w:left w:val="nil"/>
              <w:bottom w:val="single" w:sz="4" w:space="0" w:color="auto"/>
              <w:right w:val="single" w:sz="4" w:space="0" w:color="auto"/>
            </w:tcBorders>
            <w:shd w:val="clear" w:color="auto" w:fill="auto"/>
            <w:noWrap/>
            <w:vAlign w:val="bottom"/>
            <w:hideMark/>
          </w:tcPr>
          <w:p w14:paraId="47C36FD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1373.9</w:t>
            </w:r>
          </w:p>
        </w:tc>
      </w:tr>
      <w:tr w:rsidR="00245464" w:rsidRPr="006A1C90" w14:paraId="7048CFF0"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2E2529AB"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Kalungwishi</w:t>
            </w:r>
          </w:p>
        </w:tc>
        <w:tc>
          <w:tcPr>
            <w:tcW w:w="315" w:type="pct"/>
            <w:tcBorders>
              <w:top w:val="nil"/>
              <w:left w:val="nil"/>
              <w:bottom w:val="single" w:sz="4" w:space="0" w:color="auto"/>
              <w:right w:val="single" w:sz="4" w:space="0" w:color="auto"/>
            </w:tcBorders>
            <w:shd w:val="clear" w:color="auto" w:fill="auto"/>
            <w:noWrap/>
            <w:vAlign w:val="bottom"/>
            <w:hideMark/>
          </w:tcPr>
          <w:p w14:paraId="62BC4EA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200</w:t>
            </w:r>
          </w:p>
        </w:tc>
        <w:tc>
          <w:tcPr>
            <w:tcW w:w="547" w:type="pct"/>
            <w:tcBorders>
              <w:top w:val="nil"/>
              <w:left w:val="nil"/>
              <w:bottom w:val="single" w:sz="4" w:space="0" w:color="auto"/>
              <w:right w:val="single" w:sz="4" w:space="0" w:color="auto"/>
            </w:tcBorders>
            <w:shd w:val="clear" w:color="auto" w:fill="auto"/>
            <w:noWrap/>
            <w:vAlign w:val="bottom"/>
            <w:hideMark/>
          </w:tcPr>
          <w:p w14:paraId="6D21313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788400</w:t>
            </w:r>
          </w:p>
        </w:tc>
        <w:tc>
          <w:tcPr>
            <w:tcW w:w="217" w:type="pct"/>
            <w:tcBorders>
              <w:top w:val="nil"/>
              <w:left w:val="nil"/>
              <w:bottom w:val="single" w:sz="4" w:space="0" w:color="auto"/>
              <w:right w:val="single" w:sz="4" w:space="0" w:color="auto"/>
            </w:tcBorders>
            <w:shd w:val="clear" w:color="auto" w:fill="auto"/>
            <w:noWrap/>
            <w:vAlign w:val="bottom"/>
            <w:hideMark/>
          </w:tcPr>
          <w:p w14:paraId="2D6A8DD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6BD0FA4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4B1E48F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63E1F72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785.1</w:t>
            </w:r>
          </w:p>
        </w:tc>
        <w:tc>
          <w:tcPr>
            <w:tcW w:w="381" w:type="pct"/>
            <w:tcBorders>
              <w:top w:val="nil"/>
              <w:left w:val="nil"/>
              <w:bottom w:val="single" w:sz="4" w:space="0" w:color="auto"/>
              <w:right w:val="single" w:sz="4" w:space="0" w:color="auto"/>
            </w:tcBorders>
            <w:shd w:val="clear" w:color="auto" w:fill="auto"/>
            <w:noWrap/>
            <w:vAlign w:val="bottom"/>
            <w:hideMark/>
          </w:tcPr>
          <w:p w14:paraId="6ED49C8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785.1</w:t>
            </w:r>
          </w:p>
        </w:tc>
        <w:tc>
          <w:tcPr>
            <w:tcW w:w="382" w:type="pct"/>
            <w:tcBorders>
              <w:top w:val="nil"/>
              <w:left w:val="nil"/>
              <w:bottom w:val="single" w:sz="4" w:space="0" w:color="auto"/>
              <w:right w:val="single" w:sz="4" w:space="0" w:color="auto"/>
            </w:tcBorders>
            <w:shd w:val="clear" w:color="auto" w:fill="auto"/>
            <w:noWrap/>
            <w:vAlign w:val="bottom"/>
            <w:hideMark/>
          </w:tcPr>
          <w:p w14:paraId="6D864B7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785.1</w:t>
            </w:r>
          </w:p>
        </w:tc>
        <w:tc>
          <w:tcPr>
            <w:tcW w:w="382" w:type="pct"/>
            <w:tcBorders>
              <w:top w:val="nil"/>
              <w:left w:val="nil"/>
              <w:bottom w:val="single" w:sz="4" w:space="0" w:color="auto"/>
              <w:right w:val="single" w:sz="4" w:space="0" w:color="auto"/>
            </w:tcBorders>
            <w:shd w:val="clear" w:color="auto" w:fill="auto"/>
            <w:noWrap/>
            <w:vAlign w:val="bottom"/>
            <w:hideMark/>
          </w:tcPr>
          <w:p w14:paraId="540B409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785.1</w:t>
            </w:r>
          </w:p>
        </w:tc>
        <w:tc>
          <w:tcPr>
            <w:tcW w:w="452" w:type="pct"/>
            <w:tcBorders>
              <w:top w:val="nil"/>
              <w:left w:val="nil"/>
              <w:bottom w:val="single" w:sz="4" w:space="0" w:color="auto"/>
              <w:right w:val="single" w:sz="4" w:space="0" w:color="auto"/>
            </w:tcBorders>
            <w:shd w:val="clear" w:color="auto" w:fill="auto"/>
            <w:noWrap/>
            <w:vAlign w:val="bottom"/>
            <w:hideMark/>
          </w:tcPr>
          <w:p w14:paraId="4EB9F1F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785.1</w:t>
            </w:r>
          </w:p>
        </w:tc>
        <w:tc>
          <w:tcPr>
            <w:tcW w:w="450" w:type="pct"/>
            <w:tcBorders>
              <w:top w:val="nil"/>
              <w:left w:val="nil"/>
              <w:bottom w:val="single" w:sz="4" w:space="0" w:color="auto"/>
              <w:right w:val="single" w:sz="4" w:space="0" w:color="auto"/>
            </w:tcBorders>
            <w:shd w:val="clear" w:color="auto" w:fill="auto"/>
            <w:noWrap/>
            <w:vAlign w:val="bottom"/>
            <w:hideMark/>
          </w:tcPr>
          <w:p w14:paraId="4E8570E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785.1</w:t>
            </w:r>
          </w:p>
        </w:tc>
      </w:tr>
      <w:tr w:rsidR="00245464" w:rsidRPr="006A1C90" w14:paraId="4408266A"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345E26B8"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Kariba North Bank Extension</w:t>
            </w:r>
          </w:p>
        </w:tc>
        <w:tc>
          <w:tcPr>
            <w:tcW w:w="315" w:type="pct"/>
            <w:tcBorders>
              <w:top w:val="nil"/>
              <w:left w:val="nil"/>
              <w:bottom w:val="single" w:sz="4" w:space="0" w:color="auto"/>
              <w:right w:val="single" w:sz="4" w:space="0" w:color="auto"/>
            </w:tcBorders>
            <w:shd w:val="clear" w:color="auto" w:fill="auto"/>
            <w:noWrap/>
            <w:vAlign w:val="bottom"/>
            <w:hideMark/>
          </w:tcPr>
          <w:p w14:paraId="1B00367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360</w:t>
            </w:r>
          </w:p>
        </w:tc>
        <w:tc>
          <w:tcPr>
            <w:tcW w:w="547" w:type="pct"/>
            <w:tcBorders>
              <w:top w:val="nil"/>
              <w:left w:val="nil"/>
              <w:bottom w:val="single" w:sz="4" w:space="0" w:color="auto"/>
              <w:right w:val="single" w:sz="4" w:space="0" w:color="auto"/>
            </w:tcBorders>
            <w:shd w:val="clear" w:color="auto" w:fill="auto"/>
            <w:noWrap/>
            <w:vAlign w:val="bottom"/>
            <w:hideMark/>
          </w:tcPr>
          <w:p w14:paraId="7237247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1419120</w:t>
            </w:r>
          </w:p>
        </w:tc>
        <w:tc>
          <w:tcPr>
            <w:tcW w:w="217" w:type="pct"/>
            <w:tcBorders>
              <w:top w:val="nil"/>
              <w:left w:val="nil"/>
              <w:bottom w:val="single" w:sz="4" w:space="0" w:color="auto"/>
              <w:right w:val="single" w:sz="4" w:space="0" w:color="auto"/>
            </w:tcBorders>
            <w:shd w:val="clear" w:color="auto" w:fill="auto"/>
            <w:noWrap/>
            <w:vAlign w:val="bottom"/>
            <w:hideMark/>
          </w:tcPr>
          <w:p w14:paraId="487FA96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64928DB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1413.2</w:t>
            </w:r>
          </w:p>
        </w:tc>
        <w:tc>
          <w:tcPr>
            <w:tcW w:w="452" w:type="pct"/>
            <w:tcBorders>
              <w:top w:val="nil"/>
              <w:left w:val="nil"/>
              <w:bottom w:val="single" w:sz="4" w:space="0" w:color="auto"/>
              <w:right w:val="single" w:sz="4" w:space="0" w:color="auto"/>
            </w:tcBorders>
            <w:shd w:val="clear" w:color="auto" w:fill="auto"/>
            <w:noWrap/>
            <w:vAlign w:val="bottom"/>
            <w:hideMark/>
          </w:tcPr>
          <w:p w14:paraId="655463C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1413.2</w:t>
            </w:r>
          </w:p>
        </w:tc>
        <w:tc>
          <w:tcPr>
            <w:tcW w:w="417" w:type="pct"/>
            <w:tcBorders>
              <w:top w:val="nil"/>
              <w:left w:val="nil"/>
              <w:bottom w:val="single" w:sz="4" w:space="0" w:color="auto"/>
              <w:right w:val="single" w:sz="4" w:space="0" w:color="auto"/>
            </w:tcBorders>
            <w:shd w:val="clear" w:color="auto" w:fill="auto"/>
            <w:noWrap/>
            <w:vAlign w:val="bottom"/>
            <w:hideMark/>
          </w:tcPr>
          <w:p w14:paraId="7184942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1413.2</w:t>
            </w:r>
          </w:p>
        </w:tc>
        <w:tc>
          <w:tcPr>
            <w:tcW w:w="381" w:type="pct"/>
            <w:tcBorders>
              <w:top w:val="nil"/>
              <w:left w:val="nil"/>
              <w:bottom w:val="single" w:sz="4" w:space="0" w:color="auto"/>
              <w:right w:val="single" w:sz="4" w:space="0" w:color="auto"/>
            </w:tcBorders>
            <w:shd w:val="clear" w:color="auto" w:fill="auto"/>
            <w:noWrap/>
            <w:vAlign w:val="bottom"/>
            <w:hideMark/>
          </w:tcPr>
          <w:p w14:paraId="06343AE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1413.2</w:t>
            </w:r>
          </w:p>
        </w:tc>
        <w:tc>
          <w:tcPr>
            <w:tcW w:w="382" w:type="pct"/>
            <w:tcBorders>
              <w:top w:val="nil"/>
              <w:left w:val="nil"/>
              <w:bottom w:val="single" w:sz="4" w:space="0" w:color="auto"/>
              <w:right w:val="single" w:sz="4" w:space="0" w:color="auto"/>
            </w:tcBorders>
            <w:shd w:val="clear" w:color="auto" w:fill="auto"/>
            <w:noWrap/>
            <w:vAlign w:val="bottom"/>
            <w:hideMark/>
          </w:tcPr>
          <w:p w14:paraId="1CC4029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1413.2</w:t>
            </w:r>
          </w:p>
        </w:tc>
        <w:tc>
          <w:tcPr>
            <w:tcW w:w="382" w:type="pct"/>
            <w:tcBorders>
              <w:top w:val="nil"/>
              <w:left w:val="nil"/>
              <w:bottom w:val="single" w:sz="4" w:space="0" w:color="auto"/>
              <w:right w:val="single" w:sz="4" w:space="0" w:color="auto"/>
            </w:tcBorders>
            <w:shd w:val="clear" w:color="auto" w:fill="auto"/>
            <w:noWrap/>
            <w:vAlign w:val="bottom"/>
            <w:hideMark/>
          </w:tcPr>
          <w:p w14:paraId="26A4127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1413.2</w:t>
            </w:r>
          </w:p>
        </w:tc>
        <w:tc>
          <w:tcPr>
            <w:tcW w:w="452" w:type="pct"/>
            <w:tcBorders>
              <w:top w:val="nil"/>
              <w:left w:val="nil"/>
              <w:bottom w:val="single" w:sz="4" w:space="0" w:color="auto"/>
              <w:right w:val="single" w:sz="4" w:space="0" w:color="auto"/>
            </w:tcBorders>
            <w:shd w:val="clear" w:color="auto" w:fill="auto"/>
            <w:noWrap/>
            <w:vAlign w:val="bottom"/>
            <w:hideMark/>
          </w:tcPr>
          <w:p w14:paraId="7F64BD6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1413.2</w:t>
            </w:r>
          </w:p>
        </w:tc>
        <w:tc>
          <w:tcPr>
            <w:tcW w:w="450" w:type="pct"/>
            <w:tcBorders>
              <w:top w:val="nil"/>
              <w:left w:val="nil"/>
              <w:bottom w:val="single" w:sz="4" w:space="0" w:color="auto"/>
              <w:right w:val="single" w:sz="4" w:space="0" w:color="auto"/>
            </w:tcBorders>
            <w:shd w:val="clear" w:color="auto" w:fill="auto"/>
            <w:noWrap/>
            <w:vAlign w:val="bottom"/>
            <w:hideMark/>
          </w:tcPr>
          <w:p w14:paraId="56C44E9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1413.2</w:t>
            </w:r>
          </w:p>
        </w:tc>
      </w:tr>
      <w:tr w:rsidR="00245464" w:rsidRPr="006A1C90" w14:paraId="46CCE210"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07B67A64"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Itezhi-Tezhi Hydro</w:t>
            </w:r>
          </w:p>
        </w:tc>
        <w:tc>
          <w:tcPr>
            <w:tcW w:w="315" w:type="pct"/>
            <w:tcBorders>
              <w:top w:val="nil"/>
              <w:left w:val="nil"/>
              <w:bottom w:val="single" w:sz="4" w:space="0" w:color="auto"/>
              <w:right w:val="single" w:sz="4" w:space="0" w:color="auto"/>
            </w:tcBorders>
            <w:shd w:val="clear" w:color="auto" w:fill="auto"/>
            <w:noWrap/>
            <w:vAlign w:val="bottom"/>
            <w:hideMark/>
          </w:tcPr>
          <w:p w14:paraId="7E82058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120</w:t>
            </w:r>
          </w:p>
        </w:tc>
        <w:tc>
          <w:tcPr>
            <w:tcW w:w="547" w:type="pct"/>
            <w:tcBorders>
              <w:top w:val="nil"/>
              <w:left w:val="nil"/>
              <w:bottom w:val="single" w:sz="4" w:space="0" w:color="auto"/>
              <w:right w:val="single" w:sz="4" w:space="0" w:color="auto"/>
            </w:tcBorders>
            <w:shd w:val="clear" w:color="auto" w:fill="auto"/>
            <w:noWrap/>
            <w:vAlign w:val="bottom"/>
            <w:hideMark/>
          </w:tcPr>
          <w:p w14:paraId="5D1BC70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473040</w:t>
            </w:r>
          </w:p>
        </w:tc>
        <w:tc>
          <w:tcPr>
            <w:tcW w:w="217" w:type="pct"/>
            <w:tcBorders>
              <w:top w:val="nil"/>
              <w:left w:val="nil"/>
              <w:bottom w:val="single" w:sz="4" w:space="0" w:color="auto"/>
              <w:right w:val="single" w:sz="4" w:space="0" w:color="auto"/>
            </w:tcBorders>
            <w:shd w:val="clear" w:color="auto" w:fill="auto"/>
            <w:noWrap/>
            <w:vAlign w:val="bottom"/>
            <w:hideMark/>
          </w:tcPr>
          <w:p w14:paraId="0DAFBC2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29D1DEC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735BBA5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471.1</w:t>
            </w:r>
          </w:p>
        </w:tc>
        <w:tc>
          <w:tcPr>
            <w:tcW w:w="417" w:type="pct"/>
            <w:tcBorders>
              <w:top w:val="nil"/>
              <w:left w:val="nil"/>
              <w:bottom w:val="single" w:sz="4" w:space="0" w:color="auto"/>
              <w:right w:val="single" w:sz="4" w:space="0" w:color="auto"/>
            </w:tcBorders>
            <w:shd w:val="clear" w:color="auto" w:fill="auto"/>
            <w:noWrap/>
            <w:vAlign w:val="bottom"/>
            <w:hideMark/>
          </w:tcPr>
          <w:p w14:paraId="2107FA0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471.1</w:t>
            </w:r>
          </w:p>
        </w:tc>
        <w:tc>
          <w:tcPr>
            <w:tcW w:w="381" w:type="pct"/>
            <w:tcBorders>
              <w:top w:val="nil"/>
              <w:left w:val="nil"/>
              <w:bottom w:val="single" w:sz="4" w:space="0" w:color="auto"/>
              <w:right w:val="single" w:sz="4" w:space="0" w:color="auto"/>
            </w:tcBorders>
            <w:shd w:val="clear" w:color="auto" w:fill="auto"/>
            <w:noWrap/>
            <w:vAlign w:val="bottom"/>
            <w:hideMark/>
          </w:tcPr>
          <w:p w14:paraId="4A101D1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471.1</w:t>
            </w:r>
          </w:p>
        </w:tc>
        <w:tc>
          <w:tcPr>
            <w:tcW w:w="382" w:type="pct"/>
            <w:tcBorders>
              <w:top w:val="nil"/>
              <w:left w:val="nil"/>
              <w:bottom w:val="single" w:sz="4" w:space="0" w:color="auto"/>
              <w:right w:val="single" w:sz="4" w:space="0" w:color="auto"/>
            </w:tcBorders>
            <w:shd w:val="clear" w:color="auto" w:fill="auto"/>
            <w:noWrap/>
            <w:vAlign w:val="bottom"/>
            <w:hideMark/>
          </w:tcPr>
          <w:p w14:paraId="6738AB7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471.1</w:t>
            </w:r>
          </w:p>
        </w:tc>
        <w:tc>
          <w:tcPr>
            <w:tcW w:w="382" w:type="pct"/>
            <w:tcBorders>
              <w:top w:val="nil"/>
              <w:left w:val="nil"/>
              <w:bottom w:val="single" w:sz="4" w:space="0" w:color="auto"/>
              <w:right w:val="single" w:sz="4" w:space="0" w:color="auto"/>
            </w:tcBorders>
            <w:shd w:val="clear" w:color="auto" w:fill="auto"/>
            <w:noWrap/>
            <w:vAlign w:val="bottom"/>
            <w:hideMark/>
          </w:tcPr>
          <w:p w14:paraId="041698E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471.1</w:t>
            </w:r>
          </w:p>
        </w:tc>
        <w:tc>
          <w:tcPr>
            <w:tcW w:w="452" w:type="pct"/>
            <w:tcBorders>
              <w:top w:val="nil"/>
              <w:left w:val="nil"/>
              <w:bottom w:val="single" w:sz="4" w:space="0" w:color="auto"/>
              <w:right w:val="single" w:sz="4" w:space="0" w:color="auto"/>
            </w:tcBorders>
            <w:shd w:val="clear" w:color="auto" w:fill="auto"/>
            <w:noWrap/>
            <w:vAlign w:val="bottom"/>
            <w:hideMark/>
          </w:tcPr>
          <w:p w14:paraId="71F3760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471.1</w:t>
            </w:r>
          </w:p>
        </w:tc>
        <w:tc>
          <w:tcPr>
            <w:tcW w:w="450" w:type="pct"/>
            <w:tcBorders>
              <w:top w:val="nil"/>
              <w:left w:val="nil"/>
              <w:bottom w:val="single" w:sz="4" w:space="0" w:color="auto"/>
              <w:right w:val="single" w:sz="4" w:space="0" w:color="auto"/>
            </w:tcBorders>
            <w:shd w:val="clear" w:color="auto" w:fill="auto"/>
            <w:noWrap/>
            <w:vAlign w:val="bottom"/>
            <w:hideMark/>
          </w:tcPr>
          <w:p w14:paraId="2403F4A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471.1</w:t>
            </w:r>
          </w:p>
        </w:tc>
      </w:tr>
      <w:tr w:rsidR="00245464" w:rsidRPr="006A1C90" w14:paraId="63862A4F"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3D095947"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CEC Kabompo</w:t>
            </w:r>
          </w:p>
        </w:tc>
        <w:tc>
          <w:tcPr>
            <w:tcW w:w="315" w:type="pct"/>
            <w:tcBorders>
              <w:top w:val="nil"/>
              <w:left w:val="nil"/>
              <w:bottom w:val="single" w:sz="4" w:space="0" w:color="auto"/>
              <w:right w:val="single" w:sz="4" w:space="0" w:color="auto"/>
            </w:tcBorders>
            <w:shd w:val="clear" w:color="auto" w:fill="auto"/>
            <w:noWrap/>
            <w:vAlign w:val="bottom"/>
            <w:hideMark/>
          </w:tcPr>
          <w:p w14:paraId="2AB2CDF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40</w:t>
            </w:r>
          </w:p>
        </w:tc>
        <w:tc>
          <w:tcPr>
            <w:tcW w:w="547" w:type="pct"/>
            <w:tcBorders>
              <w:top w:val="nil"/>
              <w:left w:val="nil"/>
              <w:bottom w:val="single" w:sz="4" w:space="0" w:color="auto"/>
              <w:right w:val="single" w:sz="4" w:space="0" w:color="auto"/>
            </w:tcBorders>
            <w:shd w:val="clear" w:color="auto" w:fill="auto"/>
            <w:noWrap/>
            <w:vAlign w:val="bottom"/>
            <w:hideMark/>
          </w:tcPr>
          <w:p w14:paraId="28952A8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157680</w:t>
            </w:r>
          </w:p>
        </w:tc>
        <w:tc>
          <w:tcPr>
            <w:tcW w:w="217" w:type="pct"/>
            <w:tcBorders>
              <w:top w:val="nil"/>
              <w:left w:val="nil"/>
              <w:bottom w:val="single" w:sz="4" w:space="0" w:color="auto"/>
              <w:right w:val="single" w:sz="4" w:space="0" w:color="auto"/>
            </w:tcBorders>
            <w:shd w:val="clear" w:color="auto" w:fill="auto"/>
            <w:noWrap/>
            <w:vAlign w:val="bottom"/>
            <w:hideMark/>
          </w:tcPr>
          <w:p w14:paraId="7D8DE2D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47447C3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295D4A3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157.0</w:t>
            </w:r>
          </w:p>
        </w:tc>
        <w:tc>
          <w:tcPr>
            <w:tcW w:w="417" w:type="pct"/>
            <w:tcBorders>
              <w:top w:val="nil"/>
              <w:left w:val="nil"/>
              <w:bottom w:val="single" w:sz="4" w:space="0" w:color="auto"/>
              <w:right w:val="single" w:sz="4" w:space="0" w:color="auto"/>
            </w:tcBorders>
            <w:shd w:val="clear" w:color="auto" w:fill="auto"/>
            <w:noWrap/>
            <w:vAlign w:val="bottom"/>
            <w:hideMark/>
          </w:tcPr>
          <w:p w14:paraId="7AF5788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157.0</w:t>
            </w:r>
          </w:p>
        </w:tc>
        <w:tc>
          <w:tcPr>
            <w:tcW w:w="381" w:type="pct"/>
            <w:tcBorders>
              <w:top w:val="nil"/>
              <w:left w:val="nil"/>
              <w:bottom w:val="single" w:sz="4" w:space="0" w:color="auto"/>
              <w:right w:val="single" w:sz="4" w:space="0" w:color="auto"/>
            </w:tcBorders>
            <w:shd w:val="clear" w:color="auto" w:fill="auto"/>
            <w:noWrap/>
            <w:vAlign w:val="bottom"/>
            <w:hideMark/>
          </w:tcPr>
          <w:p w14:paraId="361D844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157.0</w:t>
            </w:r>
          </w:p>
        </w:tc>
        <w:tc>
          <w:tcPr>
            <w:tcW w:w="382" w:type="pct"/>
            <w:tcBorders>
              <w:top w:val="nil"/>
              <w:left w:val="nil"/>
              <w:bottom w:val="single" w:sz="4" w:space="0" w:color="auto"/>
              <w:right w:val="single" w:sz="4" w:space="0" w:color="auto"/>
            </w:tcBorders>
            <w:shd w:val="clear" w:color="auto" w:fill="auto"/>
            <w:noWrap/>
            <w:vAlign w:val="bottom"/>
            <w:hideMark/>
          </w:tcPr>
          <w:p w14:paraId="256831F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157.0</w:t>
            </w:r>
          </w:p>
        </w:tc>
        <w:tc>
          <w:tcPr>
            <w:tcW w:w="382" w:type="pct"/>
            <w:tcBorders>
              <w:top w:val="nil"/>
              <w:left w:val="nil"/>
              <w:bottom w:val="single" w:sz="4" w:space="0" w:color="auto"/>
              <w:right w:val="single" w:sz="4" w:space="0" w:color="auto"/>
            </w:tcBorders>
            <w:shd w:val="clear" w:color="auto" w:fill="auto"/>
            <w:noWrap/>
            <w:vAlign w:val="bottom"/>
            <w:hideMark/>
          </w:tcPr>
          <w:p w14:paraId="2950D37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157.0</w:t>
            </w:r>
          </w:p>
        </w:tc>
        <w:tc>
          <w:tcPr>
            <w:tcW w:w="452" w:type="pct"/>
            <w:tcBorders>
              <w:top w:val="nil"/>
              <w:left w:val="nil"/>
              <w:bottom w:val="single" w:sz="4" w:space="0" w:color="auto"/>
              <w:right w:val="single" w:sz="4" w:space="0" w:color="auto"/>
            </w:tcBorders>
            <w:shd w:val="clear" w:color="auto" w:fill="auto"/>
            <w:noWrap/>
            <w:vAlign w:val="bottom"/>
            <w:hideMark/>
          </w:tcPr>
          <w:p w14:paraId="1CCCC80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157.0</w:t>
            </w:r>
          </w:p>
        </w:tc>
        <w:tc>
          <w:tcPr>
            <w:tcW w:w="450" w:type="pct"/>
            <w:tcBorders>
              <w:top w:val="nil"/>
              <w:left w:val="nil"/>
              <w:bottom w:val="single" w:sz="4" w:space="0" w:color="auto"/>
              <w:right w:val="single" w:sz="4" w:space="0" w:color="auto"/>
            </w:tcBorders>
            <w:shd w:val="clear" w:color="auto" w:fill="auto"/>
            <w:noWrap/>
            <w:vAlign w:val="bottom"/>
            <w:hideMark/>
          </w:tcPr>
          <w:p w14:paraId="7721B76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157.0</w:t>
            </w:r>
          </w:p>
        </w:tc>
      </w:tr>
      <w:tr w:rsidR="00245464" w:rsidRPr="006A1C90" w14:paraId="3097FBD2"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2D11F995"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 xml:space="preserve">Lufubu </w:t>
            </w:r>
          </w:p>
        </w:tc>
        <w:tc>
          <w:tcPr>
            <w:tcW w:w="315" w:type="pct"/>
            <w:tcBorders>
              <w:top w:val="nil"/>
              <w:left w:val="nil"/>
              <w:bottom w:val="single" w:sz="4" w:space="0" w:color="auto"/>
              <w:right w:val="single" w:sz="4" w:space="0" w:color="auto"/>
            </w:tcBorders>
            <w:shd w:val="clear" w:color="auto" w:fill="auto"/>
            <w:noWrap/>
            <w:vAlign w:val="bottom"/>
            <w:hideMark/>
          </w:tcPr>
          <w:p w14:paraId="25A09DA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163</w:t>
            </w:r>
          </w:p>
        </w:tc>
        <w:tc>
          <w:tcPr>
            <w:tcW w:w="547" w:type="pct"/>
            <w:tcBorders>
              <w:top w:val="nil"/>
              <w:left w:val="nil"/>
              <w:bottom w:val="single" w:sz="4" w:space="0" w:color="auto"/>
              <w:right w:val="single" w:sz="4" w:space="0" w:color="auto"/>
            </w:tcBorders>
            <w:shd w:val="clear" w:color="auto" w:fill="auto"/>
            <w:noWrap/>
            <w:vAlign w:val="bottom"/>
            <w:hideMark/>
          </w:tcPr>
          <w:p w14:paraId="1DCCBEF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642546</w:t>
            </w:r>
          </w:p>
        </w:tc>
        <w:tc>
          <w:tcPr>
            <w:tcW w:w="217" w:type="pct"/>
            <w:tcBorders>
              <w:top w:val="nil"/>
              <w:left w:val="nil"/>
              <w:bottom w:val="single" w:sz="4" w:space="0" w:color="auto"/>
              <w:right w:val="single" w:sz="4" w:space="0" w:color="auto"/>
            </w:tcBorders>
            <w:shd w:val="clear" w:color="auto" w:fill="auto"/>
            <w:noWrap/>
            <w:vAlign w:val="bottom"/>
            <w:hideMark/>
          </w:tcPr>
          <w:p w14:paraId="52C63B5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19DFEC0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3E6F67F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52F4663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0503278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639.8</w:t>
            </w:r>
          </w:p>
        </w:tc>
        <w:tc>
          <w:tcPr>
            <w:tcW w:w="382" w:type="pct"/>
            <w:tcBorders>
              <w:top w:val="nil"/>
              <w:left w:val="nil"/>
              <w:bottom w:val="single" w:sz="4" w:space="0" w:color="auto"/>
              <w:right w:val="single" w:sz="4" w:space="0" w:color="auto"/>
            </w:tcBorders>
            <w:shd w:val="clear" w:color="auto" w:fill="auto"/>
            <w:noWrap/>
            <w:vAlign w:val="bottom"/>
            <w:hideMark/>
          </w:tcPr>
          <w:p w14:paraId="650F1E3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639.8</w:t>
            </w:r>
          </w:p>
        </w:tc>
        <w:tc>
          <w:tcPr>
            <w:tcW w:w="382" w:type="pct"/>
            <w:tcBorders>
              <w:top w:val="nil"/>
              <w:left w:val="nil"/>
              <w:bottom w:val="single" w:sz="4" w:space="0" w:color="auto"/>
              <w:right w:val="single" w:sz="4" w:space="0" w:color="auto"/>
            </w:tcBorders>
            <w:shd w:val="clear" w:color="auto" w:fill="auto"/>
            <w:noWrap/>
            <w:vAlign w:val="bottom"/>
            <w:hideMark/>
          </w:tcPr>
          <w:p w14:paraId="1006C6C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639.8</w:t>
            </w:r>
          </w:p>
        </w:tc>
        <w:tc>
          <w:tcPr>
            <w:tcW w:w="452" w:type="pct"/>
            <w:tcBorders>
              <w:top w:val="nil"/>
              <w:left w:val="nil"/>
              <w:bottom w:val="single" w:sz="4" w:space="0" w:color="auto"/>
              <w:right w:val="single" w:sz="4" w:space="0" w:color="auto"/>
            </w:tcBorders>
            <w:shd w:val="clear" w:color="auto" w:fill="auto"/>
            <w:noWrap/>
            <w:vAlign w:val="bottom"/>
            <w:hideMark/>
          </w:tcPr>
          <w:p w14:paraId="6F03720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639.8</w:t>
            </w:r>
          </w:p>
        </w:tc>
        <w:tc>
          <w:tcPr>
            <w:tcW w:w="450" w:type="pct"/>
            <w:tcBorders>
              <w:top w:val="nil"/>
              <w:left w:val="nil"/>
              <w:bottom w:val="single" w:sz="4" w:space="0" w:color="auto"/>
              <w:right w:val="single" w:sz="4" w:space="0" w:color="auto"/>
            </w:tcBorders>
            <w:shd w:val="clear" w:color="auto" w:fill="auto"/>
            <w:noWrap/>
            <w:vAlign w:val="bottom"/>
            <w:hideMark/>
          </w:tcPr>
          <w:p w14:paraId="7239DB1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639.8</w:t>
            </w:r>
          </w:p>
        </w:tc>
      </w:tr>
      <w:tr w:rsidR="00245464" w:rsidRPr="006A1C90" w14:paraId="55C69656"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51A46CBF"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Shiwangandu</w:t>
            </w:r>
          </w:p>
        </w:tc>
        <w:tc>
          <w:tcPr>
            <w:tcW w:w="315" w:type="pct"/>
            <w:tcBorders>
              <w:top w:val="nil"/>
              <w:left w:val="nil"/>
              <w:bottom w:val="single" w:sz="4" w:space="0" w:color="auto"/>
              <w:right w:val="single" w:sz="4" w:space="0" w:color="auto"/>
            </w:tcBorders>
            <w:shd w:val="clear" w:color="auto" w:fill="auto"/>
            <w:noWrap/>
            <w:vAlign w:val="bottom"/>
            <w:hideMark/>
          </w:tcPr>
          <w:p w14:paraId="2BECC3D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w:t>
            </w:r>
          </w:p>
        </w:tc>
        <w:tc>
          <w:tcPr>
            <w:tcW w:w="547" w:type="pct"/>
            <w:tcBorders>
              <w:top w:val="nil"/>
              <w:left w:val="nil"/>
              <w:bottom w:val="single" w:sz="4" w:space="0" w:color="auto"/>
              <w:right w:val="single" w:sz="4" w:space="0" w:color="auto"/>
            </w:tcBorders>
            <w:shd w:val="clear" w:color="auto" w:fill="auto"/>
            <w:noWrap/>
            <w:vAlign w:val="bottom"/>
            <w:hideMark/>
          </w:tcPr>
          <w:p w14:paraId="3521CA8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3942</w:t>
            </w:r>
          </w:p>
        </w:tc>
        <w:tc>
          <w:tcPr>
            <w:tcW w:w="217" w:type="pct"/>
            <w:tcBorders>
              <w:top w:val="nil"/>
              <w:left w:val="nil"/>
              <w:bottom w:val="single" w:sz="4" w:space="0" w:color="auto"/>
              <w:right w:val="single" w:sz="4" w:space="0" w:color="auto"/>
            </w:tcBorders>
            <w:shd w:val="clear" w:color="auto" w:fill="auto"/>
            <w:noWrap/>
            <w:vAlign w:val="bottom"/>
            <w:hideMark/>
          </w:tcPr>
          <w:p w14:paraId="6C63521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39512D4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w:t>
            </w:r>
          </w:p>
        </w:tc>
        <w:tc>
          <w:tcPr>
            <w:tcW w:w="452" w:type="pct"/>
            <w:tcBorders>
              <w:top w:val="nil"/>
              <w:left w:val="nil"/>
              <w:bottom w:val="single" w:sz="4" w:space="0" w:color="auto"/>
              <w:right w:val="single" w:sz="4" w:space="0" w:color="auto"/>
            </w:tcBorders>
            <w:shd w:val="clear" w:color="auto" w:fill="auto"/>
            <w:noWrap/>
            <w:vAlign w:val="bottom"/>
            <w:hideMark/>
          </w:tcPr>
          <w:p w14:paraId="7A42A61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w:t>
            </w:r>
          </w:p>
        </w:tc>
        <w:tc>
          <w:tcPr>
            <w:tcW w:w="417" w:type="pct"/>
            <w:tcBorders>
              <w:top w:val="nil"/>
              <w:left w:val="nil"/>
              <w:bottom w:val="single" w:sz="4" w:space="0" w:color="auto"/>
              <w:right w:val="single" w:sz="4" w:space="0" w:color="auto"/>
            </w:tcBorders>
            <w:shd w:val="clear" w:color="auto" w:fill="auto"/>
            <w:noWrap/>
            <w:vAlign w:val="bottom"/>
            <w:hideMark/>
          </w:tcPr>
          <w:p w14:paraId="69EA2A5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w:t>
            </w:r>
          </w:p>
        </w:tc>
        <w:tc>
          <w:tcPr>
            <w:tcW w:w="381" w:type="pct"/>
            <w:tcBorders>
              <w:top w:val="nil"/>
              <w:left w:val="nil"/>
              <w:bottom w:val="single" w:sz="4" w:space="0" w:color="auto"/>
              <w:right w:val="single" w:sz="4" w:space="0" w:color="auto"/>
            </w:tcBorders>
            <w:shd w:val="clear" w:color="auto" w:fill="auto"/>
            <w:noWrap/>
            <w:vAlign w:val="bottom"/>
            <w:hideMark/>
          </w:tcPr>
          <w:p w14:paraId="5766A31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w:t>
            </w:r>
          </w:p>
        </w:tc>
        <w:tc>
          <w:tcPr>
            <w:tcW w:w="382" w:type="pct"/>
            <w:tcBorders>
              <w:top w:val="nil"/>
              <w:left w:val="nil"/>
              <w:bottom w:val="single" w:sz="4" w:space="0" w:color="auto"/>
              <w:right w:val="single" w:sz="4" w:space="0" w:color="auto"/>
            </w:tcBorders>
            <w:shd w:val="clear" w:color="auto" w:fill="auto"/>
            <w:noWrap/>
            <w:vAlign w:val="bottom"/>
            <w:hideMark/>
          </w:tcPr>
          <w:p w14:paraId="178AB91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w:t>
            </w:r>
          </w:p>
        </w:tc>
        <w:tc>
          <w:tcPr>
            <w:tcW w:w="382" w:type="pct"/>
            <w:tcBorders>
              <w:top w:val="nil"/>
              <w:left w:val="nil"/>
              <w:bottom w:val="single" w:sz="4" w:space="0" w:color="auto"/>
              <w:right w:val="single" w:sz="4" w:space="0" w:color="auto"/>
            </w:tcBorders>
            <w:shd w:val="clear" w:color="auto" w:fill="auto"/>
            <w:noWrap/>
            <w:vAlign w:val="bottom"/>
            <w:hideMark/>
          </w:tcPr>
          <w:p w14:paraId="3FEC63A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w:t>
            </w:r>
          </w:p>
        </w:tc>
        <w:tc>
          <w:tcPr>
            <w:tcW w:w="452" w:type="pct"/>
            <w:tcBorders>
              <w:top w:val="nil"/>
              <w:left w:val="nil"/>
              <w:bottom w:val="single" w:sz="4" w:space="0" w:color="auto"/>
              <w:right w:val="single" w:sz="4" w:space="0" w:color="auto"/>
            </w:tcBorders>
            <w:shd w:val="clear" w:color="auto" w:fill="auto"/>
            <w:noWrap/>
            <w:vAlign w:val="bottom"/>
            <w:hideMark/>
          </w:tcPr>
          <w:p w14:paraId="6AB6E60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w:t>
            </w:r>
          </w:p>
        </w:tc>
        <w:tc>
          <w:tcPr>
            <w:tcW w:w="450" w:type="pct"/>
            <w:tcBorders>
              <w:top w:val="nil"/>
              <w:left w:val="nil"/>
              <w:bottom w:val="single" w:sz="4" w:space="0" w:color="auto"/>
              <w:right w:val="single" w:sz="4" w:space="0" w:color="auto"/>
            </w:tcBorders>
            <w:shd w:val="clear" w:color="auto" w:fill="auto"/>
            <w:noWrap/>
            <w:vAlign w:val="bottom"/>
            <w:hideMark/>
          </w:tcPr>
          <w:p w14:paraId="05A2E8B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w:t>
            </w:r>
          </w:p>
        </w:tc>
      </w:tr>
      <w:tr w:rsidR="00245464" w:rsidRPr="006A1C90" w14:paraId="6F6B3647"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3E8243A0" w14:textId="16333BFB"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Zambia Sugar</w:t>
            </w:r>
            <w:r w:rsidR="006A1C90" w:rsidRPr="006A1C90">
              <w:rPr>
                <w:rFonts w:ascii="Times New Roman" w:eastAsia="Times New Roman" w:hAnsi="Times New Roman" w:cs="Times New Roman"/>
                <w:color w:val="000000" w:themeColor="text1"/>
                <w:sz w:val="20"/>
                <w:szCs w:val="20"/>
              </w:rPr>
              <w:t xml:space="preserve"> </w:t>
            </w:r>
            <w:r w:rsidRPr="006A1C90">
              <w:rPr>
                <w:rFonts w:ascii="Times New Roman" w:eastAsia="Times New Roman" w:hAnsi="Times New Roman" w:cs="Times New Roman"/>
                <w:color w:val="000000" w:themeColor="text1"/>
                <w:sz w:val="20"/>
                <w:szCs w:val="20"/>
              </w:rPr>
              <w:t>(40 MW is generated but 4 MW is exported to grid</w:t>
            </w:r>
          </w:p>
        </w:tc>
        <w:tc>
          <w:tcPr>
            <w:tcW w:w="315" w:type="pct"/>
            <w:tcBorders>
              <w:top w:val="nil"/>
              <w:left w:val="nil"/>
              <w:bottom w:val="single" w:sz="4" w:space="0" w:color="auto"/>
              <w:right w:val="single" w:sz="4" w:space="0" w:color="auto"/>
            </w:tcBorders>
            <w:shd w:val="clear" w:color="auto" w:fill="auto"/>
            <w:noWrap/>
            <w:vAlign w:val="bottom"/>
            <w:hideMark/>
          </w:tcPr>
          <w:p w14:paraId="2669178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w:t>
            </w:r>
          </w:p>
        </w:tc>
        <w:tc>
          <w:tcPr>
            <w:tcW w:w="547" w:type="pct"/>
            <w:tcBorders>
              <w:top w:val="nil"/>
              <w:left w:val="nil"/>
              <w:bottom w:val="single" w:sz="4" w:space="0" w:color="auto"/>
              <w:right w:val="single" w:sz="4" w:space="0" w:color="auto"/>
            </w:tcBorders>
            <w:shd w:val="clear" w:color="auto" w:fill="auto"/>
            <w:noWrap/>
            <w:vAlign w:val="bottom"/>
            <w:hideMark/>
          </w:tcPr>
          <w:p w14:paraId="28B998E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19272</w:t>
            </w:r>
          </w:p>
        </w:tc>
        <w:tc>
          <w:tcPr>
            <w:tcW w:w="217" w:type="pct"/>
            <w:tcBorders>
              <w:top w:val="nil"/>
              <w:left w:val="nil"/>
              <w:bottom w:val="single" w:sz="4" w:space="0" w:color="auto"/>
              <w:right w:val="single" w:sz="4" w:space="0" w:color="auto"/>
            </w:tcBorders>
            <w:shd w:val="clear" w:color="auto" w:fill="auto"/>
            <w:noWrap/>
            <w:vAlign w:val="bottom"/>
            <w:hideMark/>
          </w:tcPr>
          <w:p w14:paraId="732B821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672BE5E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1A1FDED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53B54EC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6D9BEC4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11C349C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19.2</w:t>
            </w:r>
          </w:p>
        </w:tc>
        <w:tc>
          <w:tcPr>
            <w:tcW w:w="382" w:type="pct"/>
            <w:tcBorders>
              <w:top w:val="nil"/>
              <w:left w:val="nil"/>
              <w:bottom w:val="single" w:sz="4" w:space="0" w:color="auto"/>
              <w:right w:val="single" w:sz="4" w:space="0" w:color="auto"/>
            </w:tcBorders>
            <w:shd w:val="clear" w:color="auto" w:fill="auto"/>
            <w:noWrap/>
            <w:vAlign w:val="bottom"/>
            <w:hideMark/>
          </w:tcPr>
          <w:p w14:paraId="0BF28BA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19.2</w:t>
            </w:r>
          </w:p>
        </w:tc>
        <w:tc>
          <w:tcPr>
            <w:tcW w:w="452" w:type="pct"/>
            <w:tcBorders>
              <w:top w:val="nil"/>
              <w:left w:val="nil"/>
              <w:bottom w:val="single" w:sz="4" w:space="0" w:color="auto"/>
              <w:right w:val="single" w:sz="4" w:space="0" w:color="auto"/>
            </w:tcBorders>
            <w:shd w:val="clear" w:color="auto" w:fill="auto"/>
            <w:noWrap/>
            <w:vAlign w:val="bottom"/>
            <w:hideMark/>
          </w:tcPr>
          <w:p w14:paraId="72E41AC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19.2</w:t>
            </w:r>
          </w:p>
        </w:tc>
        <w:tc>
          <w:tcPr>
            <w:tcW w:w="450" w:type="pct"/>
            <w:tcBorders>
              <w:top w:val="nil"/>
              <w:left w:val="nil"/>
              <w:bottom w:val="single" w:sz="4" w:space="0" w:color="auto"/>
              <w:right w:val="single" w:sz="4" w:space="0" w:color="auto"/>
            </w:tcBorders>
            <w:shd w:val="clear" w:color="auto" w:fill="auto"/>
            <w:noWrap/>
            <w:vAlign w:val="bottom"/>
            <w:hideMark/>
          </w:tcPr>
          <w:p w14:paraId="33E4E67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19.2</w:t>
            </w:r>
          </w:p>
        </w:tc>
      </w:tr>
      <w:tr w:rsidR="00245464" w:rsidRPr="006A1C90" w14:paraId="788F4542"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7F0E3F12"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Devil’s Gorge</w:t>
            </w:r>
          </w:p>
        </w:tc>
        <w:tc>
          <w:tcPr>
            <w:tcW w:w="315" w:type="pct"/>
            <w:tcBorders>
              <w:top w:val="nil"/>
              <w:left w:val="nil"/>
              <w:bottom w:val="single" w:sz="4" w:space="0" w:color="auto"/>
              <w:right w:val="single" w:sz="4" w:space="0" w:color="auto"/>
            </w:tcBorders>
            <w:shd w:val="clear" w:color="auto" w:fill="auto"/>
            <w:noWrap/>
            <w:vAlign w:val="bottom"/>
            <w:hideMark/>
          </w:tcPr>
          <w:p w14:paraId="60968A5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500</w:t>
            </w:r>
          </w:p>
        </w:tc>
        <w:tc>
          <w:tcPr>
            <w:tcW w:w="547" w:type="pct"/>
            <w:tcBorders>
              <w:top w:val="nil"/>
              <w:left w:val="nil"/>
              <w:bottom w:val="single" w:sz="4" w:space="0" w:color="auto"/>
              <w:right w:val="single" w:sz="4" w:space="0" w:color="auto"/>
            </w:tcBorders>
            <w:shd w:val="clear" w:color="auto" w:fill="auto"/>
            <w:noWrap/>
            <w:vAlign w:val="bottom"/>
            <w:hideMark/>
          </w:tcPr>
          <w:p w14:paraId="0A467F6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1971000</w:t>
            </w:r>
          </w:p>
        </w:tc>
        <w:tc>
          <w:tcPr>
            <w:tcW w:w="217" w:type="pct"/>
            <w:tcBorders>
              <w:top w:val="nil"/>
              <w:left w:val="nil"/>
              <w:bottom w:val="single" w:sz="4" w:space="0" w:color="auto"/>
              <w:right w:val="single" w:sz="4" w:space="0" w:color="auto"/>
            </w:tcBorders>
            <w:shd w:val="clear" w:color="auto" w:fill="auto"/>
            <w:noWrap/>
            <w:vAlign w:val="bottom"/>
            <w:hideMark/>
          </w:tcPr>
          <w:p w14:paraId="4D93658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2AAB636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0C1070E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6DC93B7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5BFC333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75462BF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1962.7</w:t>
            </w:r>
          </w:p>
        </w:tc>
        <w:tc>
          <w:tcPr>
            <w:tcW w:w="382" w:type="pct"/>
            <w:tcBorders>
              <w:top w:val="nil"/>
              <w:left w:val="nil"/>
              <w:bottom w:val="single" w:sz="4" w:space="0" w:color="auto"/>
              <w:right w:val="single" w:sz="4" w:space="0" w:color="auto"/>
            </w:tcBorders>
            <w:shd w:val="clear" w:color="auto" w:fill="auto"/>
            <w:noWrap/>
            <w:vAlign w:val="bottom"/>
            <w:hideMark/>
          </w:tcPr>
          <w:p w14:paraId="20123C5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1962.7</w:t>
            </w:r>
          </w:p>
        </w:tc>
        <w:tc>
          <w:tcPr>
            <w:tcW w:w="452" w:type="pct"/>
            <w:tcBorders>
              <w:top w:val="nil"/>
              <w:left w:val="nil"/>
              <w:bottom w:val="single" w:sz="4" w:space="0" w:color="auto"/>
              <w:right w:val="single" w:sz="4" w:space="0" w:color="auto"/>
            </w:tcBorders>
            <w:shd w:val="clear" w:color="auto" w:fill="auto"/>
            <w:noWrap/>
            <w:vAlign w:val="bottom"/>
            <w:hideMark/>
          </w:tcPr>
          <w:p w14:paraId="76A093E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1962.7</w:t>
            </w:r>
          </w:p>
        </w:tc>
        <w:tc>
          <w:tcPr>
            <w:tcW w:w="450" w:type="pct"/>
            <w:tcBorders>
              <w:top w:val="nil"/>
              <w:left w:val="nil"/>
              <w:bottom w:val="single" w:sz="4" w:space="0" w:color="auto"/>
              <w:right w:val="single" w:sz="4" w:space="0" w:color="auto"/>
            </w:tcBorders>
            <w:shd w:val="clear" w:color="auto" w:fill="auto"/>
            <w:noWrap/>
            <w:vAlign w:val="bottom"/>
            <w:hideMark/>
          </w:tcPr>
          <w:p w14:paraId="0957637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1962.7</w:t>
            </w:r>
          </w:p>
        </w:tc>
      </w:tr>
      <w:tr w:rsidR="00245464" w:rsidRPr="006A1C90" w14:paraId="0699EBAE"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2B60F94D"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Mpata</w:t>
            </w:r>
          </w:p>
        </w:tc>
        <w:tc>
          <w:tcPr>
            <w:tcW w:w="315" w:type="pct"/>
            <w:tcBorders>
              <w:top w:val="nil"/>
              <w:left w:val="nil"/>
              <w:bottom w:val="single" w:sz="4" w:space="0" w:color="auto"/>
              <w:right w:val="single" w:sz="4" w:space="0" w:color="auto"/>
            </w:tcBorders>
            <w:shd w:val="clear" w:color="auto" w:fill="auto"/>
            <w:noWrap/>
            <w:vAlign w:val="bottom"/>
            <w:hideMark/>
          </w:tcPr>
          <w:p w14:paraId="4248D06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540</w:t>
            </w:r>
          </w:p>
        </w:tc>
        <w:tc>
          <w:tcPr>
            <w:tcW w:w="547" w:type="pct"/>
            <w:tcBorders>
              <w:top w:val="nil"/>
              <w:left w:val="nil"/>
              <w:bottom w:val="single" w:sz="4" w:space="0" w:color="auto"/>
              <w:right w:val="single" w:sz="4" w:space="0" w:color="auto"/>
            </w:tcBorders>
            <w:shd w:val="clear" w:color="auto" w:fill="auto"/>
            <w:noWrap/>
            <w:vAlign w:val="bottom"/>
            <w:hideMark/>
          </w:tcPr>
          <w:p w14:paraId="7E7083B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2128680</w:t>
            </w:r>
          </w:p>
        </w:tc>
        <w:tc>
          <w:tcPr>
            <w:tcW w:w="217" w:type="pct"/>
            <w:tcBorders>
              <w:top w:val="nil"/>
              <w:left w:val="nil"/>
              <w:bottom w:val="single" w:sz="4" w:space="0" w:color="auto"/>
              <w:right w:val="single" w:sz="4" w:space="0" w:color="auto"/>
            </w:tcBorders>
            <w:shd w:val="clear" w:color="auto" w:fill="auto"/>
            <w:noWrap/>
            <w:vAlign w:val="bottom"/>
            <w:hideMark/>
          </w:tcPr>
          <w:p w14:paraId="3D7A046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0D08E10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28ADA70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28EE91F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6361737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2C97567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2119.7</w:t>
            </w:r>
          </w:p>
        </w:tc>
        <w:tc>
          <w:tcPr>
            <w:tcW w:w="382" w:type="pct"/>
            <w:tcBorders>
              <w:top w:val="nil"/>
              <w:left w:val="nil"/>
              <w:bottom w:val="single" w:sz="4" w:space="0" w:color="auto"/>
              <w:right w:val="single" w:sz="4" w:space="0" w:color="auto"/>
            </w:tcBorders>
            <w:shd w:val="clear" w:color="auto" w:fill="auto"/>
            <w:noWrap/>
            <w:vAlign w:val="bottom"/>
            <w:hideMark/>
          </w:tcPr>
          <w:p w14:paraId="44DC58C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2119.7</w:t>
            </w:r>
          </w:p>
        </w:tc>
        <w:tc>
          <w:tcPr>
            <w:tcW w:w="452" w:type="pct"/>
            <w:tcBorders>
              <w:top w:val="nil"/>
              <w:left w:val="nil"/>
              <w:bottom w:val="single" w:sz="4" w:space="0" w:color="auto"/>
              <w:right w:val="single" w:sz="4" w:space="0" w:color="auto"/>
            </w:tcBorders>
            <w:shd w:val="clear" w:color="auto" w:fill="auto"/>
            <w:noWrap/>
            <w:vAlign w:val="bottom"/>
            <w:hideMark/>
          </w:tcPr>
          <w:p w14:paraId="5446FD2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2119.7</w:t>
            </w:r>
          </w:p>
        </w:tc>
        <w:tc>
          <w:tcPr>
            <w:tcW w:w="450" w:type="pct"/>
            <w:tcBorders>
              <w:top w:val="nil"/>
              <w:left w:val="nil"/>
              <w:bottom w:val="single" w:sz="4" w:space="0" w:color="auto"/>
              <w:right w:val="single" w:sz="4" w:space="0" w:color="auto"/>
            </w:tcBorders>
            <w:shd w:val="clear" w:color="auto" w:fill="auto"/>
            <w:noWrap/>
            <w:vAlign w:val="bottom"/>
            <w:hideMark/>
          </w:tcPr>
          <w:p w14:paraId="426A646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2119.7</w:t>
            </w:r>
          </w:p>
        </w:tc>
      </w:tr>
      <w:tr w:rsidR="00245464" w:rsidRPr="006A1C90" w14:paraId="0B6D7DE9"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59F33126"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Mumbotuta</w:t>
            </w:r>
          </w:p>
        </w:tc>
        <w:tc>
          <w:tcPr>
            <w:tcW w:w="315" w:type="pct"/>
            <w:tcBorders>
              <w:top w:val="nil"/>
              <w:left w:val="nil"/>
              <w:bottom w:val="single" w:sz="4" w:space="0" w:color="auto"/>
              <w:right w:val="single" w:sz="4" w:space="0" w:color="auto"/>
            </w:tcBorders>
            <w:shd w:val="clear" w:color="auto" w:fill="auto"/>
            <w:noWrap/>
            <w:vAlign w:val="bottom"/>
            <w:hideMark/>
          </w:tcPr>
          <w:p w14:paraId="61B16ED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300</w:t>
            </w:r>
          </w:p>
        </w:tc>
        <w:tc>
          <w:tcPr>
            <w:tcW w:w="547" w:type="pct"/>
            <w:tcBorders>
              <w:top w:val="nil"/>
              <w:left w:val="nil"/>
              <w:bottom w:val="single" w:sz="4" w:space="0" w:color="auto"/>
              <w:right w:val="single" w:sz="4" w:space="0" w:color="auto"/>
            </w:tcBorders>
            <w:shd w:val="clear" w:color="auto" w:fill="auto"/>
            <w:noWrap/>
            <w:vAlign w:val="bottom"/>
            <w:hideMark/>
          </w:tcPr>
          <w:p w14:paraId="6EF55D5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1182600</w:t>
            </w:r>
          </w:p>
        </w:tc>
        <w:tc>
          <w:tcPr>
            <w:tcW w:w="217" w:type="pct"/>
            <w:tcBorders>
              <w:top w:val="nil"/>
              <w:left w:val="nil"/>
              <w:bottom w:val="single" w:sz="4" w:space="0" w:color="auto"/>
              <w:right w:val="single" w:sz="4" w:space="0" w:color="auto"/>
            </w:tcBorders>
            <w:shd w:val="clear" w:color="auto" w:fill="auto"/>
            <w:noWrap/>
            <w:vAlign w:val="bottom"/>
            <w:hideMark/>
          </w:tcPr>
          <w:p w14:paraId="560A670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68209AE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45E3F58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554DF7F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2B2E3E4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2818268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1177.6</w:t>
            </w:r>
          </w:p>
        </w:tc>
        <w:tc>
          <w:tcPr>
            <w:tcW w:w="382" w:type="pct"/>
            <w:tcBorders>
              <w:top w:val="nil"/>
              <w:left w:val="nil"/>
              <w:bottom w:val="single" w:sz="4" w:space="0" w:color="auto"/>
              <w:right w:val="single" w:sz="4" w:space="0" w:color="auto"/>
            </w:tcBorders>
            <w:shd w:val="clear" w:color="auto" w:fill="auto"/>
            <w:noWrap/>
            <w:vAlign w:val="bottom"/>
            <w:hideMark/>
          </w:tcPr>
          <w:p w14:paraId="418BB34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1177.6</w:t>
            </w:r>
          </w:p>
        </w:tc>
        <w:tc>
          <w:tcPr>
            <w:tcW w:w="452" w:type="pct"/>
            <w:tcBorders>
              <w:top w:val="nil"/>
              <w:left w:val="nil"/>
              <w:bottom w:val="single" w:sz="4" w:space="0" w:color="auto"/>
              <w:right w:val="single" w:sz="4" w:space="0" w:color="auto"/>
            </w:tcBorders>
            <w:shd w:val="clear" w:color="auto" w:fill="auto"/>
            <w:noWrap/>
            <w:vAlign w:val="bottom"/>
            <w:hideMark/>
          </w:tcPr>
          <w:p w14:paraId="2768C21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1177.6</w:t>
            </w:r>
          </w:p>
        </w:tc>
        <w:tc>
          <w:tcPr>
            <w:tcW w:w="450" w:type="pct"/>
            <w:tcBorders>
              <w:top w:val="nil"/>
              <w:left w:val="nil"/>
              <w:bottom w:val="single" w:sz="4" w:space="0" w:color="auto"/>
              <w:right w:val="single" w:sz="4" w:space="0" w:color="auto"/>
            </w:tcBorders>
            <w:shd w:val="clear" w:color="auto" w:fill="auto"/>
            <w:noWrap/>
            <w:vAlign w:val="bottom"/>
            <w:hideMark/>
          </w:tcPr>
          <w:p w14:paraId="78EBDC4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1177.6</w:t>
            </w:r>
          </w:p>
        </w:tc>
      </w:tr>
      <w:tr w:rsidR="00245464" w:rsidRPr="006A1C90" w14:paraId="48F1E298"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02841476"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Mambilima Falls SiteI– 202 MW</w:t>
            </w:r>
          </w:p>
        </w:tc>
        <w:tc>
          <w:tcPr>
            <w:tcW w:w="315" w:type="pct"/>
            <w:tcBorders>
              <w:top w:val="nil"/>
              <w:left w:val="nil"/>
              <w:bottom w:val="single" w:sz="4" w:space="0" w:color="auto"/>
              <w:right w:val="single" w:sz="4" w:space="0" w:color="auto"/>
            </w:tcBorders>
            <w:shd w:val="clear" w:color="auto" w:fill="auto"/>
            <w:noWrap/>
            <w:vAlign w:val="bottom"/>
            <w:hideMark/>
          </w:tcPr>
          <w:p w14:paraId="2011AAE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202</w:t>
            </w:r>
          </w:p>
        </w:tc>
        <w:tc>
          <w:tcPr>
            <w:tcW w:w="547" w:type="pct"/>
            <w:tcBorders>
              <w:top w:val="nil"/>
              <w:left w:val="nil"/>
              <w:bottom w:val="single" w:sz="4" w:space="0" w:color="auto"/>
              <w:right w:val="single" w:sz="4" w:space="0" w:color="auto"/>
            </w:tcBorders>
            <w:shd w:val="clear" w:color="auto" w:fill="auto"/>
            <w:noWrap/>
            <w:vAlign w:val="bottom"/>
            <w:hideMark/>
          </w:tcPr>
          <w:p w14:paraId="60D6A7C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796284</w:t>
            </w:r>
          </w:p>
        </w:tc>
        <w:tc>
          <w:tcPr>
            <w:tcW w:w="217" w:type="pct"/>
            <w:tcBorders>
              <w:top w:val="nil"/>
              <w:left w:val="nil"/>
              <w:bottom w:val="single" w:sz="4" w:space="0" w:color="auto"/>
              <w:right w:val="single" w:sz="4" w:space="0" w:color="auto"/>
            </w:tcBorders>
            <w:shd w:val="clear" w:color="auto" w:fill="auto"/>
            <w:noWrap/>
            <w:vAlign w:val="bottom"/>
            <w:hideMark/>
          </w:tcPr>
          <w:p w14:paraId="25EE724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47A3CFF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726ED27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208DB40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773FD6B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671C2AF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792.9</w:t>
            </w:r>
          </w:p>
        </w:tc>
        <w:tc>
          <w:tcPr>
            <w:tcW w:w="382" w:type="pct"/>
            <w:tcBorders>
              <w:top w:val="nil"/>
              <w:left w:val="nil"/>
              <w:bottom w:val="single" w:sz="4" w:space="0" w:color="auto"/>
              <w:right w:val="single" w:sz="4" w:space="0" w:color="auto"/>
            </w:tcBorders>
            <w:shd w:val="clear" w:color="auto" w:fill="auto"/>
            <w:noWrap/>
            <w:vAlign w:val="bottom"/>
            <w:hideMark/>
          </w:tcPr>
          <w:p w14:paraId="3EA8A6C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792.9</w:t>
            </w:r>
          </w:p>
        </w:tc>
        <w:tc>
          <w:tcPr>
            <w:tcW w:w="452" w:type="pct"/>
            <w:tcBorders>
              <w:top w:val="nil"/>
              <w:left w:val="nil"/>
              <w:bottom w:val="single" w:sz="4" w:space="0" w:color="auto"/>
              <w:right w:val="single" w:sz="4" w:space="0" w:color="auto"/>
            </w:tcBorders>
            <w:shd w:val="clear" w:color="auto" w:fill="auto"/>
            <w:noWrap/>
            <w:vAlign w:val="bottom"/>
            <w:hideMark/>
          </w:tcPr>
          <w:p w14:paraId="6713462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792.9</w:t>
            </w:r>
          </w:p>
        </w:tc>
        <w:tc>
          <w:tcPr>
            <w:tcW w:w="450" w:type="pct"/>
            <w:tcBorders>
              <w:top w:val="nil"/>
              <w:left w:val="nil"/>
              <w:bottom w:val="single" w:sz="4" w:space="0" w:color="auto"/>
              <w:right w:val="single" w:sz="4" w:space="0" w:color="auto"/>
            </w:tcBorders>
            <w:shd w:val="clear" w:color="auto" w:fill="auto"/>
            <w:noWrap/>
            <w:vAlign w:val="bottom"/>
            <w:hideMark/>
          </w:tcPr>
          <w:p w14:paraId="697858C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792.9</w:t>
            </w:r>
          </w:p>
        </w:tc>
      </w:tr>
      <w:tr w:rsidR="00245464" w:rsidRPr="006A1C90" w14:paraId="72FAADAD"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028EAC14"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Mambilima Falls SiteI– 124 MW</w:t>
            </w:r>
          </w:p>
        </w:tc>
        <w:tc>
          <w:tcPr>
            <w:tcW w:w="315" w:type="pct"/>
            <w:tcBorders>
              <w:top w:val="nil"/>
              <w:left w:val="nil"/>
              <w:bottom w:val="single" w:sz="4" w:space="0" w:color="auto"/>
              <w:right w:val="single" w:sz="4" w:space="0" w:color="auto"/>
            </w:tcBorders>
            <w:shd w:val="clear" w:color="auto" w:fill="auto"/>
            <w:noWrap/>
            <w:vAlign w:val="bottom"/>
            <w:hideMark/>
          </w:tcPr>
          <w:p w14:paraId="366C19F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124</w:t>
            </w:r>
          </w:p>
        </w:tc>
        <w:tc>
          <w:tcPr>
            <w:tcW w:w="547" w:type="pct"/>
            <w:tcBorders>
              <w:top w:val="nil"/>
              <w:left w:val="nil"/>
              <w:bottom w:val="single" w:sz="4" w:space="0" w:color="auto"/>
              <w:right w:val="single" w:sz="4" w:space="0" w:color="auto"/>
            </w:tcBorders>
            <w:shd w:val="clear" w:color="auto" w:fill="auto"/>
            <w:noWrap/>
            <w:vAlign w:val="bottom"/>
            <w:hideMark/>
          </w:tcPr>
          <w:p w14:paraId="6C2DC48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488808</w:t>
            </w:r>
          </w:p>
        </w:tc>
        <w:tc>
          <w:tcPr>
            <w:tcW w:w="217" w:type="pct"/>
            <w:tcBorders>
              <w:top w:val="nil"/>
              <w:left w:val="nil"/>
              <w:bottom w:val="single" w:sz="4" w:space="0" w:color="auto"/>
              <w:right w:val="single" w:sz="4" w:space="0" w:color="auto"/>
            </w:tcBorders>
            <w:shd w:val="clear" w:color="auto" w:fill="auto"/>
            <w:noWrap/>
            <w:vAlign w:val="bottom"/>
            <w:hideMark/>
          </w:tcPr>
          <w:p w14:paraId="32D9095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4B48458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2E9FBCE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411EF5F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5BCEA48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21899CF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486.8</w:t>
            </w:r>
          </w:p>
        </w:tc>
        <w:tc>
          <w:tcPr>
            <w:tcW w:w="382" w:type="pct"/>
            <w:tcBorders>
              <w:top w:val="nil"/>
              <w:left w:val="nil"/>
              <w:bottom w:val="single" w:sz="4" w:space="0" w:color="auto"/>
              <w:right w:val="single" w:sz="4" w:space="0" w:color="auto"/>
            </w:tcBorders>
            <w:shd w:val="clear" w:color="auto" w:fill="auto"/>
            <w:noWrap/>
            <w:vAlign w:val="bottom"/>
            <w:hideMark/>
          </w:tcPr>
          <w:p w14:paraId="3756863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486.8</w:t>
            </w:r>
          </w:p>
        </w:tc>
        <w:tc>
          <w:tcPr>
            <w:tcW w:w="452" w:type="pct"/>
            <w:tcBorders>
              <w:top w:val="nil"/>
              <w:left w:val="nil"/>
              <w:bottom w:val="single" w:sz="4" w:space="0" w:color="auto"/>
              <w:right w:val="single" w:sz="4" w:space="0" w:color="auto"/>
            </w:tcBorders>
            <w:shd w:val="clear" w:color="auto" w:fill="auto"/>
            <w:noWrap/>
            <w:vAlign w:val="bottom"/>
            <w:hideMark/>
          </w:tcPr>
          <w:p w14:paraId="0D68D75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486.8</w:t>
            </w:r>
          </w:p>
        </w:tc>
        <w:tc>
          <w:tcPr>
            <w:tcW w:w="450" w:type="pct"/>
            <w:tcBorders>
              <w:top w:val="nil"/>
              <w:left w:val="nil"/>
              <w:bottom w:val="single" w:sz="4" w:space="0" w:color="auto"/>
              <w:right w:val="single" w:sz="4" w:space="0" w:color="auto"/>
            </w:tcBorders>
            <w:shd w:val="clear" w:color="auto" w:fill="auto"/>
            <w:noWrap/>
            <w:vAlign w:val="bottom"/>
            <w:hideMark/>
          </w:tcPr>
          <w:p w14:paraId="0A18C2E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486.8</w:t>
            </w:r>
          </w:p>
        </w:tc>
      </w:tr>
      <w:tr w:rsidR="00245464" w:rsidRPr="006A1C90" w14:paraId="09643864"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15E5ACCD" w14:textId="35A1F4F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 xml:space="preserve">Kabwelume Falls </w:t>
            </w:r>
            <w:r w:rsidR="00FF028C">
              <w:rPr>
                <w:rFonts w:ascii="Times New Roman" w:eastAsia="Times New Roman" w:hAnsi="Times New Roman" w:cs="Times New Roman"/>
                <w:color w:val="000000" w:themeColor="text1"/>
                <w:sz w:val="20"/>
                <w:szCs w:val="20"/>
              </w:rPr>
              <w:t>–</w:t>
            </w:r>
            <w:r w:rsidRPr="006A1C90">
              <w:rPr>
                <w:rFonts w:ascii="Times New Roman" w:eastAsia="Times New Roman" w:hAnsi="Times New Roman" w:cs="Times New Roman"/>
                <w:color w:val="000000" w:themeColor="text1"/>
                <w:sz w:val="20"/>
                <w:szCs w:val="20"/>
              </w:rPr>
              <w:t xml:space="preserve"> MW</w:t>
            </w:r>
          </w:p>
        </w:tc>
        <w:tc>
          <w:tcPr>
            <w:tcW w:w="315" w:type="pct"/>
            <w:tcBorders>
              <w:top w:val="nil"/>
              <w:left w:val="nil"/>
              <w:bottom w:val="single" w:sz="4" w:space="0" w:color="auto"/>
              <w:right w:val="single" w:sz="4" w:space="0" w:color="auto"/>
            </w:tcBorders>
            <w:shd w:val="clear" w:color="auto" w:fill="auto"/>
            <w:noWrap/>
            <w:vAlign w:val="bottom"/>
            <w:hideMark/>
          </w:tcPr>
          <w:p w14:paraId="2722FE2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96</w:t>
            </w:r>
          </w:p>
        </w:tc>
        <w:tc>
          <w:tcPr>
            <w:tcW w:w="547" w:type="pct"/>
            <w:tcBorders>
              <w:top w:val="nil"/>
              <w:left w:val="nil"/>
              <w:bottom w:val="single" w:sz="4" w:space="0" w:color="auto"/>
              <w:right w:val="single" w:sz="4" w:space="0" w:color="auto"/>
            </w:tcBorders>
            <w:shd w:val="clear" w:color="auto" w:fill="auto"/>
            <w:noWrap/>
            <w:vAlign w:val="bottom"/>
            <w:hideMark/>
          </w:tcPr>
          <w:p w14:paraId="047C00A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378432</w:t>
            </w:r>
          </w:p>
        </w:tc>
        <w:tc>
          <w:tcPr>
            <w:tcW w:w="217" w:type="pct"/>
            <w:tcBorders>
              <w:top w:val="nil"/>
              <w:left w:val="nil"/>
              <w:bottom w:val="single" w:sz="4" w:space="0" w:color="auto"/>
              <w:right w:val="single" w:sz="4" w:space="0" w:color="auto"/>
            </w:tcBorders>
            <w:shd w:val="clear" w:color="auto" w:fill="auto"/>
            <w:noWrap/>
            <w:vAlign w:val="bottom"/>
            <w:hideMark/>
          </w:tcPr>
          <w:p w14:paraId="2432814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4097575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08FF765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4B6A814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4FEE4CB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0401229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376.8</w:t>
            </w:r>
          </w:p>
        </w:tc>
        <w:tc>
          <w:tcPr>
            <w:tcW w:w="382" w:type="pct"/>
            <w:tcBorders>
              <w:top w:val="nil"/>
              <w:left w:val="nil"/>
              <w:bottom w:val="single" w:sz="4" w:space="0" w:color="auto"/>
              <w:right w:val="single" w:sz="4" w:space="0" w:color="auto"/>
            </w:tcBorders>
            <w:shd w:val="clear" w:color="auto" w:fill="auto"/>
            <w:noWrap/>
            <w:vAlign w:val="bottom"/>
            <w:hideMark/>
          </w:tcPr>
          <w:p w14:paraId="3A98606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376.8</w:t>
            </w:r>
          </w:p>
        </w:tc>
        <w:tc>
          <w:tcPr>
            <w:tcW w:w="452" w:type="pct"/>
            <w:tcBorders>
              <w:top w:val="nil"/>
              <w:left w:val="nil"/>
              <w:bottom w:val="single" w:sz="4" w:space="0" w:color="auto"/>
              <w:right w:val="single" w:sz="4" w:space="0" w:color="auto"/>
            </w:tcBorders>
            <w:shd w:val="clear" w:color="auto" w:fill="auto"/>
            <w:noWrap/>
            <w:vAlign w:val="bottom"/>
            <w:hideMark/>
          </w:tcPr>
          <w:p w14:paraId="02B74B0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376.8</w:t>
            </w:r>
          </w:p>
        </w:tc>
        <w:tc>
          <w:tcPr>
            <w:tcW w:w="450" w:type="pct"/>
            <w:tcBorders>
              <w:top w:val="nil"/>
              <w:left w:val="nil"/>
              <w:bottom w:val="single" w:sz="4" w:space="0" w:color="auto"/>
              <w:right w:val="single" w:sz="4" w:space="0" w:color="auto"/>
            </w:tcBorders>
            <w:shd w:val="clear" w:color="auto" w:fill="auto"/>
            <w:noWrap/>
            <w:vAlign w:val="bottom"/>
            <w:hideMark/>
          </w:tcPr>
          <w:p w14:paraId="4CC7005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376.8</w:t>
            </w:r>
          </w:p>
        </w:tc>
      </w:tr>
      <w:tr w:rsidR="00245464" w:rsidRPr="006A1C90" w14:paraId="3CFC8873"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64D3FC57"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Kundabwika Falls –MW</w:t>
            </w:r>
          </w:p>
        </w:tc>
        <w:tc>
          <w:tcPr>
            <w:tcW w:w="315" w:type="pct"/>
            <w:tcBorders>
              <w:top w:val="nil"/>
              <w:left w:val="nil"/>
              <w:bottom w:val="single" w:sz="4" w:space="0" w:color="auto"/>
              <w:right w:val="single" w:sz="4" w:space="0" w:color="auto"/>
            </w:tcBorders>
            <w:shd w:val="clear" w:color="auto" w:fill="auto"/>
            <w:noWrap/>
            <w:vAlign w:val="bottom"/>
            <w:hideMark/>
          </w:tcPr>
          <w:p w14:paraId="33846F4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151</w:t>
            </w:r>
          </w:p>
        </w:tc>
        <w:tc>
          <w:tcPr>
            <w:tcW w:w="547" w:type="pct"/>
            <w:tcBorders>
              <w:top w:val="nil"/>
              <w:left w:val="nil"/>
              <w:bottom w:val="single" w:sz="4" w:space="0" w:color="auto"/>
              <w:right w:val="single" w:sz="4" w:space="0" w:color="auto"/>
            </w:tcBorders>
            <w:shd w:val="clear" w:color="auto" w:fill="auto"/>
            <w:noWrap/>
            <w:vAlign w:val="bottom"/>
            <w:hideMark/>
          </w:tcPr>
          <w:p w14:paraId="7AAE7A5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595242</w:t>
            </w:r>
          </w:p>
        </w:tc>
        <w:tc>
          <w:tcPr>
            <w:tcW w:w="217" w:type="pct"/>
            <w:tcBorders>
              <w:top w:val="nil"/>
              <w:left w:val="nil"/>
              <w:bottom w:val="single" w:sz="4" w:space="0" w:color="auto"/>
              <w:right w:val="single" w:sz="4" w:space="0" w:color="auto"/>
            </w:tcBorders>
            <w:shd w:val="clear" w:color="auto" w:fill="auto"/>
            <w:noWrap/>
            <w:vAlign w:val="bottom"/>
            <w:hideMark/>
          </w:tcPr>
          <w:p w14:paraId="1298639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7B31D87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424B59E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5FC4BDC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19B11A0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3A3FD11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592.7</w:t>
            </w:r>
          </w:p>
        </w:tc>
        <w:tc>
          <w:tcPr>
            <w:tcW w:w="382" w:type="pct"/>
            <w:tcBorders>
              <w:top w:val="nil"/>
              <w:left w:val="nil"/>
              <w:bottom w:val="single" w:sz="4" w:space="0" w:color="auto"/>
              <w:right w:val="single" w:sz="4" w:space="0" w:color="auto"/>
            </w:tcBorders>
            <w:shd w:val="clear" w:color="auto" w:fill="auto"/>
            <w:noWrap/>
            <w:vAlign w:val="bottom"/>
            <w:hideMark/>
          </w:tcPr>
          <w:p w14:paraId="3D4422D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592.7</w:t>
            </w:r>
          </w:p>
        </w:tc>
        <w:tc>
          <w:tcPr>
            <w:tcW w:w="452" w:type="pct"/>
            <w:tcBorders>
              <w:top w:val="nil"/>
              <w:left w:val="nil"/>
              <w:bottom w:val="single" w:sz="4" w:space="0" w:color="auto"/>
              <w:right w:val="single" w:sz="4" w:space="0" w:color="auto"/>
            </w:tcBorders>
            <w:shd w:val="clear" w:color="auto" w:fill="auto"/>
            <w:noWrap/>
            <w:vAlign w:val="bottom"/>
            <w:hideMark/>
          </w:tcPr>
          <w:p w14:paraId="79F9454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592.7</w:t>
            </w:r>
          </w:p>
        </w:tc>
        <w:tc>
          <w:tcPr>
            <w:tcW w:w="450" w:type="pct"/>
            <w:tcBorders>
              <w:top w:val="nil"/>
              <w:left w:val="nil"/>
              <w:bottom w:val="single" w:sz="4" w:space="0" w:color="auto"/>
              <w:right w:val="single" w:sz="4" w:space="0" w:color="auto"/>
            </w:tcBorders>
            <w:shd w:val="clear" w:color="auto" w:fill="auto"/>
            <w:noWrap/>
            <w:vAlign w:val="bottom"/>
            <w:hideMark/>
          </w:tcPr>
          <w:p w14:paraId="6AE3B75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592.7</w:t>
            </w:r>
          </w:p>
        </w:tc>
      </w:tr>
      <w:tr w:rsidR="00245464" w:rsidRPr="006A1C90" w14:paraId="59558E4C"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3F0B7E84"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Mutinondo - 40 MW</w:t>
            </w:r>
          </w:p>
        </w:tc>
        <w:tc>
          <w:tcPr>
            <w:tcW w:w="315" w:type="pct"/>
            <w:tcBorders>
              <w:top w:val="nil"/>
              <w:left w:val="nil"/>
              <w:bottom w:val="single" w:sz="4" w:space="0" w:color="auto"/>
              <w:right w:val="single" w:sz="4" w:space="0" w:color="auto"/>
            </w:tcBorders>
            <w:shd w:val="clear" w:color="auto" w:fill="auto"/>
            <w:noWrap/>
            <w:vAlign w:val="bottom"/>
            <w:hideMark/>
          </w:tcPr>
          <w:p w14:paraId="3701668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40</w:t>
            </w:r>
          </w:p>
        </w:tc>
        <w:tc>
          <w:tcPr>
            <w:tcW w:w="547" w:type="pct"/>
            <w:tcBorders>
              <w:top w:val="nil"/>
              <w:left w:val="nil"/>
              <w:bottom w:val="single" w:sz="4" w:space="0" w:color="auto"/>
              <w:right w:val="single" w:sz="4" w:space="0" w:color="auto"/>
            </w:tcBorders>
            <w:shd w:val="clear" w:color="auto" w:fill="auto"/>
            <w:noWrap/>
            <w:vAlign w:val="bottom"/>
            <w:hideMark/>
          </w:tcPr>
          <w:p w14:paraId="4BC6CA9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157680</w:t>
            </w:r>
          </w:p>
        </w:tc>
        <w:tc>
          <w:tcPr>
            <w:tcW w:w="217" w:type="pct"/>
            <w:tcBorders>
              <w:top w:val="nil"/>
              <w:left w:val="nil"/>
              <w:bottom w:val="single" w:sz="4" w:space="0" w:color="auto"/>
              <w:right w:val="single" w:sz="4" w:space="0" w:color="auto"/>
            </w:tcBorders>
            <w:shd w:val="clear" w:color="auto" w:fill="auto"/>
            <w:noWrap/>
            <w:vAlign w:val="bottom"/>
            <w:hideMark/>
          </w:tcPr>
          <w:p w14:paraId="2457E21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5A8A871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0F6E6B2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1A11AE8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3361587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388ADA5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41E8108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157.0</w:t>
            </w:r>
          </w:p>
        </w:tc>
        <w:tc>
          <w:tcPr>
            <w:tcW w:w="452" w:type="pct"/>
            <w:tcBorders>
              <w:top w:val="nil"/>
              <w:left w:val="nil"/>
              <w:bottom w:val="single" w:sz="4" w:space="0" w:color="auto"/>
              <w:right w:val="single" w:sz="4" w:space="0" w:color="auto"/>
            </w:tcBorders>
            <w:shd w:val="clear" w:color="auto" w:fill="auto"/>
            <w:noWrap/>
            <w:vAlign w:val="bottom"/>
            <w:hideMark/>
          </w:tcPr>
          <w:p w14:paraId="7ECEF6B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157.0</w:t>
            </w:r>
          </w:p>
        </w:tc>
        <w:tc>
          <w:tcPr>
            <w:tcW w:w="450" w:type="pct"/>
            <w:tcBorders>
              <w:top w:val="nil"/>
              <w:left w:val="nil"/>
              <w:bottom w:val="single" w:sz="4" w:space="0" w:color="auto"/>
              <w:right w:val="single" w:sz="4" w:space="0" w:color="auto"/>
            </w:tcBorders>
            <w:shd w:val="clear" w:color="auto" w:fill="auto"/>
            <w:noWrap/>
            <w:vAlign w:val="bottom"/>
            <w:hideMark/>
          </w:tcPr>
          <w:p w14:paraId="64DBA4F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157.0</w:t>
            </w:r>
          </w:p>
        </w:tc>
      </w:tr>
      <w:tr w:rsidR="00245464" w:rsidRPr="006A1C90" w14:paraId="79C84838"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4240D446"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Luchenene – 30 MW</w:t>
            </w:r>
          </w:p>
        </w:tc>
        <w:tc>
          <w:tcPr>
            <w:tcW w:w="315" w:type="pct"/>
            <w:tcBorders>
              <w:top w:val="nil"/>
              <w:left w:val="nil"/>
              <w:bottom w:val="single" w:sz="4" w:space="0" w:color="auto"/>
              <w:right w:val="single" w:sz="4" w:space="0" w:color="auto"/>
            </w:tcBorders>
            <w:shd w:val="clear" w:color="auto" w:fill="auto"/>
            <w:noWrap/>
            <w:vAlign w:val="bottom"/>
            <w:hideMark/>
          </w:tcPr>
          <w:p w14:paraId="4C1C530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30</w:t>
            </w:r>
          </w:p>
        </w:tc>
        <w:tc>
          <w:tcPr>
            <w:tcW w:w="547" w:type="pct"/>
            <w:tcBorders>
              <w:top w:val="nil"/>
              <w:left w:val="nil"/>
              <w:bottom w:val="single" w:sz="4" w:space="0" w:color="auto"/>
              <w:right w:val="single" w:sz="4" w:space="0" w:color="auto"/>
            </w:tcBorders>
            <w:shd w:val="clear" w:color="auto" w:fill="auto"/>
            <w:noWrap/>
            <w:vAlign w:val="bottom"/>
            <w:hideMark/>
          </w:tcPr>
          <w:p w14:paraId="75AA05F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118260</w:t>
            </w:r>
          </w:p>
        </w:tc>
        <w:tc>
          <w:tcPr>
            <w:tcW w:w="217" w:type="pct"/>
            <w:tcBorders>
              <w:top w:val="nil"/>
              <w:left w:val="nil"/>
              <w:bottom w:val="single" w:sz="4" w:space="0" w:color="auto"/>
              <w:right w:val="single" w:sz="4" w:space="0" w:color="auto"/>
            </w:tcBorders>
            <w:shd w:val="clear" w:color="auto" w:fill="auto"/>
            <w:noWrap/>
            <w:vAlign w:val="bottom"/>
            <w:hideMark/>
          </w:tcPr>
          <w:p w14:paraId="16B3A71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051D75B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5639EA4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06DECA1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2BFAC13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4DD27EE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1F5AE7F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117.8</w:t>
            </w:r>
          </w:p>
        </w:tc>
        <w:tc>
          <w:tcPr>
            <w:tcW w:w="452" w:type="pct"/>
            <w:tcBorders>
              <w:top w:val="nil"/>
              <w:left w:val="nil"/>
              <w:bottom w:val="single" w:sz="4" w:space="0" w:color="auto"/>
              <w:right w:val="single" w:sz="4" w:space="0" w:color="auto"/>
            </w:tcBorders>
            <w:shd w:val="clear" w:color="auto" w:fill="auto"/>
            <w:noWrap/>
            <w:vAlign w:val="bottom"/>
            <w:hideMark/>
          </w:tcPr>
          <w:p w14:paraId="7D81C13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117.8</w:t>
            </w:r>
          </w:p>
        </w:tc>
        <w:tc>
          <w:tcPr>
            <w:tcW w:w="450" w:type="pct"/>
            <w:tcBorders>
              <w:top w:val="nil"/>
              <w:left w:val="nil"/>
              <w:bottom w:val="single" w:sz="4" w:space="0" w:color="auto"/>
              <w:right w:val="single" w:sz="4" w:space="0" w:color="auto"/>
            </w:tcBorders>
            <w:shd w:val="clear" w:color="auto" w:fill="auto"/>
            <w:noWrap/>
            <w:vAlign w:val="bottom"/>
            <w:hideMark/>
          </w:tcPr>
          <w:p w14:paraId="75DEA76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117.8</w:t>
            </w:r>
          </w:p>
        </w:tc>
      </w:tr>
      <w:tr w:rsidR="00245464" w:rsidRPr="006A1C90" w14:paraId="67773812"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138782A9"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 xml:space="preserve">Mkushi – </w:t>
            </w:r>
          </w:p>
        </w:tc>
        <w:tc>
          <w:tcPr>
            <w:tcW w:w="315" w:type="pct"/>
            <w:tcBorders>
              <w:top w:val="nil"/>
              <w:left w:val="nil"/>
              <w:bottom w:val="single" w:sz="4" w:space="0" w:color="auto"/>
              <w:right w:val="single" w:sz="4" w:space="0" w:color="auto"/>
            </w:tcBorders>
            <w:shd w:val="clear" w:color="auto" w:fill="auto"/>
            <w:noWrap/>
            <w:vAlign w:val="bottom"/>
            <w:hideMark/>
          </w:tcPr>
          <w:p w14:paraId="50AC39A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65</w:t>
            </w:r>
          </w:p>
        </w:tc>
        <w:tc>
          <w:tcPr>
            <w:tcW w:w="547" w:type="pct"/>
            <w:tcBorders>
              <w:top w:val="nil"/>
              <w:left w:val="nil"/>
              <w:bottom w:val="single" w:sz="4" w:space="0" w:color="auto"/>
              <w:right w:val="single" w:sz="4" w:space="0" w:color="auto"/>
            </w:tcBorders>
            <w:shd w:val="clear" w:color="auto" w:fill="auto"/>
            <w:noWrap/>
            <w:vAlign w:val="bottom"/>
            <w:hideMark/>
          </w:tcPr>
          <w:p w14:paraId="7A2D891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256230</w:t>
            </w:r>
          </w:p>
        </w:tc>
        <w:tc>
          <w:tcPr>
            <w:tcW w:w="217" w:type="pct"/>
            <w:tcBorders>
              <w:top w:val="nil"/>
              <w:left w:val="nil"/>
              <w:bottom w:val="single" w:sz="4" w:space="0" w:color="auto"/>
              <w:right w:val="single" w:sz="4" w:space="0" w:color="auto"/>
            </w:tcBorders>
            <w:shd w:val="clear" w:color="auto" w:fill="auto"/>
            <w:noWrap/>
            <w:vAlign w:val="bottom"/>
            <w:hideMark/>
          </w:tcPr>
          <w:p w14:paraId="3FF1697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2B67A49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42211A3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0AF71A5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44B9CF6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27564F7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3532CEF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255.2</w:t>
            </w:r>
          </w:p>
        </w:tc>
        <w:tc>
          <w:tcPr>
            <w:tcW w:w="452" w:type="pct"/>
            <w:tcBorders>
              <w:top w:val="nil"/>
              <w:left w:val="nil"/>
              <w:bottom w:val="single" w:sz="4" w:space="0" w:color="auto"/>
              <w:right w:val="single" w:sz="4" w:space="0" w:color="auto"/>
            </w:tcBorders>
            <w:shd w:val="clear" w:color="auto" w:fill="auto"/>
            <w:noWrap/>
            <w:vAlign w:val="bottom"/>
            <w:hideMark/>
          </w:tcPr>
          <w:p w14:paraId="793B7C1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255.2</w:t>
            </w:r>
          </w:p>
        </w:tc>
        <w:tc>
          <w:tcPr>
            <w:tcW w:w="450" w:type="pct"/>
            <w:tcBorders>
              <w:top w:val="nil"/>
              <w:left w:val="nil"/>
              <w:bottom w:val="single" w:sz="4" w:space="0" w:color="auto"/>
              <w:right w:val="single" w:sz="4" w:space="0" w:color="auto"/>
            </w:tcBorders>
            <w:shd w:val="clear" w:color="auto" w:fill="auto"/>
            <w:noWrap/>
            <w:vAlign w:val="bottom"/>
            <w:hideMark/>
          </w:tcPr>
          <w:p w14:paraId="7A13DFA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255.2</w:t>
            </w:r>
          </w:p>
        </w:tc>
      </w:tr>
      <w:tr w:rsidR="00245464" w:rsidRPr="006A1C90" w14:paraId="53EB4B97"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63AEEBDE"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Mumbotuta</w:t>
            </w:r>
          </w:p>
        </w:tc>
        <w:tc>
          <w:tcPr>
            <w:tcW w:w="315" w:type="pct"/>
            <w:tcBorders>
              <w:top w:val="nil"/>
              <w:left w:val="nil"/>
              <w:bottom w:val="single" w:sz="4" w:space="0" w:color="auto"/>
              <w:right w:val="single" w:sz="4" w:space="0" w:color="auto"/>
            </w:tcBorders>
            <w:shd w:val="clear" w:color="auto" w:fill="auto"/>
            <w:noWrap/>
            <w:vAlign w:val="bottom"/>
            <w:hideMark/>
          </w:tcPr>
          <w:p w14:paraId="489BA1F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300</w:t>
            </w:r>
          </w:p>
        </w:tc>
        <w:tc>
          <w:tcPr>
            <w:tcW w:w="547" w:type="pct"/>
            <w:tcBorders>
              <w:top w:val="nil"/>
              <w:left w:val="nil"/>
              <w:bottom w:val="single" w:sz="4" w:space="0" w:color="auto"/>
              <w:right w:val="single" w:sz="4" w:space="0" w:color="auto"/>
            </w:tcBorders>
            <w:shd w:val="clear" w:color="auto" w:fill="auto"/>
            <w:noWrap/>
            <w:vAlign w:val="bottom"/>
            <w:hideMark/>
          </w:tcPr>
          <w:p w14:paraId="15A1D71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1182600</w:t>
            </w:r>
          </w:p>
        </w:tc>
        <w:tc>
          <w:tcPr>
            <w:tcW w:w="217" w:type="pct"/>
            <w:tcBorders>
              <w:top w:val="nil"/>
              <w:left w:val="nil"/>
              <w:bottom w:val="single" w:sz="4" w:space="0" w:color="auto"/>
              <w:right w:val="single" w:sz="4" w:space="0" w:color="auto"/>
            </w:tcBorders>
            <w:shd w:val="clear" w:color="auto" w:fill="auto"/>
            <w:noWrap/>
            <w:vAlign w:val="bottom"/>
            <w:hideMark/>
          </w:tcPr>
          <w:p w14:paraId="7CC5CDC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4B73E9C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38DCC18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07F9150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79A8CE9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5C09516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6C8526F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1177.6</w:t>
            </w:r>
          </w:p>
        </w:tc>
        <w:tc>
          <w:tcPr>
            <w:tcW w:w="452" w:type="pct"/>
            <w:tcBorders>
              <w:top w:val="nil"/>
              <w:left w:val="nil"/>
              <w:bottom w:val="single" w:sz="4" w:space="0" w:color="auto"/>
              <w:right w:val="single" w:sz="4" w:space="0" w:color="auto"/>
            </w:tcBorders>
            <w:shd w:val="clear" w:color="auto" w:fill="auto"/>
            <w:noWrap/>
            <w:vAlign w:val="bottom"/>
            <w:hideMark/>
          </w:tcPr>
          <w:p w14:paraId="4B34112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1177.6</w:t>
            </w:r>
          </w:p>
        </w:tc>
        <w:tc>
          <w:tcPr>
            <w:tcW w:w="450" w:type="pct"/>
            <w:tcBorders>
              <w:top w:val="nil"/>
              <w:left w:val="nil"/>
              <w:bottom w:val="single" w:sz="4" w:space="0" w:color="auto"/>
              <w:right w:val="single" w:sz="4" w:space="0" w:color="auto"/>
            </w:tcBorders>
            <w:shd w:val="clear" w:color="auto" w:fill="auto"/>
            <w:noWrap/>
            <w:vAlign w:val="bottom"/>
            <w:hideMark/>
          </w:tcPr>
          <w:p w14:paraId="27827C6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1177.6</w:t>
            </w:r>
          </w:p>
        </w:tc>
      </w:tr>
      <w:tr w:rsidR="00245464" w:rsidRPr="006A1C90" w14:paraId="58266FE1"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04BFC756"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Mambilima Falls SiteI– 202 MW</w:t>
            </w:r>
          </w:p>
        </w:tc>
        <w:tc>
          <w:tcPr>
            <w:tcW w:w="315" w:type="pct"/>
            <w:tcBorders>
              <w:top w:val="nil"/>
              <w:left w:val="nil"/>
              <w:bottom w:val="single" w:sz="4" w:space="0" w:color="auto"/>
              <w:right w:val="single" w:sz="4" w:space="0" w:color="auto"/>
            </w:tcBorders>
            <w:shd w:val="clear" w:color="auto" w:fill="auto"/>
            <w:noWrap/>
            <w:vAlign w:val="bottom"/>
            <w:hideMark/>
          </w:tcPr>
          <w:p w14:paraId="4C4EDBC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202</w:t>
            </w:r>
          </w:p>
        </w:tc>
        <w:tc>
          <w:tcPr>
            <w:tcW w:w="547" w:type="pct"/>
            <w:tcBorders>
              <w:top w:val="nil"/>
              <w:left w:val="nil"/>
              <w:bottom w:val="single" w:sz="4" w:space="0" w:color="auto"/>
              <w:right w:val="single" w:sz="4" w:space="0" w:color="auto"/>
            </w:tcBorders>
            <w:shd w:val="clear" w:color="auto" w:fill="auto"/>
            <w:noWrap/>
            <w:vAlign w:val="bottom"/>
            <w:hideMark/>
          </w:tcPr>
          <w:p w14:paraId="08530BB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796284</w:t>
            </w:r>
          </w:p>
        </w:tc>
        <w:tc>
          <w:tcPr>
            <w:tcW w:w="217" w:type="pct"/>
            <w:tcBorders>
              <w:top w:val="nil"/>
              <w:left w:val="nil"/>
              <w:bottom w:val="single" w:sz="4" w:space="0" w:color="auto"/>
              <w:right w:val="single" w:sz="4" w:space="0" w:color="auto"/>
            </w:tcBorders>
            <w:shd w:val="clear" w:color="auto" w:fill="auto"/>
            <w:noWrap/>
            <w:vAlign w:val="bottom"/>
            <w:hideMark/>
          </w:tcPr>
          <w:p w14:paraId="74F5F0F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1A2AA42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70E927D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3BAA469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0E63B0E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21866CC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2" w:type="pct"/>
            <w:tcBorders>
              <w:top w:val="nil"/>
              <w:left w:val="nil"/>
              <w:bottom w:val="single" w:sz="4" w:space="0" w:color="auto"/>
              <w:right w:val="single" w:sz="4" w:space="0" w:color="auto"/>
            </w:tcBorders>
            <w:shd w:val="clear" w:color="auto" w:fill="auto"/>
            <w:noWrap/>
            <w:vAlign w:val="bottom"/>
            <w:hideMark/>
          </w:tcPr>
          <w:p w14:paraId="3D07E67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792.9</w:t>
            </w:r>
          </w:p>
        </w:tc>
        <w:tc>
          <w:tcPr>
            <w:tcW w:w="452" w:type="pct"/>
            <w:tcBorders>
              <w:top w:val="nil"/>
              <w:left w:val="nil"/>
              <w:bottom w:val="single" w:sz="4" w:space="0" w:color="auto"/>
              <w:right w:val="single" w:sz="4" w:space="0" w:color="auto"/>
            </w:tcBorders>
            <w:shd w:val="clear" w:color="auto" w:fill="auto"/>
            <w:noWrap/>
            <w:vAlign w:val="bottom"/>
            <w:hideMark/>
          </w:tcPr>
          <w:p w14:paraId="7321F4D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792.9</w:t>
            </w:r>
          </w:p>
        </w:tc>
        <w:tc>
          <w:tcPr>
            <w:tcW w:w="450" w:type="pct"/>
            <w:tcBorders>
              <w:top w:val="nil"/>
              <w:left w:val="nil"/>
              <w:bottom w:val="single" w:sz="4" w:space="0" w:color="auto"/>
              <w:right w:val="single" w:sz="4" w:space="0" w:color="auto"/>
            </w:tcBorders>
            <w:shd w:val="clear" w:color="auto" w:fill="auto"/>
            <w:noWrap/>
            <w:vAlign w:val="bottom"/>
            <w:hideMark/>
          </w:tcPr>
          <w:p w14:paraId="78BBCFF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792.9</w:t>
            </w:r>
          </w:p>
        </w:tc>
      </w:tr>
      <w:tr w:rsidR="00245464" w:rsidRPr="006A1C90" w14:paraId="68E9DE08"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559EDE48"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lastRenderedPageBreak/>
              <w:t>GETFiT Mini Hydro Phase I</w:t>
            </w:r>
          </w:p>
        </w:tc>
        <w:tc>
          <w:tcPr>
            <w:tcW w:w="315" w:type="pct"/>
            <w:tcBorders>
              <w:top w:val="nil"/>
              <w:left w:val="nil"/>
              <w:bottom w:val="single" w:sz="4" w:space="0" w:color="auto"/>
              <w:right w:val="single" w:sz="4" w:space="0" w:color="auto"/>
            </w:tcBorders>
            <w:shd w:val="clear" w:color="auto" w:fill="auto"/>
            <w:noWrap/>
            <w:vAlign w:val="bottom"/>
            <w:hideMark/>
          </w:tcPr>
          <w:p w14:paraId="4AC25E4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100</w:t>
            </w:r>
          </w:p>
        </w:tc>
        <w:tc>
          <w:tcPr>
            <w:tcW w:w="547" w:type="pct"/>
            <w:tcBorders>
              <w:top w:val="nil"/>
              <w:left w:val="nil"/>
              <w:bottom w:val="single" w:sz="4" w:space="0" w:color="auto"/>
              <w:right w:val="single" w:sz="4" w:space="0" w:color="auto"/>
            </w:tcBorders>
            <w:shd w:val="clear" w:color="auto" w:fill="auto"/>
            <w:noWrap/>
            <w:vAlign w:val="bottom"/>
            <w:hideMark/>
          </w:tcPr>
          <w:p w14:paraId="1DA88A4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394200</w:t>
            </w:r>
          </w:p>
        </w:tc>
        <w:tc>
          <w:tcPr>
            <w:tcW w:w="217" w:type="pct"/>
            <w:tcBorders>
              <w:top w:val="nil"/>
              <w:left w:val="nil"/>
              <w:bottom w:val="single" w:sz="4" w:space="0" w:color="auto"/>
              <w:right w:val="single" w:sz="4" w:space="0" w:color="auto"/>
            </w:tcBorders>
            <w:shd w:val="clear" w:color="auto" w:fill="auto"/>
            <w:noWrap/>
            <w:vAlign w:val="bottom"/>
            <w:hideMark/>
          </w:tcPr>
          <w:p w14:paraId="65CD017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04BDCC8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005C4DE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392.5</w:t>
            </w:r>
          </w:p>
        </w:tc>
        <w:tc>
          <w:tcPr>
            <w:tcW w:w="417" w:type="pct"/>
            <w:tcBorders>
              <w:top w:val="nil"/>
              <w:left w:val="nil"/>
              <w:bottom w:val="single" w:sz="4" w:space="0" w:color="auto"/>
              <w:right w:val="single" w:sz="4" w:space="0" w:color="auto"/>
            </w:tcBorders>
            <w:shd w:val="clear" w:color="auto" w:fill="auto"/>
            <w:noWrap/>
            <w:vAlign w:val="bottom"/>
            <w:hideMark/>
          </w:tcPr>
          <w:p w14:paraId="70248DB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392.5</w:t>
            </w:r>
          </w:p>
        </w:tc>
        <w:tc>
          <w:tcPr>
            <w:tcW w:w="381" w:type="pct"/>
            <w:tcBorders>
              <w:top w:val="nil"/>
              <w:left w:val="nil"/>
              <w:bottom w:val="single" w:sz="4" w:space="0" w:color="auto"/>
              <w:right w:val="single" w:sz="4" w:space="0" w:color="auto"/>
            </w:tcBorders>
            <w:shd w:val="clear" w:color="auto" w:fill="auto"/>
            <w:noWrap/>
            <w:vAlign w:val="bottom"/>
            <w:hideMark/>
          </w:tcPr>
          <w:p w14:paraId="455DDC02"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392.5</w:t>
            </w:r>
          </w:p>
        </w:tc>
        <w:tc>
          <w:tcPr>
            <w:tcW w:w="382" w:type="pct"/>
            <w:tcBorders>
              <w:top w:val="nil"/>
              <w:left w:val="nil"/>
              <w:bottom w:val="single" w:sz="4" w:space="0" w:color="auto"/>
              <w:right w:val="single" w:sz="4" w:space="0" w:color="auto"/>
            </w:tcBorders>
            <w:shd w:val="clear" w:color="auto" w:fill="auto"/>
            <w:noWrap/>
            <w:vAlign w:val="bottom"/>
            <w:hideMark/>
          </w:tcPr>
          <w:p w14:paraId="3CCE0CD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392.5</w:t>
            </w:r>
          </w:p>
        </w:tc>
        <w:tc>
          <w:tcPr>
            <w:tcW w:w="382" w:type="pct"/>
            <w:tcBorders>
              <w:top w:val="nil"/>
              <w:left w:val="nil"/>
              <w:bottom w:val="single" w:sz="4" w:space="0" w:color="auto"/>
              <w:right w:val="single" w:sz="4" w:space="0" w:color="auto"/>
            </w:tcBorders>
            <w:shd w:val="clear" w:color="auto" w:fill="auto"/>
            <w:noWrap/>
            <w:vAlign w:val="bottom"/>
            <w:hideMark/>
          </w:tcPr>
          <w:p w14:paraId="47D0A02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392.5</w:t>
            </w:r>
          </w:p>
        </w:tc>
        <w:tc>
          <w:tcPr>
            <w:tcW w:w="452" w:type="pct"/>
            <w:tcBorders>
              <w:top w:val="nil"/>
              <w:left w:val="nil"/>
              <w:bottom w:val="single" w:sz="4" w:space="0" w:color="auto"/>
              <w:right w:val="single" w:sz="4" w:space="0" w:color="auto"/>
            </w:tcBorders>
            <w:shd w:val="clear" w:color="auto" w:fill="auto"/>
            <w:noWrap/>
            <w:vAlign w:val="bottom"/>
            <w:hideMark/>
          </w:tcPr>
          <w:p w14:paraId="299DBE0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392.5</w:t>
            </w:r>
          </w:p>
        </w:tc>
        <w:tc>
          <w:tcPr>
            <w:tcW w:w="450" w:type="pct"/>
            <w:tcBorders>
              <w:top w:val="nil"/>
              <w:left w:val="nil"/>
              <w:bottom w:val="single" w:sz="4" w:space="0" w:color="auto"/>
              <w:right w:val="single" w:sz="4" w:space="0" w:color="auto"/>
            </w:tcBorders>
            <w:shd w:val="clear" w:color="auto" w:fill="auto"/>
            <w:noWrap/>
            <w:vAlign w:val="bottom"/>
            <w:hideMark/>
          </w:tcPr>
          <w:p w14:paraId="2390110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392.5</w:t>
            </w:r>
          </w:p>
        </w:tc>
      </w:tr>
      <w:tr w:rsidR="00245464" w:rsidRPr="006A1C90" w14:paraId="01016ED9"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6EF7C45A"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Lusiwasi Upper (15MW)</w:t>
            </w:r>
          </w:p>
        </w:tc>
        <w:tc>
          <w:tcPr>
            <w:tcW w:w="315" w:type="pct"/>
            <w:tcBorders>
              <w:top w:val="nil"/>
              <w:left w:val="nil"/>
              <w:bottom w:val="single" w:sz="4" w:space="0" w:color="auto"/>
              <w:right w:val="single" w:sz="4" w:space="0" w:color="auto"/>
            </w:tcBorders>
            <w:shd w:val="clear" w:color="auto" w:fill="auto"/>
            <w:noWrap/>
            <w:vAlign w:val="bottom"/>
            <w:hideMark/>
          </w:tcPr>
          <w:p w14:paraId="32349CA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w:t>
            </w:r>
          </w:p>
        </w:tc>
        <w:tc>
          <w:tcPr>
            <w:tcW w:w="547" w:type="pct"/>
            <w:tcBorders>
              <w:top w:val="nil"/>
              <w:left w:val="nil"/>
              <w:bottom w:val="single" w:sz="4" w:space="0" w:color="auto"/>
              <w:right w:val="single" w:sz="4" w:space="0" w:color="auto"/>
            </w:tcBorders>
            <w:shd w:val="clear" w:color="auto" w:fill="auto"/>
            <w:noWrap/>
            <w:vAlign w:val="bottom"/>
            <w:hideMark/>
          </w:tcPr>
          <w:p w14:paraId="276B1C3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59130</w:t>
            </w:r>
          </w:p>
        </w:tc>
        <w:tc>
          <w:tcPr>
            <w:tcW w:w="217" w:type="pct"/>
            <w:tcBorders>
              <w:top w:val="nil"/>
              <w:left w:val="nil"/>
              <w:bottom w:val="single" w:sz="4" w:space="0" w:color="auto"/>
              <w:right w:val="single" w:sz="4" w:space="0" w:color="auto"/>
            </w:tcBorders>
            <w:shd w:val="clear" w:color="auto" w:fill="auto"/>
            <w:noWrap/>
            <w:vAlign w:val="bottom"/>
            <w:hideMark/>
          </w:tcPr>
          <w:p w14:paraId="532670D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04C4333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75EE6F0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58.9</w:t>
            </w:r>
          </w:p>
        </w:tc>
        <w:tc>
          <w:tcPr>
            <w:tcW w:w="417" w:type="pct"/>
            <w:tcBorders>
              <w:top w:val="nil"/>
              <w:left w:val="nil"/>
              <w:bottom w:val="single" w:sz="4" w:space="0" w:color="auto"/>
              <w:right w:val="single" w:sz="4" w:space="0" w:color="auto"/>
            </w:tcBorders>
            <w:shd w:val="clear" w:color="auto" w:fill="auto"/>
            <w:noWrap/>
            <w:vAlign w:val="bottom"/>
            <w:hideMark/>
          </w:tcPr>
          <w:p w14:paraId="5726E89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58.9</w:t>
            </w:r>
          </w:p>
        </w:tc>
        <w:tc>
          <w:tcPr>
            <w:tcW w:w="381" w:type="pct"/>
            <w:tcBorders>
              <w:top w:val="nil"/>
              <w:left w:val="nil"/>
              <w:bottom w:val="single" w:sz="4" w:space="0" w:color="auto"/>
              <w:right w:val="single" w:sz="4" w:space="0" w:color="auto"/>
            </w:tcBorders>
            <w:shd w:val="clear" w:color="auto" w:fill="auto"/>
            <w:noWrap/>
            <w:vAlign w:val="bottom"/>
            <w:hideMark/>
          </w:tcPr>
          <w:p w14:paraId="0AB4C7F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58.9</w:t>
            </w:r>
          </w:p>
        </w:tc>
        <w:tc>
          <w:tcPr>
            <w:tcW w:w="382" w:type="pct"/>
            <w:tcBorders>
              <w:top w:val="nil"/>
              <w:left w:val="nil"/>
              <w:bottom w:val="single" w:sz="4" w:space="0" w:color="auto"/>
              <w:right w:val="single" w:sz="4" w:space="0" w:color="auto"/>
            </w:tcBorders>
            <w:shd w:val="clear" w:color="auto" w:fill="auto"/>
            <w:noWrap/>
            <w:vAlign w:val="bottom"/>
            <w:hideMark/>
          </w:tcPr>
          <w:p w14:paraId="5468E90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58.9</w:t>
            </w:r>
          </w:p>
        </w:tc>
        <w:tc>
          <w:tcPr>
            <w:tcW w:w="382" w:type="pct"/>
            <w:tcBorders>
              <w:top w:val="nil"/>
              <w:left w:val="nil"/>
              <w:bottom w:val="single" w:sz="4" w:space="0" w:color="auto"/>
              <w:right w:val="single" w:sz="4" w:space="0" w:color="auto"/>
            </w:tcBorders>
            <w:shd w:val="clear" w:color="auto" w:fill="auto"/>
            <w:noWrap/>
            <w:vAlign w:val="bottom"/>
            <w:hideMark/>
          </w:tcPr>
          <w:p w14:paraId="57C1CE7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58.9</w:t>
            </w:r>
          </w:p>
        </w:tc>
        <w:tc>
          <w:tcPr>
            <w:tcW w:w="452" w:type="pct"/>
            <w:tcBorders>
              <w:top w:val="nil"/>
              <w:left w:val="nil"/>
              <w:bottom w:val="single" w:sz="4" w:space="0" w:color="auto"/>
              <w:right w:val="single" w:sz="4" w:space="0" w:color="auto"/>
            </w:tcBorders>
            <w:shd w:val="clear" w:color="auto" w:fill="auto"/>
            <w:noWrap/>
            <w:vAlign w:val="bottom"/>
            <w:hideMark/>
          </w:tcPr>
          <w:p w14:paraId="411AD29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58.9</w:t>
            </w:r>
          </w:p>
        </w:tc>
        <w:tc>
          <w:tcPr>
            <w:tcW w:w="450" w:type="pct"/>
            <w:tcBorders>
              <w:top w:val="nil"/>
              <w:left w:val="nil"/>
              <w:bottom w:val="single" w:sz="4" w:space="0" w:color="auto"/>
              <w:right w:val="single" w:sz="4" w:space="0" w:color="auto"/>
            </w:tcBorders>
            <w:shd w:val="clear" w:color="auto" w:fill="auto"/>
            <w:noWrap/>
            <w:vAlign w:val="bottom"/>
            <w:hideMark/>
          </w:tcPr>
          <w:p w14:paraId="3D0EEF5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58.9</w:t>
            </w:r>
          </w:p>
        </w:tc>
      </w:tr>
      <w:tr w:rsidR="00245464" w:rsidRPr="006A1C90" w14:paraId="32E9732C"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2F0626D1"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Lusiwasi Lower (86 MW)</w:t>
            </w:r>
          </w:p>
        </w:tc>
        <w:tc>
          <w:tcPr>
            <w:tcW w:w="315" w:type="pct"/>
            <w:tcBorders>
              <w:top w:val="nil"/>
              <w:left w:val="nil"/>
              <w:bottom w:val="single" w:sz="4" w:space="0" w:color="auto"/>
              <w:right w:val="single" w:sz="4" w:space="0" w:color="auto"/>
            </w:tcBorders>
            <w:shd w:val="clear" w:color="auto" w:fill="auto"/>
            <w:noWrap/>
            <w:vAlign w:val="bottom"/>
            <w:hideMark/>
          </w:tcPr>
          <w:p w14:paraId="1A0BEB4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86</w:t>
            </w:r>
          </w:p>
        </w:tc>
        <w:tc>
          <w:tcPr>
            <w:tcW w:w="547" w:type="pct"/>
            <w:tcBorders>
              <w:top w:val="nil"/>
              <w:left w:val="nil"/>
              <w:bottom w:val="single" w:sz="4" w:space="0" w:color="auto"/>
              <w:right w:val="single" w:sz="4" w:space="0" w:color="auto"/>
            </w:tcBorders>
            <w:shd w:val="clear" w:color="auto" w:fill="auto"/>
            <w:noWrap/>
            <w:vAlign w:val="bottom"/>
            <w:hideMark/>
          </w:tcPr>
          <w:p w14:paraId="564EEA5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339012</w:t>
            </w:r>
          </w:p>
        </w:tc>
        <w:tc>
          <w:tcPr>
            <w:tcW w:w="217" w:type="pct"/>
            <w:tcBorders>
              <w:top w:val="nil"/>
              <w:left w:val="nil"/>
              <w:bottom w:val="single" w:sz="4" w:space="0" w:color="auto"/>
              <w:right w:val="single" w:sz="4" w:space="0" w:color="auto"/>
            </w:tcBorders>
            <w:shd w:val="clear" w:color="auto" w:fill="auto"/>
            <w:noWrap/>
            <w:vAlign w:val="bottom"/>
            <w:hideMark/>
          </w:tcPr>
          <w:p w14:paraId="2C80C30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62C6437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6B175CA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7A4B9CB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41C7C4C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337.6</w:t>
            </w:r>
          </w:p>
        </w:tc>
        <w:tc>
          <w:tcPr>
            <w:tcW w:w="382" w:type="pct"/>
            <w:tcBorders>
              <w:top w:val="nil"/>
              <w:left w:val="nil"/>
              <w:bottom w:val="single" w:sz="4" w:space="0" w:color="auto"/>
              <w:right w:val="single" w:sz="4" w:space="0" w:color="auto"/>
            </w:tcBorders>
            <w:shd w:val="clear" w:color="auto" w:fill="auto"/>
            <w:noWrap/>
            <w:vAlign w:val="bottom"/>
            <w:hideMark/>
          </w:tcPr>
          <w:p w14:paraId="27D4542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337.6</w:t>
            </w:r>
          </w:p>
        </w:tc>
        <w:tc>
          <w:tcPr>
            <w:tcW w:w="382" w:type="pct"/>
            <w:tcBorders>
              <w:top w:val="nil"/>
              <w:left w:val="nil"/>
              <w:bottom w:val="single" w:sz="4" w:space="0" w:color="auto"/>
              <w:right w:val="single" w:sz="4" w:space="0" w:color="auto"/>
            </w:tcBorders>
            <w:shd w:val="clear" w:color="auto" w:fill="auto"/>
            <w:noWrap/>
            <w:vAlign w:val="bottom"/>
            <w:hideMark/>
          </w:tcPr>
          <w:p w14:paraId="17ADBB9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337.6</w:t>
            </w:r>
          </w:p>
        </w:tc>
        <w:tc>
          <w:tcPr>
            <w:tcW w:w="452" w:type="pct"/>
            <w:tcBorders>
              <w:top w:val="nil"/>
              <w:left w:val="nil"/>
              <w:bottom w:val="single" w:sz="4" w:space="0" w:color="auto"/>
              <w:right w:val="single" w:sz="4" w:space="0" w:color="auto"/>
            </w:tcBorders>
            <w:shd w:val="clear" w:color="auto" w:fill="auto"/>
            <w:noWrap/>
            <w:vAlign w:val="bottom"/>
            <w:hideMark/>
          </w:tcPr>
          <w:p w14:paraId="7F02F5C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337.6</w:t>
            </w:r>
          </w:p>
        </w:tc>
        <w:tc>
          <w:tcPr>
            <w:tcW w:w="450" w:type="pct"/>
            <w:tcBorders>
              <w:top w:val="nil"/>
              <w:left w:val="nil"/>
              <w:bottom w:val="single" w:sz="4" w:space="0" w:color="auto"/>
              <w:right w:val="single" w:sz="4" w:space="0" w:color="auto"/>
            </w:tcBorders>
            <w:shd w:val="clear" w:color="auto" w:fill="auto"/>
            <w:noWrap/>
            <w:vAlign w:val="bottom"/>
            <w:hideMark/>
          </w:tcPr>
          <w:p w14:paraId="2F9CF17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337.6</w:t>
            </w:r>
          </w:p>
        </w:tc>
      </w:tr>
      <w:tr w:rsidR="00245464" w:rsidRPr="006A1C90" w14:paraId="5E0B01DE"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40F43740"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 xml:space="preserve">Muchinga </w:t>
            </w:r>
          </w:p>
        </w:tc>
        <w:tc>
          <w:tcPr>
            <w:tcW w:w="315" w:type="pct"/>
            <w:tcBorders>
              <w:top w:val="nil"/>
              <w:left w:val="nil"/>
              <w:bottom w:val="single" w:sz="4" w:space="0" w:color="auto"/>
              <w:right w:val="single" w:sz="4" w:space="0" w:color="auto"/>
            </w:tcBorders>
            <w:shd w:val="clear" w:color="auto" w:fill="auto"/>
            <w:noWrap/>
            <w:vAlign w:val="bottom"/>
            <w:hideMark/>
          </w:tcPr>
          <w:p w14:paraId="73F86B0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230</w:t>
            </w:r>
          </w:p>
        </w:tc>
        <w:tc>
          <w:tcPr>
            <w:tcW w:w="547" w:type="pct"/>
            <w:tcBorders>
              <w:top w:val="nil"/>
              <w:left w:val="nil"/>
              <w:bottom w:val="single" w:sz="4" w:space="0" w:color="auto"/>
              <w:right w:val="single" w:sz="4" w:space="0" w:color="auto"/>
            </w:tcBorders>
            <w:shd w:val="clear" w:color="auto" w:fill="auto"/>
            <w:noWrap/>
            <w:vAlign w:val="bottom"/>
            <w:hideMark/>
          </w:tcPr>
          <w:p w14:paraId="1C2F41D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906660</w:t>
            </w:r>
          </w:p>
        </w:tc>
        <w:tc>
          <w:tcPr>
            <w:tcW w:w="217" w:type="pct"/>
            <w:tcBorders>
              <w:top w:val="nil"/>
              <w:left w:val="nil"/>
              <w:bottom w:val="single" w:sz="4" w:space="0" w:color="auto"/>
              <w:right w:val="single" w:sz="4" w:space="0" w:color="auto"/>
            </w:tcBorders>
            <w:shd w:val="clear" w:color="auto" w:fill="auto"/>
            <w:noWrap/>
            <w:vAlign w:val="bottom"/>
            <w:hideMark/>
          </w:tcPr>
          <w:p w14:paraId="5BFD9B7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2B41ED36"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1B36075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02C3419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17B8C45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902.9</w:t>
            </w:r>
          </w:p>
        </w:tc>
        <w:tc>
          <w:tcPr>
            <w:tcW w:w="382" w:type="pct"/>
            <w:tcBorders>
              <w:top w:val="nil"/>
              <w:left w:val="nil"/>
              <w:bottom w:val="single" w:sz="4" w:space="0" w:color="auto"/>
              <w:right w:val="single" w:sz="4" w:space="0" w:color="auto"/>
            </w:tcBorders>
            <w:shd w:val="clear" w:color="auto" w:fill="auto"/>
            <w:noWrap/>
            <w:vAlign w:val="bottom"/>
            <w:hideMark/>
          </w:tcPr>
          <w:p w14:paraId="2650AF60"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902.9</w:t>
            </w:r>
          </w:p>
        </w:tc>
        <w:tc>
          <w:tcPr>
            <w:tcW w:w="382" w:type="pct"/>
            <w:tcBorders>
              <w:top w:val="nil"/>
              <w:left w:val="nil"/>
              <w:bottom w:val="single" w:sz="4" w:space="0" w:color="auto"/>
              <w:right w:val="single" w:sz="4" w:space="0" w:color="auto"/>
            </w:tcBorders>
            <w:shd w:val="clear" w:color="auto" w:fill="auto"/>
            <w:noWrap/>
            <w:vAlign w:val="bottom"/>
            <w:hideMark/>
          </w:tcPr>
          <w:p w14:paraId="0064ACBA"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902.9</w:t>
            </w:r>
          </w:p>
        </w:tc>
        <w:tc>
          <w:tcPr>
            <w:tcW w:w="452" w:type="pct"/>
            <w:tcBorders>
              <w:top w:val="nil"/>
              <w:left w:val="nil"/>
              <w:bottom w:val="single" w:sz="4" w:space="0" w:color="auto"/>
              <w:right w:val="single" w:sz="4" w:space="0" w:color="auto"/>
            </w:tcBorders>
            <w:shd w:val="clear" w:color="auto" w:fill="auto"/>
            <w:noWrap/>
            <w:vAlign w:val="bottom"/>
            <w:hideMark/>
          </w:tcPr>
          <w:p w14:paraId="31430D8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902.9</w:t>
            </w:r>
          </w:p>
        </w:tc>
        <w:tc>
          <w:tcPr>
            <w:tcW w:w="450" w:type="pct"/>
            <w:tcBorders>
              <w:top w:val="nil"/>
              <w:left w:val="nil"/>
              <w:bottom w:val="single" w:sz="4" w:space="0" w:color="auto"/>
              <w:right w:val="single" w:sz="4" w:space="0" w:color="auto"/>
            </w:tcBorders>
            <w:shd w:val="clear" w:color="auto" w:fill="auto"/>
            <w:noWrap/>
            <w:vAlign w:val="bottom"/>
            <w:hideMark/>
          </w:tcPr>
          <w:p w14:paraId="746B939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902.9</w:t>
            </w:r>
          </w:p>
        </w:tc>
      </w:tr>
      <w:tr w:rsidR="00245464" w:rsidRPr="006A1C90" w14:paraId="17A5EE33"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67538A05"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Mulembo/Lelya</w:t>
            </w:r>
          </w:p>
        </w:tc>
        <w:tc>
          <w:tcPr>
            <w:tcW w:w="315" w:type="pct"/>
            <w:tcBorders>
              <w:top w:val="nil"/>
              <w:left w:val="nil"/>
              <w:bottom w:val="single" w:sz="4" w:space="0" w:color="auto"/>
              <w:right w:val="single" w:sz="4" w:space="0" w:color="auto"/>
            </w:tcBorders>
            <w:shd w:val="clear" w:color="auto" w:fill="auto"/>
            <w:noWrap/>
            <w:vAlign w:val="bottom"/>
            <w:hideMark/>
          </w:tcPr>
          <w:p w14:paraId="0AE2E2F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330</w:t>
            </w:r>
          </w:p>
        </w:tc>
        <w:tc>
          <w:tcPr>
            <w:tcW w:w="547" w:type="pct"/>
            <w:tcBorders>
              <w:top w:val="nil"/>
              <w:left w:val="nil"/>
              <w:bottom w:val="single" w:sz="4" w:space="0" w:color="auto"/>
              <w:right w:val="single" w:sz="4" w:space="0" w:color="auto"/>
            </w:tcBorders>
            <w:shd w:val="clear" w:color="auto" w:fill="auto"/>
            <w:noWrap/>
            <w:vAlign w:val="bottom"/>
            <w:hideMark/>
          </w:tcPr>
          <w:p w14:paraId="3D2B09C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1300860</w:t>
            </w:r>
          </w:p>
        </w:tc>
        <w:tc>
          <w:tcPr>
            <w:tcW w:w="217" w:type="pct"/>
            <w:tcBorders>
              <w:top w:val="nil"/>
              <w:left w:val="nil"/>
              <w:bottom w:val="single" w:sz="4" w:space="0" w:color="auto"/>
              <w:right w:val="single" w:sz="4" w:space="0" w:color="auto"/>
            </w:tcBorders>
            <w:shd w:val="clear" w:color="auto" w:fill="auto"/>
            <w:noWrap/>
            <w:vAlign w:val="bottom"/>
            <w:hideMark/>
          </w:tcPr>
          <w:p w14:paraId="3724146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7E2EA055"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5DC9C793"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20FA456B"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3C45ECBE"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1295.4</w:t>
            </w:r>
          </w:p>
        </w:tc>
        <w:tc>
          <w:tcPr>
            <w:tcW w:w="382" w:type="pct"/>
            <w:tcBorders>
              <w:top w:val="nil"/>
              <w:left w:val="nil"/>
              <w:bottom w:val="single" w:sz="4" w:space="0" w:color="auto"/>
              <w:right w:val="single" w:sz="4" w:space="0" w:color="auto"/>
            </w:tcBorders>
            <w:shd w:val="clear" w:color="auto" w:fill="auto"/>
            <w:noWrap/>
            <w:vAlign w:val="bottom"/>
            <w:hideMark/>
          </w:tcPr>
          <w:p w14:paraId="61980AD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1295.4</w:t>
            </w:r>
          </w:p>
        </w:tc>
        <w:tc>
          <w:tcPr>
            <w:tcW w:w="382" w:type="pct"/>
            <w:tcBorders>
              <w:top w:val="nil"/>
              <w:left w:val="nil"/>
              <w:bottom w:val="single" w:sz="4" w:space="0" w:color="auto"/>
              <w:right w:val="single" w:sz="4" w:space="0" w:color="auto"/>
            </w:tcBorders>
            <w:shd w:val="clear" w:color="auto" w:fill="auto"/>
            <w:noWrap/>
            <w:vAlign w:val="bottom"/>
            <w:hideMark/>
          </w:tcPr>
          <w:p w14:paraId="20E3CCF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1295.4</w:t>
            </w:r>
          </w:p>
        </w:tc>
        <w:tc>
          <w:tcPr>
            <w:tcW w:w="452" w:type="pct"/>
            <w:tcBorders>
              <w:top w:val="nil"/>
              <w:left w:val="nil"/>
              <w:bottom w:val="single" w:sz="4" w:space="0" w:color="auto"/>
              <w:right w:val="single" w:sz="4" w:space="0" w:color="auto"/>
            </w:tcBorders>
            <w:shd w:val="clear" w:color="auto" w:fill="auto"/>
            <w:noWrap/>
            <w:vAlign w:val="bottom"/>
            <w:hideMark/>
          </w:tcPr>
          <w:p w14:paraId="5E3A0B4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1295.4</w:t>
            </w:r>
          </w:p>
        </w:tc>
        <w:tc>
          <w:tcPr>
            <w:tcW w:w="450" w:type="pct"/>
            <w:tcBorders>
              <w:top w:val="nil"/>
              <w:left w:val="nil"/>
              <w:bottom w:val="single" w:sz="4" w:space="0" w:color="auto"/>
              <w:right w:val="single" w:sz="4" w:space="0" w:color="auto"/>
            </w:tcBorders>
            <w:shd w:val="clear" w:color="auto" w:fill="auto"/>
            <w:noWrap/>
            <w:vAlign w:val="bottom"/>
            <w:hideMark/>
          </w:tcPr>
          <w:p w14:paraId="73D042F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1295.4</w:t>
            </w:r>
          </w:p>
        </w:tc>
      </w:tr>
      <w:tr w:rsidR="00245464" w:rsidRPr="006A1C90" w14:paraId="42911BDE"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53AFE6BB" w14:textId="77777777" w:rsidR="00245464" w:rsidRPr="006A1C90" w:rsidRDefault="00245464" w:rsidP="00245464">
            <w:pPr>
              <w:spacing w:after="0" w:line="240" w:lineRule="auto"/>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Mwamba</w:t>
            </w:r>
          </w:p>
        </w:tc>
        <w:tc>
          <w:tcPr>
            <w:tcW w:w="315" w:type="pct"/>
            <w:tcBorders>
              <w:top w:val="nil"/>
              <w:left w:val="nil"/>
              <w:bottom w:val="single" w:sz="4" w:space="0" w:color="auto"/>
              <w:right w:val="single" w:sz="4" w:space="0" w:color="auto"/>
            </w:tcBorders>
            <w:shd w:val="clear" w:color="auto" w:fill="auto"/>
            <w:noWrap/>
            <w:vAlign w:val="bottom"/>
            <w:hideMark/>
          </w:tcPr>
          <w:p w14:paraId="1E33635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85</w:t>
            </w:r>
          </w:p>
        </w:tc>
        <w:tc>
          <w:tcPr>
            <w:tcW w:w="547" w:type="pct"/>
            <w:tcBorders>
              <w:top w:val="nil"/>
              <w:left w:val="nil"/>
              <w:bottom w:val="single" w:sz="4" w:space="0" w:color="auto"/>
              <w:right w:val="single" w:sz="4" w:space="0" w:color="auto"/>
            </w:tcBorders>
            <w:shd w:val="clear" w:color="auto" w:fill="auto"/>
            <w:noWrap/>
            <w:vAlign w:val="bottom"/>
            <w:hideMark/>
          </w:tcPr>
          <w:p w14:paraId="34778894"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335070</w:t>
            </w:r>
          </w:p>
        </w:tc>
        <w:tc>
          <w:tcPr>
            <w:tcW w:w="217" w:type="pct"/>
            <w:tcBorders>
              <w:top w:val="nil"/>
              <w:left w:val="nil"/>
              <w:bottom w:val="single" w:sz="4" w:space="0" w:color="auto"/>
              <w:right w:val="single" w:sz="4" w:space="0" w:color="auto"/>
            </w:tcBorders>
            <w:shd w:val="clear" w:color="auto" w:fill="auto"/>
            <w:noWrap/>
            <w:vAlign w:val="bottom"/>
            <w:hideMark/>
          </w:tcPr>
          <w:p w14:paraId="68BF6C88"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w:t>
            </w:r>
          </w:p>
        </w:tc>
        <w:tc>
          <w:tcPr>
            <w:tcW w:w="348" w:type="pct"/>
            <w:tcBorders>
              <w:top w:val="nil"/>
              <w:left w:val="nil"/>
              <w:bottom w:val="single" w:sz="4" w:space="0" w:color="auto"/>
              <w:right w:val="single" w:sz="4" w:space="0" w:color="auto"/>
            </w:tcBorders>
            <w:shd w:val="clear" w:color="auto" w:fill="auto"/>
            <w:noWrap/>
            <w:vAlign w:val="bottom"/>
            <w:hideMark/>
          </w:tcPr>
          <w:p w14:paraId="12B38449"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52" w:type="pct"/>
            <w:tcBorders>
              <w:top w:val="nil"/>
              <w:left w:val="nil"/>
              <w:bottom w:val="single" w:sz="4" w:space="0" w:color="auto"/>
              <w:right w:val="single" w:sz="4" w:space="0" w:color="auto"/>
            </w:tcBorders>
            <w:shd w:val="clear" w:color="auto" w:fill="auto"/>
            <w:noWrap/>
            <w:vAlign w:val="bottom"/>
            <w:hideMark/>
          </w:tcPr>
          <w:p w14:paraId="0BE6A70F"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17" w:type="pct"/>
            <w:tcBorders>
              <w:top w:val="nil"/>
              <w:left w:val="nil"/>
              <w:bottom w:val="single" w:sz="4" w:space="0" w:color="auto"/>
              <w:right w:val="single" w:sz="4" w:space="0" w:color="auto"/>
            </w:tcBorders>
            <w:shd w:val="clear" w:color="auto" w:fill="auto"/>
            <w:noWrap/>
            <w:vAlign w:val="bottom"/>
            <w:hideMark/>
          </w:tcPr>
          <w:p w14:paraId="2AA3A95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81" w:type="pct"/>
            <w:tcBorders>
              <w:top w:val="nil"/>
              <w:left w:val="nil"/>
              <w:bottom w:val="single" w:sz="4" w:space="0" w:color="auto"/>
              <w:right w:val="single" w:sz="4" w:space="0" w:color="auto"/>
            </w:tcBorders>
            <w:shd w:val="clear" w:color="auto" w:fill="auto"/>
            <w:noWrap/>
            <w:vAlign w:val="bottom"/>
            <w:hideMark/>
          </w:tcPr>
          <w:p w14:paraId="63A34B1C"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333.7</w:t>
            </w:r>
          </w:p>
        </w:tc>
        <w:tc>
          <w:tcPr>
            <w:tcW w:w="382" w:type="pct"/>
            <w:tcBorders>
              <w:top w:val="nil"/>
              <w:left w:val="nil"/>
              <w:bottom w:val="single" w:sz="4" w:space="0" w:color="auto"/>
              <w:right w:val="single" w:sz="4" w:space="0" w:color="auto"/>
            </w:tcBorders>
            <w:shd w:val="clear" w:color="auto" w:fill="auto"/>
            <w:noWrap/>
            <w:vAlign w:val="bottom"/>
            <w:hideMark/>
          </w:tcPr>
          <w:p w14:paraId="0A85645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333.7</w:t>
            </w:r>
          </w:p>
        </w:tc>
        <w:tc>
          <w:tcPr>
            <w:tcW w:w="382" w:type="pct"/>
            <w:tcBorders>
              <w:top w:val="nil"/>
              <w:left w:val="nil"/>
              <w:bottom w:val="single" w:sz="4" w:space="0" w:color="auto"/>
              <w:right w:val="single" w:sz="4" w:space="0" w:color="auto"/>
            </w:tcBorders>
            <w:shd w:val="clear" w:color="auto" w:fill="auto"/>
            <w:noWrap/>
            <w:vAlign w:val="bottom"/>
            <w:hideMark/>
          </w:tcPr>
          <w:p w14:paraId="3A67180D"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333.7</w:t>
            </w:r>
          </w:p>
        </w:tc>
        <w:tc>
          <w:tcPr>
            <w:tcW w:w="452" w:type="pct"/>
            <w:tcBorders>
              <w:top w:val="nil"/>
              <w:left w:val="nil"/>
              <w:bottom w:val="single" w:sz="4" w:space="0" w:color="auto"/>
              <w:right w:val="single" w:sz="4" w:space="0" w:color="auto"/>
            </w:tcBorders>
            <w:shd w:val="clear" w:color="auto" w:fill="auto"/>
            <w:noWrap/>
            <w:vAlign w:val="bottom"/>
            <w:hideMark/>
          </w:tcPr>
          <w:p w14:paraId="20127847"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333.7</w:t>
            </w:r>
          </w:p>
        </w:tc>
        <w:tc>
          <w:tcPr>
            <w:tcW w:w="450" w:type="pct"/>
            <w:tcBorders>
              <w:top w:val="nil"/>
              <w:left w:val="nil"/>
              <w:bottom w:val="single" w:sz="4" w:space="0" w:color="auto"/>
              <w:right w:val="single" w:sz="4" w:space="0" w:color="auto"/>
            </w:tcBorders>
            <w:shd w:val="clear" w:color="auto" w:fill="auto"/>
            <w:noWrap/>
            <w:vAlign w:val="bottom"/>
            <w:hideMark/>
          </w:tcPr>
          <w:p w14:paraId="7F9CEF31" w14:textId="77777777" w:rsidR="00245464" w:rsidRPr="006A1C90" w:rsidRDefault="00245464" w:rsidP="00245464">
            <w:pPr>
              <w:spacing w:after="0" w:line="240" w:lineRule="auto"/>
              <w:jc w:val="right"/>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333.7</w:t>
            </w:r>
          </w:p>
        </w:tc>
      </w:tr>
      <w:tr w:rsidR="00245464" w:rsidRPr="006A1C90" w14:paraId="3F1C0A23" w14:textId="77777777" w:rsidTr="00A91A48">
        <w:trPr>
          <w:trHeight w:val="300"/>
        </w:trPr>
        <w:tc>
          <w:tcPr>
            <w:tcW w:w="656" w:type="pct"/>
            <w:tcBorders>
              <w:top w:val="nil"/>
              <w:left w:val="single" w:sz="4" w:space="0" w:color="auto"/>
              <w:bottom w:val="single" w:sz="4" w:space="0" w:color="auto"/>
              <w:right w:val="single" w:sz="4" w:space="0" w:color="auto"/>
            </w:tcBorders>
            <w:shd w:val="clear" w:color="auto" w:fill="auto"/>
            <w:noWrap/>
            <w:vAlign w:val="bottom"/>
            <w:hideMark/>
          </w:tcPr>
          <w:p w14:paraId="53E6F13C" w14:textId="77777777" w:rsidR="00245464" w:rsidRPr="006A1C90" w:rsidRDefault="00245464" w:rsidP="00245464">
            <w:pPr>
              <w:spacing w:after="0" w:line="240" w:lineRule="auto"/>
              <w:rPr>
                <w:rFonts w:ascii="Times New Roman" w:eastAsia="Times New Roman" w:hAnsi="Times New Roman" w:cs="Times New Roman"/>
                <w:b/>
                <w:bCs/>
                <w:color w:val="000000" w:themeColor="text1"/>
                <w:sz w:val="20"/>
                <w:szCs w:val="20"/>
              </w:rPr>
            </w:pPr>
            <w:r w:rsidRPr="006A1C90">
              <w:rPr>
                <w:rFonts w:ascii="Times New Roman" w:eastAsia="Times New Roman" w:hAnsi="Times New Roman" w:cs="Times New Roman"/>
                <w:b/>
                <w:bCs/>
                <w:color w:val="000000" w:themeColor="text1"/>
                <w:sz w:val="20"/>
                <w:szCs w:val="20"/>
              </w:rPr>
              <w:t>Total</w:t>
            </w:r>
          </w:p>
        </w:tc>
        <w:tc>
          <w:tcPr>
            <w:tcW w:w="31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15F9D" w14:textId="77777777" w:rsidR="00245464" w:rsidRPr="006A1C90" w:rsidRDefault="00245464" w:rsidP="00245464">
            <w:pPr>
              <w:spacing w:after="0" w:line="240" w:lineRule="auto"/>
              <w:rPr>
                <w:rFonts w:ascii="Times New Roman" w:eastAsia="Times New Roman" w:hAnsi="Times New Roman" w:cs="Times New Roman"/>
                <w:b/>
                <w:bCs/>
                <w:color w:val="000000" w:themeColor="text1"/>
                <w:sz w:val="20"/>
                <w:szCs w:val="20"/>
              </w:rPr>
            </w:pPr>
            <w:r w:rsidRPr="006A1C90">
              <w:rPr>
                <w:rFonts w:ascii="Times New Roman" w:eastAsia="Calibri" w:hAnsi="Times New Roman" w:cs="Times New Roman"/>
                <w:b/>
                <w:bCs/>
                <w:color w:val="000000" w:themeColor="text1"/>
                <w:sz w:val="20"/>
                <w:szCs w:val="20"/>
              </w:rPr>
              <w:t>6584</w:t>
            </w:r>
          </w:p>
        </w:tc>
        <w:tc>
          <w:tcPr>
            <w:tcW w:w="547" w:type="pct"/>
            <w:tcBorders>
              <w:top w:val="single" w:sz="4" w:space="0" w:color="auto"/>
              <w:left w:val="nil"/>
              <w:bottom w:val="single" w:sz="4" w:space="0" w:color="auto"/>
              <w:right w:val="single" w:sz="4" w:space="0" w:color="auto"/>
            </w:tcBorders>
            <w:shd w:val="clear" w:color="auto" w:fill="auto"/>
            <w:noWrap/>
            <w:vAlign w:val="bottom"/>
            <w:hideMark/>
          </w:tcPr>
          <w:p w14:paraId="5E7DFB8D" w14:textId="77777777" w:rsidR="00245464" w:rsidRPr="006A1C90" w:rsidRDefault="00245464" w:rsidP="00245464">
            <w:pPr>
              <w:spacing w:after="0" w:line="240" w:lineRule="auto"/>
              <w:rPr>
                <w:rFonts w:ascii="Times New Roman" w:eastAsia="Times New Roman" w:hAnsi="Times New Roman" w:cs="Times New Roman"/>
                <w:b/>
                <w:bCs/>
                <w:color w:val="000000" w:themeColor="text1"/>
                <w:sz w:val="20"/>
                <w:szCs w:val="20"/>
              </w:rPr>
            </w:pPr>
            <w:r w:rsidRPr="006A1C90">
              <w:rPr>
                <w:rFonts w:ascii="Times New Roman" w:eastAsia="Calibri" w:hAnsi="Times New Roman" w:cs="Times New Roman"/>
                <w:b/>
                <w:bCs/>
                <w:color w:val="000000" w:themeColor="text1"/>
                <w:sz w:val="20"/>
                <w:szCs w:val="20"/>
              </w:rPr>
              <w:t> </w:t>
            </w:r>
          </w:p>
        </w:tc>
        <w:tc>
          <w:tcPr>
            <w:tcW w:w="217" w:type="pct"/>
            <w:tcBorders>
              <w:top w:val="single" w:sz="4" w:space="0" w:color="auto"/>
              <w:left w:val="nil"/>
              <w:bottom w:val="single" w:sz="4" w:space="0" w:color="auto"/>
              <w:right w:val="single" w:sz="4" w:space="0" w:color="auto"/>
            </w:tcBorders>
            <w:shd w:val="clear" w:color="auto" w:fill="auto"/>
            <w:noWrap/>
            <w:vAlign w:val="bottom"/>
            <w:hideMark/>
          </w:tcPr>
          <w:p w14:paraId="2228312F" w14:textId="77777777" w:rsidR="00245464" w:rsidRPr="006A1C90" w:rsidRDefault="00245464" w:rsidP="00245464">
            <w:pPr>
              <w:spacing w:after="0" w:line="240" w:lineRule="auto"/>
              <w:jc w:val="right"/>
              <w:rPr>
                <w:rFonts w:ascii="Times New Roman" w:eastAsia="Times New Roman" w:hAnsi="Times New Roman" w:cs="Times New Roman"/>
                <w:b/>
                <w:bCs/>
                <w:color w:val="000000" w:themeColor="text1"/>
                <w:sz w:val="20"/>
                <w:szCs w:val="20"/>
              </w:rPr>
            </w:pPr>
            <w:r w:rsidRPr="006A1C90">
              <w:rPr>
                <w:rFonts w:ascii="Times New Roman" w:eastAsia="Calibri" w:hAnsi="Times New Roman" w:cs="Times New Roman"/>
                <w:b/>
                <w:bCs/>
                <w:color w:val="000000" w:themeColor="text1"/>
                <w:sz w:val="20"/>
                <w:szCs w:val="20"/>
              </w:rPr>
              <w:t>0</w:t>
            </w:r>
          </w:p>
        </w:tc>
        <w:tc>
          <w:tcPr>
            <w:tcW w:w="348" w:type="pct"/>
            <w:tcBorders>
              <w:top w:val="single" w:sz="4" w:space="0" w:color="auto"/>
              <w:left w:val="nil"/>
              <w:bottom w:val="single" w:sz="4" w:space="0" w:color="auto"/>
              <w:right w:val="single" w:sz="4" w:space="0" w:color="auto"/>
            </w:tcBorders>
            <w:shd w:val="clear" w:color="auto" w:fill="auto"/>
            <w:noWrap/>
            <w:vAlign w:val="bottom"/>
            <w:hideMark/>
          </w:tcPr>
          <w:p w14:paraId="7AF38D32" w14:textId="77777777" w:rsidR="00245464" w:rsidRPr="006A1C90" w:rsidRDefault="00245464" w:rsidP="00245464">
            <w:pPr>
              <w:spacing w:after="0" w:line="240" w:lineRule="auto"/>
              <w:jc w:val="right"/>
              <w:rPr>
                <w:rFonts w:ascii="Times New Roman" w:eastAsia="Times New Roman" w:hAnsi="Times New Roman" w:cs="Times New Roman"/>
                <w:b/>
                <w:bCs/>
                <w:color w:val="000000" w:themeColor="text1"/>
                <w:sz w:val="20"/>
                <w:szCs w:val="20"/>
              </w:rPr>
            </w:pPr>
            <w:r w:rsidRPr="006A1C90">
              <w:rPr>
                <w:rFonts w:ascii="Times New Roman" w:eastAsia="Calibri" w:hAnsi="Times New Roman" w:cs="Times New Roman"/>
                <w:b/>
                <w:bCs/>
                <w:color w:val="000000" w:themeColor="text1"/>
                <w:sz w:val="20"/>
                <w:szCs w:val="20"/>
              </w:rPr>
              <w:t>1417.1</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6C7CAF0C" w14:textId="77777777" w:rsidR="00245464" w:rsidRPr="006A1C90" w:rsidRDefault="00245464" w:rsidP="00245464">
            <w:pPr>
              <w:spacing w:after="0" w:line="240" w:lineRule="auto"/>
              <w:jc w:val="right"/>
              <w:rPr>
                <w:rFonts w:ascii="Times New Roman" w:eastAsia="Times New Roman" w:hAnsi="Times New Roman" w:cs="Times New Roman"/>
                <w:b/>
                <w:bCs/>
                <w:color w:val="000000" w:themeColor="text1"/>
                <w:sz w:val="20"/>
                <w:szCs w:val="20"/>
              </w:rPr>
            </w:pPr>
            <w:r w:rsidRPr="006A1C90">
              <w:rPr>
                <w:rFonts w:ascii="Times New Roman" w:eastAsia="Calibri" w:hAnsi="Times New Roman" w:cs="Times New Roman"/>
                <w:b/>
                <w:bCs/>
                <w:color w:val="000000" w:themeColor="text1"/>
                <w:sz w:val="20"/>
                <w:szCs w:val="20"/>
              </w:rPr>
              <w:t>2496.5</w:t>
            </w:r>
          </w:p>
        </w:tc>
        <w:tc>
          <w:tcPr>
            <w:tcW w:w="417" w:type="pct"/>
            <w:tcBorders>
              <w:top w:val="single" w:sz="4" w:space="0" w:color="auto"/>
              <w:left w:val="nil"/>
              <w:bottom w:val="single" w:sz="4" w:space="0" w:color="auto"/>
              <w:right w:val="single" w:sz="4" w:space="0" w:color="auto"/>
            </w:tcBorders>
            <w:shd w:val="clear" w:color="auto" w:fill="auto"/>
            <w:noWrap/>
            <w:vAlign w:val="bottom"/>
            <w:hideMark/>
          </w:tcPr>
          <w:p w14:paraId="0654512E" w14:textId="77777777" w:rsidR="00245464" w:rsidRPr="006A1C90" w:rsidRDefault="00245464" w:rsidP="00245464">
            <w:pPr>
              <w:spacing w:after="0" w:line="240" w:lineRule="auto"/>
              <w:jc w:val="right"/>
              <w:rPr>
                <w:rFonts w:ascii="Times New Roman" w:eastAsia="Times New Roman" w:hAnsi="Times New Roman" w:cs="Times New Roman"/>
                <w:b/>
                <w:bCs/>
                <w:color w:val="000000" w:themeColor="text1"/>
                <w:sz w:val="20"/>
                <w:szCs w:val="20"/>
              </w:rPr>
            </w:pPr>
            <w:r w:rsidRPr="006A1C90">
              <w:rPr>
                <w:rFonts w:ascii="Times New Roman" w:eastAsia="Calibri" w:hAnsi="Times New Roman" w:cs="Times New Roman"/>
                <w:b/>
                <w:bCs/>
                <w:color w:val="000000" w:themeColor="text1"/>
                <w:sz w:val="20"/>
                <w:szCs w:val="20"/>
              </w:rPr>
              <w:t>6225.7</w:t>
            </w:r>
          </w:p>
        </w:tc>
        <w:tc>
          <w:tcPr>
            <w:tcW w:w="381" w:type="pct"/>
            <w:tcBorders>
              <w:top w:val="single" w:sz="4" w:space="0" w:color="auto"/>
              <w:left w:val="nil"/>
              <w:bottom w:val="single" w:sz="4" w:space="0" w:color="auto"/>
              <w:right w:val="single" w:sz="4" w:space="0" w:color="auto"/>
            </w:tcBorders>
            <w:shd w:val="clear" w:color="auto" w:fill="auto"/>
            <w:noWrap/>
            <w:vAlign w:val="bottom"/>
            <w:hideMark/>
          </w:tcPr>
          <w:p w14:paraId="6BBB01E3" w14:textId="77777777" w:rsidR="00245464" w:rsidRPr="006A1C90" w:rsidRDefault="00245464" w:rsidP="00245464">
            <w:pPr>
              <w:spacing w:after="0" w:line="240" w:lineRule="auto"/>
              <w:jc w:val="right"/>
              <w:rPr>
                <w:rFonts w:ascii="Times New Roman" w:eastAsia="Times New Roman" w:hAnsi="Times New Roman" w:cs="Times New Roman"/>
                <w:b/>
                <w:bCs/>
                <w:color w:val="000000" w:themeColor="text1"/>
                <w:sz w:val="20"/>
                <w:szCs w:val="20"/>
              </w:rPr>
            </w:pPr>
            <w:r w:rsidRPr="006A1C90">
              <w:rPr>
                <w:rFonts w:ascii="Times New Roman" w:eastAsia="Calibri" w:hAnsi="Times New Roman" w:cs="Times New Roman"/>
                <w:b/>
                <w:bCs/>
                <w:color w:val="000000" w:themeColor="text1"/>
                <w:sz w:val="20"/>
                <w:szCs w:val="20"/>
              </w:rPr>
              <w:t>15819.5</w:t>
            </w:r>
          </w:p>
        </w:tc>
        <w:tc>
          <w:tcPr>
            <w:tcW w:w="382" w:type="pct"/>
            <w:tcBorders>
              <w:top w:val="single" w:sz="4" w:space="0" w:color="auto"/>
              <w:left w:val="nil"/>
              <w:bottom w:val="single" w:sz="4" w:space="0" w:color="auto"/>
              <w:right w:val="single" w:sz="4" w:space="0" w:color="auto"/>
            </w:tcBorders>
            <w:shd w:val="clear" w:color="auto" w:fill="auto"/>
            <w:noWrap/>
            <w:vAlign w:val="bottom"/>
            <w:hideMark/>
          </w:tcPr>
          <w:p w14:paraId="004459CE" w14:textId="77777777" w:rsidR="00245464" w:rsidRPr="006A1C90" w:rsidRDefault="00245464" w:rsidP="00245464">
            <w:pPr>
              <w:spacing w:after="0" w:line="240" w:lineRule="auto"/>
              <w:jc w:val="right"/>
              <w:rPr>
                <w:rFonts w:ascii="Times New Roman" w:eastAsia="Times New Roman" w:hAnsi="Times New Roman" w:cs="Times New Roman"/>
                <w:b/>
                <w:bCs/>
                <w:color w:val="000000" w:themeColor="text1"/>
                <w:sz w:val="20"/>
                <w:szCs w:val="20"/>
              </w:rPr>
            </w:pPr>
            <w:r w:rsidRPr="006A1C90">
              <w:rPr>
                <w:rFonts w:ascii="Times New Roman" w:eastAsia="Calibri" w:hAnsi="Times New Roman" w:cs="Times New Roman"/>
                <w:b/>
                <w:bCs/>
                <w:color w:val="000000" w:themeColor="text1"/>
                <w:sz w:val="20"/>
                <w:szCs w:val="20"/>
              </w:rPr>
              <w:t>23348.1</w:t>
            </w:r>
          </w:p>
        </w:tc>
        <w:tc>
          <w:tcPr>
            <w:tcW w:w="382" w:type="pct"/>
            <w:tcBorders>
              <w:top w:val="single" w:sz="4" w:space="0" w:color="auto"/>
              <w:left w:val="nil"/>
              <w:bottom w:val="single" w:sz="4" w:space="0" w:color="auto"/>
              <w:right w:val="single" w:sz="4" w:space="0" w:color="auto"/>
            </w:tcBorders>
            <w:shd w:val="clear" w:color="auto" w:fill="auto"/>
            <w:noWrap/>
            <w:vAlign w:val="bottom"/>
            <w:hideMark/>
          </w:tcPr>
          <w:p w14:paraId="5935DC85" w14:textId="77777777" w:rsidR="00245464" w:rsidRPr="006A1C90" w:rsidRDefault="00245464" w:rsidP="00245464">
            <w:pPr>
              <w:spacing w:after="0" w:line="240" w:lineRule="auto"/>
              <w:jc w:val="right"/>
              <w:rPr>
                <w:rFonts w:ascii="Times New Roman" w:eastAsia="Times New Roman" w:hAnsi="Times New Roman" w:cs="Times New Roman"/>
                <w:b/>
                <w:bCs/>
                <w:color w:val="000000" w:themeColor="text1"/>
                <w:sz w:val="20"/>
                <w:szCs w:val="20"/>
              </w:rPr>
            </w:pPr>
            <w:r w:rsidRPr="006A1C90">
              <w:rPr>
                <w:rFonts w:ascii="Times New Roman" w:eastAsia="Calibri" w:hAnsi="Times New Roman" w:cs="Times New Roman"/>
                <w:b/>
                <w:bCs/>
                <w:color w:val="000000" w:themeColor="text1"/>
                <w:sz w:val="20"/>
                <w:szCs w:val="20"/>
              </w:rPr>
              <w:t>25848.6</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0259CC5D" w14:textId="77777777" w:rsidR="00245464" w:rsidRPr="006A1C90" w:rsidRDefault="00245464" w:rsidP="00245464">
            <w:pPr>
              <w:spacing w:after="0" w:line="240" w:lineRule="auto"/>
              <w:jc w:val="right"/>
              <w:rPr>
                <w:rFonts w:ascii="Times New Roman" w:eastAsia="Times New Roman" w:hAnsi="Times New Roman" w:cs="Times New Roman"/>
                <w:b/>
                <w:bCs/>
                <w:color w:val="000000" w:themeColor="text1"/>
                <w:sz w:val="20"/>
                <w:szCs w:val="20"/>
              </w:rPr>
            </w:pPr>
            <w:r w:rsidRPr="006A1C90">
              <w:rPr>
                <w:rFonts w:ascii="Times New Roman" w:eastAsia="Calibri" w:hAnsi="Times New Roman" w:cs="Times New Roman"/>
                <w:b/>
                <w:bCs/>
                <w:color w:val="000000" w:themeColor="text1"/>
                <w:sz w:val="20"/>
                <w:szCs w:val="20"/>
              </w:rPr>
              <w:t>25848.6</w:t>
            </w:r>
          </w:p>
        </w:tc>
        <w:tc>
          <w:tcPr>
            <w:tcW w:w="450" w:type="pct"/>
            <w:tcBorders>
              <w:top w:val="single" w:sz="4" w:space="0" w:color="auto"/>
              <w:left w:val="nil"/>
              <w:bottom w:val="single" w:sz="4" w:space="0" w:color="auto"/>
              <w:right w:val="single" w:sz="4" w:space="0" w:color="auto"/>
            </w:tcBorders>
            <w:shd w:val="clear" w:color="auto" w:fill="auto"/>
            <w:noWrap/>
            <w:vAlign w:val="bottom"/>
            <w:hideMark/>
          </w:tcPr>
          <w:p w14:paraId="4A01B8D1" w14:textId="77777777" w:rsidR="00245464" w:rsidRPr="006A1C90" w:rsidRDefault="00245464" w:rsidP="00245464">
            <w:pPr>
              <w:spacing w:after="0" w:line="240" w:lineRule="auto"/>
              <w:jc w:val="right"/>
              <w:rPr>
                <w:rFonts w:ascii="Times New Roman" w:eastAsia="Times New Roman" w:hAnsi="Times New Roman" w:cs="Times New Roman"/>
                <w:b/>
                <w:bCs/>
                <w:color w:val="000000" w:themeColor="text1"/>
                <w:sz w:val="20"/>
                <w:szCs w:val="20"/>
              </w:rPr>
            </w:pPr>
            <w:r w:rsidRPr="006A1C90">
              <w:rPr>
                <w:rFonts w:ascii="Times New Roman" w:eastAsia="Calibri" w:hAnsi="Times New Roman" w:cs="Times New Roman"/>
                <w:b/>
                <w:bCs/>
                <w:color w:val="000000" w:themeColor="text1"/>
                <w:sz w:val="20"/>
                <w:szCs w:val="20"/>
              </w:rPr>
              <w:t>25848.6</w:t>
            </w:r>
          </w:p>
        </w:tc>
      </w:tr>
    </w:tbl>
    <w:p w14:paraId="31BDB3E3" w14:textId="1402B5FA" w:rsidR="00245464" w:rsidRPr="00191ACB" w:rsidRDefault="00245464" w:rsidP="00245464">
      <w:pPr>
        <w:jc w:val="both"/>
        <w:rPr>
          <w:rFonts w:ascii="Times New Roman" w:eastAsia="Calibri" w:hAnsi="Times New Roman" w:cs="Times New Roman"/>
          <w:i/>
          <w:color w:val="000000" w:themeColor="text1"/>
          <w:sz w:val="24"/>
          <w:szCs w:val="24"/>
        </w:rPr>
      </w:pPr>
      <w:r w:rsidRPr="00191ACB">
        <w:rPr>
          <w:rFonts w:ascii="Times New Roman" w:eastAsia="Calibri" w:hAnsi="Times New Roman" w:cs="Times New Roman"/>
          <w:i/>
          <w:color w:val="000000" w:themeColor="text1"/>
          <w:sz w:val="24"/>
          <w:szCs w:val="24"/>
        </w:rPr>
        <w:t xml:space="preserve">Source: </w:t>
      </w:r>
      <w:r w:rsidR="006A1C90">
        <w:rPr>
          <w:rFonts w:ascii="Times New Roman" w:eastAsia="Calibri" w:hAnsi="Times New Roman" w:cs="Times New Roman"/>
          <w:i/>
          <w:color w:val="000000" w:themeColor="text1"/>
          <w:sz w:val="24"/>
          <w:szCs w:val="24"/>
        </w:rPr>
        <w:t>Adapted from</w:t>
      </w:r>
      <w:r w:rsidRPr="00191ACB">
        <w:rPr>
          <w:rFonts w:ascii="Times New Roman" w:eastAsia="Calibri" w:hAnsi="Times New Roman" w:cs="Times New Roman"/>
          <w:i/>
          <w:color w:val="000000" w:themeColor="text1"/>
          <w:sz w:val="24"/>
          <w:szCs w:val="24"/>
        </w:rPr>
        <w:t xml:space="preserve"> ZESCO,</w:t>
      </w:r>
      <w:r w:rsidRPr="00191ACB">
        <w:rPr>
          <w:rFonts w:ascii="Times New Roman" w:eastAsia="Calibri" w:hAnsi="Times New Roman" w:cs="Times New Roman"/>
          <w:b/>
          <w:bCs/>
          <w:color w:val="000000" w:themeColor="text1"/>
          <w:sz w:val="24"/>
          <w:szCs w:val="24"/>
        </w:rPr>
        <w:t xml:space="preserve"> </w:t>
      </w:r>
      <w:r w:rsidRPr="00191ACB">
        <w:rPr>
          <w:rFonts w:ascii="Times New Roman" w:eastAsia="Calibri" w:hAnsi="Times New Roman" w:cs="Times New Roman"/>
          <w:bCs/>
          <w:i/>
          <w:color w:val="000000" w:themeColor="text1"/>
          <w:sz w:val="24"/>
          <w:szCs w:val="24"/>
        </w:rPr>
        <w:t xml:space="preserve">Renewable Energy Division, </w:t>
      </w:r>
      <w:r w:rsidRPr="00191ACB">
        <w:rPr>
          <w:rFonts w:ascii="Times New Roman" w:eastAsia="Calibri" w:hAnsi="Times New Roman" w:cs="Times New Roman"/>
          <w:i/>
          <w:color w:val="000000" w:themeColor="text1"/>
          <w:sz w:val="24"/>
          <w:szCs w:val="24"/>
        </w:rPr>
        <w:t>Copperbelt Energy Corporation (CEC) and Ministry of Energy</w:t>
      </w:r>
    </w:p>
    <w:p w14:paraId="219B9C3A" w14:textId="77777777" w:rsidR="004A054E" w:rsidRPr="00191ACB" w:rsidRDefault="004A054E" w:rsidP="005E626A">
      <w:pPr>
        <w:spacing w:after="120" w:line="240" w:lineRule="auto"/>
        <w:jc w:val="both"/>
        <w:rPr>
          <w:rFonts w:ascii="Times New Roman" w:eastAsia="Calibri" w:hAnsi="Times New Roman" w:cs="Times New Roman"/>
          <w:color w:val="000000" w:themeColor="text1"/>
          <w:sz w:val="24"/>
          <w:szCs w:val="24"/>
        </w:rPr>
        <w:sectPr w:rsidR="004A054E" w:rsidRPr="00191ACB" w:rsidSect="004A054E">
          <w:pgSz w:w="16834" w:h="11909" w:orient="landscape" w:code="9"/>
          <w:pgMar w:top="720" w:right="862" w:bottom="1440" w:left="862" w:header="720" w:footer="720" w:gutter="0"/>
          <w:cols w:space="720"/>
          <w:docGrid w:linePitch="360"/>
        </w:sectPr>
      </w:pPr>
    </w:p>
    <w:p w14:paraId="55AAD6C4" w14:textId="658B1E0F" w:rsidR="00245464" w:rsidRPr="00191ACB"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lastRenderedPageBreak/>
        <w:t>A number of renewable power generation projects from hydro and biomass projects have been initiated.  Large and small hydro</w:t>
      </w:r>
      <w:r w:rsidR="006A1C90">
        <w:rPr>
          <w:rFonts w:ascii="Times New Roman" w:eastAsia="Calibri" w:hAnsi="Times New Roman" w:cs="Times New Roman"/>
          <w:color w:val="000000" w:themeColor="text1"/>
          <w:sz w:val="24"/>
          <w:szCs w:val="24"/>
        </w:rPr>
        <w:t xml:space="preserve"> stations</w:t>
      </w:r>
      <w:r w:rsidRPr="00191ACB">
        <w:rPr>
          <w:rFonts w:ascii="Times New Roman" w:eastAsia="Calibri" w:hAnsi="Times New Roman" w:cs="Times New Roman"/>
          <w:color w:val="000000" w:themeColor="text1"/>
          <w:sz w:val="24"/>
          <w:szCs w:val="24"/>
        </w:rPr>
        <w:t xml:space="preserve"> have either been completed, planned, designed or under construction. Key players in the development of hydro in Zambia are ZESCO, Copperbelt Energy Corporation (CEC), Lunsemfwa, and others. Recently Zambia sugar commenced power generation from bagasse and has plans to feed into the grid. Provided in </w:t>
      </w:r>
      <w:r w:rsidR="00501324" w:rsidRPr="00191ACB">
        <w:rPr>
          <w:rFonts w:ascii="Times New Roman" w:eastAsia="Calibri" w:hAnsi="Times New Roman" w:cs="Times New Roman"/>
          <w:color w:val="000000" w:themeColor="text1"/>
          <w:sz w:val="24"/>
          <w:szCs w:val="24"/>
        </w:rPr>
        <w:t>Table 2.23</w:t>
      </w:r>
      <w:r w:rsidRPr="00191ACB">
        <w:rPr>
          <w:rFonts w:ascii="Times New Roman" w:eastAsia="Calibri" w:hAnsi="Times New Roman" w:cs="Times New Roman"/>
          <w:color w:val="000000" w:themeColor="text1"/>
          <w:sz w:val="24"/>
          <w:szCs w:val="24"/>
        </w:rPr>
        <w:t xml:space="preserve"> are mitigation actions for power generation projects either recently completed, or under planned or designed staged.</w:t>
      </w:r>
    </w:p>
    <w:p w14:paraId="15FE0C1A" w14:textId="77777777" w:rsidR="00C67BFC" w:rsidRPr="00191ACB" w:rsidRDefault="00C67BFC" w:rsidP="00245464">
      <w:pPr>
        <w:jc w:val="both"/>
        <w:rPr>
          <w:rFonts w:ascii="Times New Roman" w:eastAsia="Calibri" w:hAnsi="Times New Roman" w:cs="Times New Roman"/>
          <w:color w:val="000000" w:themeColor="text1"/>
          <w:sz w:val="24"/>
          <w:szCs w:val="24"/>
        </w:rPr>
      </w:pPr>
    </w:p>
    <w:p w14:paraId="4E22EE54" w14:textId="00DF0942" w:rsidR="00C67BFC" w:rsidRPr="00191ACB" w:rsidRDefault="00C67BFC" w:rsidP="00245464">
      <w:pPr>
        <w:jc w:val="both"/>
        <w:rPr>
          <w:rFonts w:ascii="Times New Roman" w:eastAsia="Calibri" w:hAnsi="Times New Roman" w:cs="Times New Roman"/>
          <w:color w:val="000000" w:themeColor="text1"/>
          <w:sz w:val="24"/>
          <w:szCs w:val="24"/>
        </w:rPr>
      </w:pPr>
    </w:p>
    <w:p w14:paraId="0772ECCA" w14:textId="77777777" w:rsidR="005B5FDA" w:rsidRPr="00191ACB" w:rsidRDefault="005B5FDA" w:rsidP="00245464">
      <w:pPr>
        <w:jc w:val="both"/>
        <w:rPr>
          <w:rFonts w:ascii="Times New Roman" w:eastAsia="Calibri" w:hAnsi="Times New Roman" w:cs="Times New Roman"/>
          <w:color w:val="000000" w:themeColor="text1"/>
          <w:sz w:val="24"/>
          <w:szCs w:val="24"/>
        </w:rPr>
      </w:pPr>
    </w:p>
    <w:p w14:paraId="09CF4AC4" w14:textId="77777777" w:rsidR="004A054E" w:rsidRPr="00191ACB" w:rsidRDefault="004A054E" w:rsidP="00245464">
      <w:pPr>
        <w:spacing w:after="0" w:line="240" w:lineRule="auto"/>
        <w:rPr>
          <w:rFonts w:ascii="Times New Roman" w:eastAsia="Calibri" w:hAnsi="Times New Roman" w:cs="Times New Roman"/>
          <w:color w:val="000000" w:themeColor="text1"/>
          <w:sz w:val="24"/>
          <w:szCs w:val="24"/>
          <w:highlight w:val="yellow"/>
        </w:rPr>
        <w:sectPr w:rsidR="004A054E" w:rsidRPr="00191ACB" w:rsidSect="004A054E">
          <w:pgSz w:w="11909" w:h="16834" w:code="9"/>
          <w:pgMar w:top="862" w:right="1440" w:bottom="862" w:left="720" w:header="720" w:footer="720" w:gutter="0"/>
          <w:cols w:space="720"/>
          <w:docGrid w:linePitch="360"/>
        </w:sectPr>
      </w:pPr>
      <w:bookmarkStart w:id="397" w:name="_Toc19705973"/>
    </w:p>
    <w:p w14:paraId="2D1DDECA" w14:textId="388AD090" w:rsidR="00245464" w:rsidRPr="00191ACB" w:rsidRDefault="00C319A4" w:rsidP="00C319A4">
      <w:pPr>
        <w:pStyle w:val="Caption"/>
        <w:rPr>
          <w:rFonts w:eastAsia="Calibri"/>
          <w:color w:val="000000" w:themeColor="text1"/>
          <w:sz w:val="24"/>
          <w:szCs w:val="24"/>
        </w:rPr>
      </w:pPr>
      <w:bookmarkStart w:id="398" w:name="_Toc56583799"/>
      <w:bookmarkEnd w:id="397"/>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23</w:t>
      </w:r>
      <w:r w:rsidR="00875942">
        <w:rPr>
          <w:sz w:val="24"/>
          <w:szCs w:val="24"/>
        </w:rPr>
        <w:fldChar w:fldCharType="end"/>
      </w:r>
      <w:r w:rsidRPr="00191ACB">
        <w:rPr>
          <w:sz w:val="24"/>
          <w:szCs w:val="24"/>
        </w:rPr>
        <w:t>:Mitigation actions for electricity generation</w:t>
      </w:r>
      <w:bookmarkEnd w:id="398"/>
    </w:p>
    <w:tbl>
      <w:tblPr>
        <w:tblStyle w:val="GridTable4-Accent11"/>
        <w:tblW w:w="4976" w:type="pct"/>
        <w:tblLook w:val="04A0" w:firstRow="1" w:lastRow="0" w:firstColumn="1" w:lastColumn="0" w:noHBand="0" w:noVBand="1"/>
      </w:tblPr>
      <w:tblGrid>
        <w:gridCol w:w="1771"/>
        <w:gridCol w:w="1587"/>
        <w:gridCol w:w="2912"/>
        <w:gridCol w:w="1635"/>
        <w:gridCol w:w="1635"/>
        <w:gridCol w:w="1978"/>
        <w:gridCol w:w="1800"/>
        <w:gridCol w:w="1710"/>
      </w:tblGrid>
      <w:tr w:rsidR="00245464" w:rsidRPr="00191ACB" w14:paraId="06556E14" w14:textId="77777777" w:rsidTr="00A91A48">
        <w:trPr>
          <w:cnfStyle w:val="100000000000" w:firstRow="1" w:lastRow="0" w:firstColumn="0" w:lastColumn="0" w:oddVBand="0" w:evenVBand="0" w:oddHBand="0" w:evenHBand="0" w:firstRowFirstColumn="0" w:firstRowLastColumn="0" w:lastRowFirstColumn="0" w:lastRowLastColumn="0"/>
          <w:trHeight w:val="489"/>
          <w:tblHeader/>
        </w:trPr>
        <w:tc>
          <w:tcPr>
            <w:cnfStyle w:val="001000000000" w:firstRow="0" w:lastRow="0" w:firstColumn="1" w:lastColumn="0" w:oddVBand="0" w:evenVBand="0" w:oddHBand="0" w:evenHBand="0" w:firstRowFirstColumn="0" w:firstRowLastColumn="0" w:lastRowFirstColumn="0" w:lastRowLastColumn="0"/>
            <w:tcW w:w="589" w:type="pct"/>
          </w:tcPr>
          <w:p w14:paraId="6DF8AFCA"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528" w:type="pct"/>
          </w:tcPr>
          <w:p w14:paraId="787CD25D"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969" w:type="pct"/>
          </w:tcPr>
          <w:p w14:paraId="679F2EE5"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544" w:type="pct"/>
          </w:tcPr>
          <w:p w14:paraId="60D703CC"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544" w:type="pct"/>
          </w:tcPr>
          <w:p w14:paraId="33B9859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tc>
        <w:tc>
          <w:tcPr>
            <w:tcW w:w="658" w:type="pct"/>
          </w:tcPr>
          <w:p w14:paraId="6F46116C"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599" w:type="pct"/>
          </w:tcPr>
          <w:p w14:paraId="6E173ED6"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val="x-none" w:eastAsia="x-none"/>
              </w:rPr>
              <w:t xml:space="preserve">Estimated emission reduction </w:t>
            </w:r>
            <w:r w:rsidRPr="00191ACB">
              <w:rPr>
                <w:rFonts w:ascii="Times New Roman" w:hAnsi="Times New Roman"/>
                <w:color w:val="000000" w:themeColor="text1"/>
                <w:sz w:val="24"/>
                <w:szCs w:val="24"/>
                <w:lang w:eastAsia="x-none"/>
              </w:rPr>
              <w:t>cumulative by 2050 Gg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vertAlign w:val="subscript"/>
                <w:lang w:eastAsia="x-none"/>
              </w:rPr>
              <w:t>eq</w:t>
            </w:r>
          </w:p>
        </w:tc>
        <w:tc>
          <w:tcPr>
            <w:tcW w:w="569" w:type="pct"/>
          </w:tcPr>
          <w:p w14:paraId="0CD2997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nternational market mechanisms</w:t>
            </w:r>
          </w:p>
        </w:tc>
      </w:tr>
      <w:tr w:rsidR="00245464" w:rsidRPr="00191ACB" w14:paraId="2DA20301" w14:textId="77777777" w:rsidTr="00A91A48">
        <w:trPr>
          <w:cnfStyle w:val="000000100000" w:firstRow="0" w:lastRow="0" w:firstColumn="0" w:lastColumn="0" w:oddVBand="0" w:evenVBand="0" w:oddHBand="1" w:evenHBand="0" w:firstRowFirstColumn="0" w:firstRowLastColumn="0" w:lastRowFirstColumn="0" w:lastRowLastColumn="0"/>
          <w:trHeight w:val="1511"/>
        </w:trPr>
        <w:tc>
          <w:tcPr>
            <w:cnfStyle w:val="001000000000" w:firstRow="0" w:lastRow="0" w:firstColumn="1" w:lastColumn="0" w:oddVBand="0" w:evenVBand="0" w:oddHBand="0" w:evenHBand="0" w:firstRowFirstColumn="0" w:firstRowLastColumn="0" w:lastRowFirstColumn="0" w:lastRowLastColumn="0"/>
            <w:tcW w:w="589" w:type="pct"/>
          </w:tcPr>
          <w:p w14:paraId="166CA992"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Batoka (Build operate &amp; transfer) 1200 MW</w:t>
            </w:r>
          </w:p>
        </w:tc>
        <w:tc>
          <w:tcPr>
            <w:tcW w:w="528" w:type="pct"/>
          </w:tcPr>
          <w:p w14:paraId="61B1F145"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0281DCDB" w14:textId="01AA090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Baseline is the Southern African Power Pool (SAPP) emissions with regional emission factor of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for hydro was assumed to be 0.45 </w:t>
            </w:r>
          </w:p>
        </w:tc>
        <w:tc>
          <w:tcPr>
            <w:tcW w:w="544" w:type="pct"/>
          </w:tcPr>
          <w:p w14:paraId="4B02698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Energy units of electricity generated</w:t>
            </w:r>
          </w:p>
        </w:tc>
        <w:tc>
          <w:tcPr>
            <w:tcW w:w="544" w:type="pct"/>
          </w:tcPr>
          <w:p w14:paraId="3697C4E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increase energy security for the country</w:t>
            </w:r>
          </w:p>
        </w:tc>
        <w:tc>
          <w:tcPr>
            <w:tcW w:w="658" w:type="pct"/>
          </w:tcPr>
          <w:p w14:paraId="7768ABE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Funding and preparation stage</w:t>
            </w:r>
          </w:p>
          <w:p w14:paraId="05969CC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p>
        </w:tc>
        <w:tc>
          <w:tcPr>
            <w:tcW w:w="599" w:type="pct"/>
          </w:tcPr>
          <w:p w14:paraId="7E0A11A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4710.5</w:t>
            </w:r>
          </w:p>
        </w:tc>
        <w:tc>
          <w:tcPr>
            <w:tcW w:w="569" w:type="pct"/>
          </w:tcPr>
          <w:p w14:paraId="635421D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0DEF56A8" w14:textId="77777777" w:rsidTr="00A91A48">
        <w:tc>
          <w:tcPr>
            <w:cnfStyle w:val="001000000000" w:firstRow="0" w:lastRow="0" w:firstColumn="1" w:lastColumn="0" w:oddVBand="0" w:evenVBand="0" w:oddHBand="0" w:evenHBand="0" w:firstRowFirstColumn="0" w:firstRowLastColumn="0" w:lastRowFirstColumn="0" w:lastRowLastColumn="0"/>
            <w:tcW w:w="589" w:type="pct"/>
          </w:tcPr>
          <w:p w14:paraId="3B59FA0E"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CEC Kabompo 40MW</w:t>
            </w:r>
          </w:p>
        </w:tc>
        <w:tc>
          <w:tcPr>
            <w:tcW w:w="528" w:type="pct"/>
          </w:tcPr>
          <w:p w14:paraId="05DAC9E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357F413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0.45 </w:t>
            </w:r>
          </w:p>
        </w:tc>
        <w:tc>
          <w:tcPr>
            <w:tcW w:w="544" w:type="pct"/>
          </w:tcPr>
          <w:p w14:paraId="6DF670B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224FE99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6EC1F5B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Funding and preparation stage</w:t>
            </w:r>
          </w:p>
          <w:p w14:paraId="21FB4FF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p>
        </w:tc>
        <w:tc>
          <w:tcPr>
            <w:tcW w:w="599" w:type="pct"/>
          </w:tcPr>
          <w:p w14:paraId="4138318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157.0</w:t>
            </w:r>
          </w:p>
        </w:tc>
        <w:tc>
          <w:tcPr>
            <w:tcW w:w="569" w:type="pct"/>
          </w:tcPr>
          <w:p w14:paraId="23D06CE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776A06C1" w14:textId="77777777" w:rsidTr="00A91A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9" w:type="pct"/>
          </w:tcPr>
          <w:p w14:paraId="31DC11FF"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Devil’s Gorge 500MW</w:t>
            </w:r>
          </w:p>
        </w:tc>
        <w:tc>
          <w:tcPr>
            <w:tcW w:w="528" w:type="pct"/>
          </w:tcPr>
          <w:p w14:paraId="62AB287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5B3D673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0.45. </w:t>
            </w:r>
          </w:p>
        </w:tc>
        <w:tc>
          <w:tcPr>
            <w:tcW w:w="544" w:type="pct"/>
          </w:tcPr>
          <w:p w14:paraId="5DAD124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53A30635"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303205F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 stage</w:t>
            </w:r>
          </w:p>
          <w:p w14:paraId="0A1C492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599" w:type="pct"/>
          </w:tcPr>
          <w:p w14:paraId="7A2EFDE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1962.7</w:t>
            </w:r>
          </w:p>
        </w:tc>
        <w:tc>
          <w:tcPr>
            <w:tcW w:w="569" w:type="pct"/>
          </w:tcPr>
          <w:p w14:paraId="77CFBBF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3FE1AAF9" w14:textId="77777777" w:rsidTr="00A91A48">
        <w:tc>
          <w:tcPr>
            <w:cnfStyle w:val="001000000000" w:firstRow="0" w:lastRow="0" w:firstColumn="1" w:lastColumn="0" w:oddVBand="0" w:evenVBand="0" w:oddHBand="0" w:evenHBand="0" w:firstRowFirstColumn="0" w:firstRowLastColumn="0" w:lastRowFirstColumn="0" w:lastRowLastColumn="0"/>
            <w:tcW w:w="589" w:type="pct"/>
          </w:tcPr>
          <w:p w14:paraId="39922435"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Itezhi-Tezhi Hydro 120 MW</w:t>
            </w:r>
          </w:p>
        </w:tc>
        <w:tc>
          <w:tcPr>
            <w:tcW w:w="528" w:type="pct"/>
          </w:tcPr>
          <w:p w14:paraId="3683D61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Connected to the National grid</w:t>
            </w:r>
          </w:p>
        </w:tc>
        <w:tc>
          <w:tcPr>
            <w:tcW w:w="969" w:type="pct"/>
          </w:tcPr>
          <w:p w14:paraId="7AB97CE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/MWh, Capacity factor 0.45</w:t>
            </w:r>
          </w:p>
        </w:tc>
        <w:tc>
          <w:tcPr>
            <w:tcW w:w="544" w:type="pct"/>
          </w:tcPr>
          <w:p w14:paraId="38F9CBD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620DBEC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445E04E2"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Installation completed and commissioned and being implemented</w:t>
            </w:r>
          </w:p>
        </w:tc>
        <w:tc>
          <w:tcPr>
            <w:tcW w:w="599" w:type="pct"/>
          </w:tcPr>
          <w:p w14:paraId="65EE2B5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471.1</w:t>
            </w:r>
          </w:p>
        </w:tc>
        <w:tc>
          <w:tcPr>
            <w:tcW w:w="569" w:type="pct"/>
          </w:tcPr>
          <w:p w14:paraId="7D018F41"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4EA04B72" w14:textId="77777777" w:rsidTr="00A91A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9" w:type="pct"/>
          </w:tcPr>
          <w:p w14:paraId="4F68DDC2"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Kabwelume Falls - 96 MW</w:t>
            </w:r>
          </w:p>
        </w:tc>
        <w:tc>
          <w:tcPr>
            <w:tcW w:w="528" w:type="pct"/>
          </w:tcPr>
          <w:p w14:paraId="05104A6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5D01F1C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0.45. </w:t>
            </w:r>
          </w:p>
        </w:tc>
        <w:tc>
          <w:tcPr>
            <w:tcW w:w="544" w:type="pct"/>
          </w:tcPr>
          <w:p w14:paraId="2EA471C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75AC9728"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792FD38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 stage</w:t>
            </w:r>
          </w:p>
          <w:p w14:paraId="3AD23DB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599" w:type="pct"/>
          </w:tcPr>
          <w:p w14:paraId="2E95F8A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376.8</w:t>
            </w:r>
          </w:p>
        </w:tc>
        <w:tc>
          <w:tcPr>
            <w:tcW w:w="569" w:type="pct"/>
          </w:tcPr>
          <w:p w14:paraId="4A703B5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40B673F3" w14:textId="77777777" w:rsidTr="00A91A48">
        <w:trPr>
          <w:trHeight w:val="1266"/>
        </w:trPr>
        <w:tc>
          <w:tcPr>
            <w:cnfStyle w:val="001000000000" w:firstRow="0" w:lastRow="0" w:firstColumn="1" w:lastColumn="0" w:oddVBand="0" w:evenVBand="0" w:oddHBand="0" w:evenHBand="0" w:firstRowFirstColumn="0" w:firstRowLastColumn="0" w:lastRowFirstColumn="0" w:lastRowLastColumn="0"/>
            <w:tcW w:w="589" w:type="pct"/>
          </w:tcPr>
          <w:p w14:paraId="767B3704"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lastRenderedPageBreak/>
              <w:t>Kafue Gorge Lower 750MW</w:t>
            </w:r>
          </w:p>
        </w:tc>
        <w:tc>
          <w:tcPr>
            <w:tcW w:w="528" w:type="pct"/>
          </w:tcPr>
          <w:p w14:paraId="6FFA962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7B5F403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0.45 </w:t>
            </w:r>
          </w:p>
        </w:tc>
        <w:tc>
          <w:tcPr>
            <w:tcW w:w="544" w:type="pct"/>
          </w:tcPr>
          <w:p w14:paraId="102E728B"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60ECF0C5"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7CDDB132"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b/>
                <w:color w:val="000000" w:themeColor="text1"/>
                <w:sz w:val="24"/>
                <w:szCs w:val="24"/>
                <w:lang w:eastAsia="x-none"/>
              </w:rPr>
              <w:t xml:space="preserve">Currently undergoing construction and installation </w:t>
            </w:r>
          </w:p>
        </w:tc>
        <w:tc>
          <w:tcPr>
            <w:tcW w:w="599" w:type="pct"/>
          </w:tcPr>
          <w:p w14:paraId="5FE3C02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2944.1</w:t>
            </w:r>
          </w:p>
        </w:tc>
        <w:tc>
          <w:tcPr>
            <w:tcW w:w="569" w:type="pct"/>
          </w:tcPr>
          <w:p w14:paraId="3F4E7A4B"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6059B0C0" w14:textId="77777777" w:rsidTr="00A91A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9" w:type="pct"/>
          </w:tcPr>
          <w:p w14:paraId="328B0FEA"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Kalungwishi 200 MW</w:t>
            </w:r>
          </w:p>
        </w:tc>
        <w:tc>
          <w:tcPr>
            <w:tcW w:w="528" w:type="pct"/>
          </w:tcPr>
          <w:p w14:paraId="1BEE474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1F31E66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0.45. </w:t>
            </w:r>
          </w:p>
        </w:tc>
        <w:tc>
          <w:tcPr>
            <w:tcW w:w="544" w:type="pct"/>
          </w:tcPr>
          <w:p w14:paraId="5861F02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40474BC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0A3401C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 stage</w:t>
            </w:r>
          </w:p>
          <w:p w14:paraId="0835881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599" w:type="pct"/>
          </w:tcPr>
          <w:p w14:paraId="08B193F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785.1</w:t>
            </w:r>
          </w:p>
        </w:tc>
        <w:tc>
          <w:tcPr>
            <w:tcW w:w="569" w:type="pct"/>
          </w:tcPr>
          <w:p w14:paraId="1F85855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0A9CB90D" w14:textId="77777777" w:rsidTr="00A91A48">
        <w:tc>
          <w:tcPr>
            <w:cnfStyle w:val="001000000000" w:firstRow="0" w:lastRow="0" w:firstColumn="1" w:lastColumn="0" w:oddVBand="0" w:evenVBand="0" w:oddHBand="0" w:evenHBand="0" w:firstRowFirstColumn="0" w:firstRowLastColumn="0" w:lastRowFirstColumn="0" w:lastRowLastColumn="0"/>
            <w:tcW w:w="589" w:type="pct"/>
          </w:tcPr>
          <w:p w14:paraId="6BDE9488"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Kariba North Bank Extension 360 MW</w:t>
            </w:r>
          </w:p>
        </w:tc>
        <w:tc>
          <w:tcPr>
            <w:tcW w:w="528" w:type="pct"/>
          </w:tcPr>
          <w:p w14:paraId="54F51CF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Connected to the National grid</w:t>
            </w:r>
          </w:p>
        </w:tc>
        <w:tc>
          <w:tcPr>
            <w:tcW w:w="969" w:type="pct"/>
          </w:tcPr>
          <w:p w14:paraId="5A66123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0.45. </w:t>
            </w:r>
          </w:p>
        </w:tc>
        <w:tc>
          <w:tcPr>
            <w:tcW w:w="544" w:type="pct"/>
          </w:tcPr>
          <w:p w14:paraId="18D5AEE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58A4D05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45D9079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b/>
                <w:color w:val="000000" w:themeColor="text1"/>
                <w:sz w:val="24"/>
                <w:szCs w:val="24"/>
                <w:lang w:eastAsia="x-none"/>
              </w:rPr>
              <w:t xml:space="preserve">Installation completed and commissioned </w:t>
            </w:r>
          </w:p>
        </w:tc>
        <w:tc>
          <w:tcPr>
            <w:tcW w:w="599" w:type="pct"/>
          </w:tcPr>
          <w:p w14:paraId="3206483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1413.2</w:t>
            </w:r>
          </w:p>
        </w:tc>
        <w:tc>
          <w:tcPr>
            <w:tcW w:w="569" w:type="pct"/>
          </w:tcPr>
          <w:p w14:paraId="360C22B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39EF9E7F" w14:textId="77777777" w:rsidTr="00A91A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9" w:type="pct"/>
          </w:tcPr>
          <w:p w14:paraId="3973D0C9"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Kundabwika Falls – 151 MW</w:t>
            </w:r>
          </w:p>
        </w:tc>
        <w:tc>
          <w:tcPr>
            <w:tcW w:w="528" w:type="pct"/>
          </w:tcPr>
          <w:p w14:paraId="2B1D772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2471D01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0.45.45 </w:t>
            </w:r>
          </w:p>
        </w:tc>
        <w:tc>
          <w:tcPr>
            <w:tcW w:w="544" w:type="pct"/>
          </w:tcPr>
          <w:p w14:paraId="3D49CF6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53A6D80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42BB033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 stage</w:t>
            </w:r>
          </w:p>
          <w:p w14:paraId="1B778AC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599" w:type="pct"/>
          </w:tcPr>
          <w:p w14:paraId="5413014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592.7</w:t>
            </w:r>
          </w:p>
        </w:tc>
        <w:tc>
          <w:tcPr>
            <w:tcW w:w="569" w:type="pct"/>
          </w:tcPr>
          <w:p w14:paraId="7824E19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3770A9E7" w14:textId="77777777" w:rsidTr="00A91A48">
        <w:tc>
          <w:tcPr>
            <w:cnfStyle w:val="001000000000" w:firstRow="0" w:lastRow="0" w:firstColumn="1" w:lastColumn="0" w:oddVBand="0" w:evenVBand="0" w:oddHBand="0" w:evenHBand="0" w:firstRowFirstColumn="0" w:firstRowLastColumn="0" w:lastRowFirstColumn="0" w:lastRowLastColumn="0"/>
            <w:tcW w:w="589" w:type="pct"/>
          </w:tcPr>
          <w:p w14:paraId="38A047FA"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Luapula 350 MW</w:t>
            </w:r>
          </w:p>
        </w:tc>
        <w:tc>
          <w:tcPr>
            <w:tcW w:w="528" w:type="pct"/>
          </w:tcPr>
          <w:p w14:paraId="77F6137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3656A22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0.45. </w:t>
            </w:r>
          </w:p>
        </w:tc>
        <w:tc>
          <w:tcPr>
            <w:tcW w:w="544" w:type="pct"/>
          </w:tcPr>
          <w:p w14:paraId="3497F38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446787A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52CC995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 stage</w:t>
            </w:r>
          </w:p>
          <w:p w14:paraId="0E237FD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p>
        </w:tc>
        <w:tc>
          <w:tcPr>
            <w:tcW w:w="599" w:type="pct"/>
          </w:tcPr>
          <w:p w14:paraId="02ED1249"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1373.9</w:t>
            </w:r>
          </w:p>
        </w:tc>
        <w:tc>
          <w:tcPr>
            <w:tcW w:w="569" w:type="pct"/>
          </w:tcPr>
          <w:p w14:paraId="5BE33B8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3607421A" w14:textId="77777777" w:rsidTr="00A91A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9" w:type="pct"/>
          </w:tcPr>
          <w:p w14:paraId="7832E24C"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Luchenene – 30 MW</w:t>
            </w:r>
          </w:p>
        </w:tc>
        <w:tc>
          <w:tcPr>
            <w:tcW w:w="528" w:type="pct"/>
          </w:tcPr>
          <w:p w14:paraId="5320869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21D7B71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/MWh, Capacity factor 0.45.</w:t>
            </w:r>
          </w:p>
        </w:tc>
        <w:tc>
          <w:tcPr>
            <w:tcW w:w="544" w:type="pct"/>
          </w:tcPr>
          <w:p w14:paraId="6B984A6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4C6AD86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39FC23C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 stage</w:t>
            </w:r>
          </w:p>
          <w:p w14:paraId="18F4A27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599" w:type="pct"/>
          </w:tcPr>
          <w:p w14:paraId="7C0A8D8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117.8</w:t>
            </w:r>
          </w:p>
        </w:tc>
        <w:tc>
          <w:tcPr>
            <w:tcW w:w="569" w:type="pct"/>
          </w:tcPr>
          <w:p w14:paraId="3BE407A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61D7D107" w14:textId="77777777" w:rsidTr="00A91A48">
        <w:tc>
          <w:tcPr>
            <w:cnfStyle w:val="001000000000" w:firstRow="0" w:lastRow="0" w:firstColumn="1" w:lastColumn="0" w:oddVBand="0" w:evenVBand="0" w:oddHBand="0" w:evenHBand="0" w:firstRowFirstColumn="0" w:firstRowLastColumn="0" w:lastRowFirstColumn="0" w:lastRowLastColumn="0"/>
            <w:tcW w:w="589" w:type="pct"/>
          </w:tcPr>
          <w:p w14:paraId="4F7FB982"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Lufubu 200 MW</w:t>
            </w:r>
          </w:p>
        </w:tc>
        <w:tc>
          <w:tcPr>
            <w:tcW w:w="528" w:type="pct"/>
          </w:tcPr>
          <w:p w14:paraId="71FC96C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023229D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/MWh, Capacity factor 0.45.</w:t>
            </w:r>
          </w:p>
        </w:tc>
        <w:tc>
          <w:tcPr>
            <w:tcW w:w="544" w:type="pct"/>
          </w:tcPr>
          <w:p w14:paraId="597CD2A2"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24A9786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147CF95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 stage</w:t>
            </w:r>
          </w:p>
          <w:p w14:paraId="1975292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p>
        </w:tc>
        <w:tc>
          <w:tcPr>
            <w:tcW w:w="599" w:type="pct"/>
          </w:tcPr>
          <w:p w14:paraId="3EB7EA99"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639.8</w:t>
            </w:r>
          </w:p>
        </w:tc>
        <w:tc>
          <w:tcPr>
            <w:tcW w:w="569" w:type="pct"/>
          </w:tcPr>
          <w:p w14:paraId="30AFC2F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7AE862AC" w14:textId="77777777" w:rsidTr="00A91A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9" w:type="pct"/>
          </w:tcPr>
          <w:p w14:paraId="2F7ADC13"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lastRenderedPageBreak/>
              <w:t>Mambilima Falls SiteI– 202 MW</w:t>
            </w:r>
          </w:p>
        </w:tc>
        <w:tc>
          <w:tcPr>
            <w:tcW w:w="528" w:type="pct"/>
          </w:tcPr>
          <w:p w14:paraId="1759994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6359DA2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/MWh, Capacity factor 0.45.</w:t>
            </w:r>
          </w:p>
        </w:tc>
        <w:tc>
          <w:tcPr>
            <w:tcW w:w="544" w:type="pct"/>
          </w:tcPr>
          <w:p w14:paraId="0912440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1CC8E68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623FEFE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 stage</w:t>
            </w:r>
          </w:p>
          <w:p w14:paraId="49E25EB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599" w:type="pct"/>
          </w:tcPr>
          <w:p w14:paraId="0C591D8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792.9</w:t>
            </w:r>
          </w:p>
        </w:tc>
        <w:tc>
          <w:tcPr>
            <w:tcW w:w="569" w:type="pct"/>
          </w:tcPr>
          <w:p w14:paraId="51CE859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04829978" w14:textId="77777777" w:rsidTr="00A91A48">
        <w:tc>
          <w:tcPr>
            <w:cnfStyle w:val="001000000000" w:firstRow="0" w:lastRow="0" w:firstColumn="1" w:lastColumn="0" w:oddVBand="0" w:evenVBand="0" w:oddHBand="0" w:evenHBand="0" w:firstRowFirstColumn="0" w:firstRowLastColumn="0" w:lastRowFirstColumn="0" w:lastRowLastColumn="0"/>
            <w:tcW w:w="589" w:type="pct"/>
          </w:tcPr>
          <w:p w14:paraId="401E58BF"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Mkushi – 65 MW</w:t>
            </w:r>
          </w:p>
        </w:tc>
        <w:tc>
          <w:tcPr>
            <w:tcW w:w="528" w:type="pct"/>
          </w:tcPr>
          <w:p w14:paraId="673F5F6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053B6E8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/MWh, Capacity factor 0.45.</w:t>
            </w:r>
          </w:p>
        </w:tc>
        <w:tc>
          <w:tcPr>
            <w:tcW w:w="544" w:type="pct"/>
          </w:tcPr>
          <w:p w14:paraId="540BD36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64BB3179"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7C65DB3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Design&amp; planning stage</w:t>
            </w:r>
          </w:p>
        </w:tc>
        <w:tc>
          <w:tcPr>
            <w:tcW w:w="599" w:type="pct"/>
          </w:tcPr>
          <w:p w14:paraId="6A982BF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255.2</w:t>
            </w:r>
          </w:p>
        </w:tc>
        <w:tc>
          <w:tcPr>
            <w:tcW w:w="569" w:type="pct"/>
          </w:tcPr>
          <w:p w14:paraId="6ADB9226"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2715E616" w14:textId="77777777" w:rsidTr="00A91A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9" w:type="pct"/>
          </w:tcPr>
          <w:p w14:paraId="2146462B"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Mpata 540 MW</w:t>
            </w:r>
          </w:p>
        </w:tc>
        <w:tc>
          <w:tcPr>
            <w:tcW w:w="528" w:type="pct"/>
          </w:tcPr>
          <w:p w14:paraId="1FFEB498"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0962DDF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0.45. </w:t>
            </w:r>
          </w:p>
        </w:tc>
        <w:tc>
          <w:tcPr>
            <w:tcW w:w="544" w:type="pct"/>
          </w:tcPr>
          <w:p w14:paraId="30E965A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04ECADB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06D1830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Design&amp; planning stage</w:t>
            </w:r>
          </w:p>
        </w:tc>
        <w:tc>
          <w:tcPr>
            <w:tcW w:w="599" w:type="pct"/>
          </w:tcPr>
          <w:p w14:paraId="2E9D525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2119.7</w:t>
            </w:r>
          </w:p>
        </w:tc>
        <w:tc>
          <w:tcPr>
            <w:tcW w:w="569" w:type="pct"/>
          </w:tcPr>
          <w:p w14:paraId="646C3AB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460CF899" w14:textId="77777777" w:rsidTr="00A91A48">
        <w:tc>
          <w:tcPr>
            <w:cnfStyle w:val="001000000000" w:firstRow="0" w:lastRow="0" w:firstColumn="1" w:lastColumn="0" w:oddVBand="0" w:evenVBand="0" w:oddHBand="0" w:evenHBand="0" w:firstRowFirstColumn="0" w:firstRowLastColumn="0" w:lastRowFirstColumn="0" w:lastRowLastColumn="0"/>
            <w:tcW w:w="589" w:type="pct"/>
          </w:tcPr>
          <w:p w14:paraId="0E289EC8"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Mumbotuta 300 MW</w:t>
            </w:r>
          </w:p>
        </w:tc>
        <w:tc>
          <w:tcPr>
            <w:tcW w:w="528" w:type="pct"/>
          </w:tcPr>
          <w:p w14:paraId="4760086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4A2EC4D6"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0.45. </w:t>
            </w:r>
          </w:p>
        </w:tc>
        <w:tc>
          <w:tcPr>
            <w:tcW w:w="544" w:type="pct"/>
          </w:tcPr>
          <w:p w14:paraId="7F421DC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267D6BE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34A16CA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Design&amp; planning stage</w:t>
            </w:r>
          </w:p>
        </w:tc>
        <w:tc>
          <w:tcPr>
            <w:tcW w:w="599" w:type="pct"/>
          </w:tcPr>
          <w:p w14:paraId="2FD17C6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1177.6</w:t>
            </w:r>
          </w:p>
        </w:tc>
        <w:tc>
          <w:tcPr>
            <w:tcW w:w="569" w:type="pct"/>
          </w:tcPr>
          <w:p w14:paraId="129DAD45"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27F86BF8" w14:textId="77777777" w:rsidTr="00A91A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9" w:type="pct"/>
          </w:tcPr>
          <w:p w14:paraId="7AA9D8D3"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Mutinondo - 40 MW</w:t>
            </w:r>
          </w:p>
        </w:tc>
        <w:tc>
          <w:tcPr>
            <w:tcW w:w="528" w:type="pct"/>
          </w:tcPr>
          <w:p w14:paraId="60F00F4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connected to the National grid</w:t>
            </w:r>
          </w:p>
        </w:tc>
        <w:tc>
          <w:tcPr>
            <w:tcW w:w="969" w:type="pct"/>
          </w:tcPr>
          <w:p w14:paraId="74874E7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0.45. </w:t>
            </w:r>
          </w:p>
        </w:tc>
        <w:tc>
          <w:tcPr>
            <w:tcW w:w="544" w:type="pct"/>
          </w:tcPr>
          <w:p w14:paraId="05D9269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76AAF55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17927C5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Design&amp; planning stage</w:t>
            </w:r>
          </w:p>
        </w:tc>
        <w:tc>
          <w:tcPr>
            <w:tcW w:w="599" w:type="pct"/>
          </w:tcPr>
          <w:p w14:paraId="69BA0ED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157.0</w:t>
            </w:r>
          </w:p>
        </w:tc>
        <w:tc>
          <w:tcPr>
            <w:tcW w:w="569" w:type="pct"/>
          </w:tcPr>
          <w:p w14:paraId="21D949F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33465415" w14:textId="77777777" w:rsidTr="00A91A48">
        <w:tc>
          <w:tcPr>
            <w:cnfStyle w:val="001000000000" w:firstRow="0" w:lastRow="0" w:firstColumn="1" w:lastColumn="0" w:oddVBand="0" w:evenVBand="0" w:oddHBand="0" w:evenHBand="0" w:firstRowFirstColumn="0" w:firstRowLastColumn="0" w:lastRowFirstColumn="0" w:lastRowLastColumn="0"/>
            <w:tcW w:w="589" w:type="pct"/>
          </w:tcPr>
          <w:p w14:paraId="0052C2A5"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Shiwangandu (1MW)</w:t>
            </w:r>
          </w:p>
        </w:tc>
        <w:tc>
          <w:tcPr>
            <w:tcW w:w="528" w:type="pct"/>
          </w:tcPr>
          <w:p w14:paraId="0201D43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connected to the National grid</w:t>
            </w:r>
          </w:p>
        </w:tc>
        <w:tc>
          <w:tcPr>
            <w:tcW w:w="969" w:type="pct"/>
          </w:tcPr>
          <w:p w14:paraId="1B37E6A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SAPP Regional emission factor 0.9958 tCO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/MWh, Capacity factor 0.45. </w:t>
            </w:r>
          </w:p>
        </w:tc>
        <w:tc>
          <w:tcPr>
            <w:tcW w:w="544" w:type="pct"/>
          </w:tcPr>
          <w:p w14:paraId="4A98694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540A98F9"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energy security for the country</w:t>
            </w:r>
          </w:p>
        </w:tc>
        <w:tc>
          <w:tcPr>
            <w:tcW w:w="658" w:type="pct"/>
          </w:tcPr>
          <w:p w14:paraId="359B6D0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b/>
                <w:color w:val="000000" w:themeColor="text1"/>
                <w:sz w:val="24"/>
                <w:szCs w:val="24"/>
                <w:lang w:eastAsia="x-none"/>
              </w:rPr>
              <w:t>Construction and installation completed and scheme commissioned and operational</w:t>
            </w:r>
          </w:p>
        </w:tc>
        <w:tc>
          <w:tcPr>
            <w:tcW w:w="599" w:type="pct"/>
          </w:tcPr>
          <w:p w14:paraId="26B1DCC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3.9</w:t>
            </w:r>
          </w:p>
        </w:tc>
        <w:tc>
          <w:tcPr>
            <w:tcW w:w="569" w:type="pct"/>
          </w:tcPr>
          <w:p w14:paraId="106FFCE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25603886" w14:textId="77777777" w:rsidTr="00A91A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9" w:type="pct"/>
          </w:tcPr>
          <w:p w14:paraId="2C147083"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Zambia Sugar (40MW)</w:t>
            </w:r>
          </w:p>
        </w:tc>
        <w:tc>
          <w:tcPr>
            <w:tcW w:w="528" w:type="pct"/>
          </w:tcPr>
          <w:p w14:paraId="272D24F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Auto generation with excess </w:t>
            </w:r>
            <w:r w:rsidRPr="00191ACB">
              <w:rPr>
                <w:rFonts w:ascii="Times New Roman" w:hAnsi="Times New Roman"/>
                <w:color w:val="000000" w:themeColor="text1"/>
                <w:sz w:val="24"/>
                <w:szCs w:val="24"/>
              </w:rPr>
              <w:lastRenderedPageBreak/>
              <w:t>exported to the grid</w:t>
            </w:r>
          </w:p>
        </w:tc>
        <w:tc>
          <w:tcPr>
            <w:tcW w:w="969" w:type="pct"/>
          </w:tcPr>
          <w:p w14:paraId="09F0B7C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lastRenderedPageBreak/>
              <w:t>SAPP Regional emission factor 0.9958 tCO2/MWh, Capacity factor 0.45.</w:t>
            </w:r>
          </w:p>
        </w:tc>
        <w:tc>
          <w:tcPr>
            <w:tcW w:w="544" w:type="pct"/>
          </w:tcPr>
          <w:p w14:paraId="72C649A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Energy units of electricity generated</w:t>
            </w:r>
          </w:p>
        </w:tc>
        <w:tc>
          <w:tcPr>
            <w:tcW w:w="544" w:type="pct"/>
          </w:tcPr>
          <w:p w14:paraId="3C04135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To increase energy </w:t>
            </w:r>
            <w:r w:rsidRPr="00191ACB">
              <w:rPr>
                <w:rFonts w:ascii="Times New Roman" w:hAnsi="Times New Roman"/>
                <w:color w:val="000000" w:themeColor="text1"/>
                <w:sz w:val="24"/>
                <w:szCs w:val="24"/>
                <w:lang w:eastAsia="x-none"/>
              </w:rPr>
              <w:lastRenderedPageBreak/>
              <w:t>security for the country</w:t>
            </w:r>
          </w:p>
        </w:tc>
        <w:tc>
          <w:tcPr>
            <w:tcW w:w="658" w:type="pct"/>
          </w:tcPr>
          <w:p w14:paraId="0365ABE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b/>
                <w:color w:val="000000" w:themeColor="text1"/>
                <w:sz w:val="24"/>
                <w:szCs w:val="24"/>
                <w:lang w:eastAsia="x-none"/>
              </w:rPr>
              <w:lastRenderedPageBreak/>
              <w:t xml:space="preserve">Completed and commissioned </w:t>
            </w:r>
            <w:r w:rsidRPr="00191ACB">
              <w:rPr>
                <w:rFonts w:ascii="Times New Roman" w:hAnsi="Times New Roman"/>
                <w:b/>
                <w:color w:val="000000" w:themeColor="text1"/>
                <w:sz w:val="24"/>
                <w:szCs w:val="24"/>
                <w:lang w:eastAsia="x-none"/>
              </w:rPr>
              <w:lastRenderedPageBreak/>
              <w:t>and plant operational</w:t>
            </w:r>
          </w:p>
        </w:tc>
        <w:tc>
          <w:tcPr>
            <w:tcW w:w="599" w:type="pct"/>
          </w:tcPr>
          <w:p w14:paraId="6E8137A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lastRenderedPageBreak/>
              <w:t>19.2</w:t>
            </w:r>
          </w:p>
        </w:tc>
        <w:tc>
          <w:tcPr>
            <w:tcW w:w="569" w:type="pct"/>
          </w:tcPr>
          <w:p w14:paraId="6E3FEC7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bl>
    <w:p w14:paraId="19259333" w14:textId="518CCAD7" w:rsidR="004A054E" w:rsidRPr="00191ACB" w:rsidRDefault="00245464" w:rsidP="004A054E">
      <w:pPr>
        <w:jc w:val="both"/>
        <w:rPr>
          <w:rFonts w:ascii="Times New Roman" w:eastAsia="Calibri" w:hAnsi="Times New Roman" w:cs="Times New Roman"/>
          <w:i/>
          <w:color w:val="000000" w:themeColor="text1"/>
          <w:sz w:val="24"/>
          <w:szCs w:val="24"/>
        </w:rPr>
        <w:sectPr w:rsidR="004A054E" w:rsidRPr="00191ACB" w:rsidSect="004A054E">
          <w:pgSz w:w="16834" w:h="11909" w:orient="landscape" w:code="9"/>
          <w:pgMar w:top="720" w:right="862" w:bottom="1440" w:left="862" w:header="720" w:footer="720" w:gutter="0"/>
          <w:cols w:space="720"/>
          <w:docGrid w:linePitch="360"/>
        </w:sectPr>
      </w:pPr>
      <w:r w:rsidRPr="00191ACB">
        <w:rPr>
          <w:rFonts w:ascii="Times New Roman" w:eastAsia="Calibri" w:hAnsi="Times New Roman" w:cs="Times New Roman"/>
          <w:i/>
          <w:color w:val="000000" w:themeColor="text1"/>
          <w:sz w:val="24"/>
          <w:szCs w:val="24"/>
        </w:rPr>
        <w:t>Source: ZESCO,</w:t>
      </w:r>
      <w:r w:rsidRPr="00191ACB">
        <w:rPr>
          <w:rFonts w:ascii="Times New Roman" w:eastAsia="Calibri" w:hAnsi="Times New Roman" w:cs="Times New Roman"/>
          <w:b/>
          <w:bCs/>
          <w:i/>
          <w:color w:val="000000" w:themeColor="text1"/>
          <w:sz w:val="24"/>
          <w:szCs w:val="24"/>
        </w:rPr>
        <w:t xml:space="preserve"> </w:t>
      </w:r>
      <w:r w:rsidRPr="00191ACB">
        <w:rPr>
          <w:rFonts w:ascii="Times New Roman" w:eastAsia="Calibri" w:hAnsi="Times New Roman" w:cs="Times New Roman"/>
          <w:bCs/>
          <w:i/>
          <w:color w:val="000000" w:themeColor="text1"/>
          <w:sz w:val="24"/>
          <w:szCs w:val="24"/>
        </w:rPr>
        <w:t>Consultancy Services Department (Renewable Energy Division),</w:t>
      </w:r>
      <w:r w:rsidRPr="00191ACB">
        <w:rPr>
          <w:rFonts w:ascii="Times New Roman" w:eastAsia="Calibri" w:hAnsi="Times New Roman" w:cs="Times New Roman"/>
          <w:i/>
          <w:color w:val="000000" w:themeColor="text1"/>
          <w:sz w:val="24"/>
          <w:szCs w:val="24"/>
        </w:rPr>
        <w:t xml:space="preserve"> Copperbelt Energy Corporation (CEC) and Ministry of Energy</w:t>
      </w:r>
      <w:bookmarkStart w:id="399" w:name="_Toc26264940"/>
    </w:p>
    <w:p w14:paraId="026EF814" w14:textId="793C4B66" w:rsidR="00DB6786" w:rsidRPr="00191ACB" w:rsidRDefault="00DB6786" w:rsidP="005E626A">
      <w:pPr>
        <w:pStyle w:val="Heading2"/>
        <w:spacing w:after="120" w:line="240" w:lineRule="auto"/>
        <w:rPr>
          <w:rFonts w:ascii="Times New Roman" w:eastAsia="Times New Roman" w:hAnsi="Times New Roman" w:cs="Times New Roman"/>
          <w:color w:val="000000" w:themeColor="text1"/>
          <w:sz w:val="24"/>
          <w:szCs w:val="24"/>
          <w:lang w:eastAsia="x-none"/>
        </w:rPr>
      </w:pPr>
    </w:p>
    <w:p w14:paraId="762FD8D3" w14:textId="1EB4279E" w:rsidR="00245464" w:rsidRPr="00191ACB" w:rsidRDefault="00245464" w:rsidP="00D21C5B">
      <w:pPr>
        <w:pStyle w:val="Heading4"/>
        <w:numPr>
          <w:ilvl w:val="3"/>
          <w:numId w:val="36"/>
        </w:numPr>
        <w:ind w:left="851" w:hanging="851"/>
        <w:rPr>
          <w:lang w:eastAsia="x-none"/>
        </w:rPr>
      </w:pPr>
      <w:r w:rsidRPr="00191ACB">
        <w:t>Mitigation Actions from Energy Efficiency</w:t>
      </w:r>
      <w:bookmarkEnd w:id="399"/>
      <w:r w:rsidRPr="00191ACB">
        <w:t xml:space="preserve"> </w:t>
      </w:r>
    </w:p>
    <w:p w14:paraId="249E1463" w14:textId="5CF0D26E" w:rsidR="00245464" w:rsidRPr="00191ACB"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Recently there has been initiatives to promote energy efficiency in Zambia. Energy efficiency projects planned or being implemented in Zambia include among others; solar street lighting retrofits which involves replacement of existing </w:t>
      </w:r>
      <w:r w:rsidR="0049124E" w:rsidRPr="00191ACB">
        <w:rPr>
          <w:rFonts w:ascii="Times New Roman" w:eastAsia="Calibri" w:hAnsi="Times New Roman" w:cs="Times New Roman"/>
          <w:color w:val="000000" w:themeColor="text1"/>
          <w:sz w:val="24"/>
          <w:szCs w:val="24"/>
        </w:rPr>
        <w:t>high-pressure</w:t>
      </w:r>
      <w:r w:rsidRPr="00191ACB">
        <w:rPr>
          <w:rFonts w:ascii="Times New Roman" w:eastAsia="Calibri" w:hAnsi="Times New Roman" w:cs="Times New Roman"/>
          <w:color w:val="000000" w:themeColor="text1"/>
          <w:sz w:val="24"/>
          <w:szCs w:val="24"/>
        </w:rPr>
        <w:t xml:space="preserve"> sodium (HPS) lamps with LEDs or total replacement of the existing luminaires with off-grid solar-LED lights incorporating battery storage for 16,000 street lights in Lusaka city supported by World Bank. Further, as part of reducing energy consumption solar geysers are being installed in residential, commercial and public buildings with a target of 4000 installation in households and 20 in commercial and public buildings. Other energy efficiency projects are promotion of use of LED/CFL lighting in households and reduction of technical losses through Reactive Power Compensation. Mopani Copper mine is planning to capture waste heat from smelters and use for power generation aimed at reducing consumption of electricity. This measure will help save approximately 9MW of electric power and it is scheduled to start by 2020. </w:t>
      </w:r>
    </w:p>
    <w:p w14:paraId="5F80DC93" w14:textId="77777777" w:rsidR="00BC40A9" w:rsidRPr="00191ACB" w:rsidRDefault="00BC40A9" w:rsidP="00245464">
      <w:pPr>
        <w:rPr>
          <w:rFonts w:ascii="Times New Roman" w:eastAsia="Calibri" w:hAnsi="Times New Roman" w:cs="Times New Roman"/>
          <w:color w:val="000000" w:themeColor="text1"/>
          <w:sz w:val="24"/>
          <w:szCs w:val="24"/>
        </w:rPr>
        <w:sectPr w:rsidR="00BC40A9" w:rsidRPr="00191ACB" w:rsidSect="004A054E">
          <w:pgSz w:w="11909" w:h="16834" w:code="9"/>
          <w:pgMar w:top="862" w:right="1440" w:bottom="862" w:left="720" w:header="720" w:footer="720" w:gutter="0"/>
          <w:cols w:space="720"/>
          <w:docGrid w:linePitch="360"/>
        </w:sectPr>
      </w:pPr>
    </w:p>
    <w:p w14:paraId="6D9ADF99" w14:textId="77777777" w:rsidR="00245464" w:rsidRPr="00191ACB"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lastRenderedPageBreak/>
        <w:t xml:space="preserve">As far as fuel switching and reducing fossil fuels consumption is concerned, Mopani Copper Mine is increasing efficiency so as to reduce the consumption of Heavy Fuel Oils and is advocating for reducing fleet of vehicles and removal of old vehicles. Copperbelt Energy Corporation has installed a bio diesel plant with a capacity of 900,000 liters per annum as alternative fuel to diesel. Dangote is also currently using tyres as fuel in kilns which are burnt at very high temperatures. On average each tyre weights about 30kg each and about 700 to 1000 tyres are burnt in in kilns every month. Ndola Energy is considering moving from use of HFOs to natural gas in the electricity generation depending on available resources. </w:t>
      </w:r>
    </w:p>
    <w:p w14:paraId="6980D582" w14:textId="603443E8" w:rsidR="00245464" w:rsidRPr="00191ACB"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Use of LED/CFL in households in 2016 resulted in the savings amounting to 31.5 GWh which translated to emissions reduction of 31.4 Gg CO</w:t>
      </w:r>
      <w:r w:rsidRPr="002A4DFC">
        <w:rPr>
          <w:rFonts w:ascii="Times New Roman" w:eastAsia="Calibri" w:hAnsi="Times New Roman" w:cs="Times New Roman"/>
          <w:color w:val="000000" w:themeColor="text1"/>
          <w:sz w:val="24"/>
          <w:szCs w:val="24"/>
        </w:rPr>
        <w:t xml:space="preserve">2 eq. </w:t>
      </w:r>
      <w:r w:rsidRPr="00191ACB">
        <w:rPr>
          <w:rFonts w:ascii="Times New Roman" w:eastAsia="Calibri" w:hAnsi="Times New Roman" w:cs="Times New Roman"/>
          <w:color w:val="000000" w:themeColor="text1"/>
          <w:sz w:val="24"/>
          <w:szCs w:val="24"/>
        </w:rPr>
        <w:t xml:space="preserve">(Table </w:t>
      </w:r>
      <w:r w:rsidR="00501324" w:rsidRPr="00191ACB">
        <w:rPr>
          <w:rFonts w:ascii="Times New Roman" w:eastAsia="Calibri" w:hAnsi="Times New Roman" w:cs="Times New Roman"/>
          <w:color w:val="000000" w:themeColor="text1"/>
          <w:sz w:val="24"/>
          <w:szCs w:val="24"/>
        </w:rPr>
        <w:t>4.24</w:t>
      </w:r>
      <w:r w:rsidRPr="00191ACB">
        <w:rPr>
          <w:rFonts w:ascii="Times New Roman" w:eastAsia="Calibri" w:hAnsi="Times New Roman" w:cs="Times New Roman"/>
          <w:color w:val="000000" w:themeColor="text1"/>
          <w:sz w:val="24"/>
          <w:szCs w:val="24"/>
        </w:rPr>
        <w:t>). Successful implementation of energy efficiency project such as</w:t>
      </w:r>
      <w:r w:rsidRPr="002A4DFC">
        <w:rPr>
          <w:rFonts w:ascii="Times New Roman" w:eastAsia="Calibri" w:hAnsi="Times New Roman" w:cs="Times New Roman"/>
          <w:color w:val="000000" w:themeColor="text1"/>
          <w:sz w:val="24"/>
          <w:szCs w:val="24"/>
        </w:rPr>
        <w:t xml:space="preserve"> solar street lighting retrofit, solar geysers, and reactive power compensation will result in total annual savings of 159.6 GWh which is projected to result in annual emission reduction of 127.6 </w:t>
      </w:r>
      <w:r w:rsidRPr="00191ACB">
        <w:rPr>
          <w:rFonts w:ascii="Times New Roman" w:eastAsia="Calibri" w:hAnsi="Times New Roman" w:cs="Times New Roman"/>
          <w:color w:val="000000" w:themeColor="text1"/>
          <w:sz w:val="24"/>
          <w:szCs w:val="24"/>
        </w:rPr>
        <w:t>Gg CO</w:t>
      </w:r>
      <w:r w:rsidRPr="002A4DFC">
        <w:rPr>
          <w:rFonts w:ascii="Times New Roman" w:eastAsia="Calibri" w:hAnsi="Times New Roman" w:cs="Times New Roman"/>
          <w:color w:val="000000" w:themeColor="text1"/>
          <w:sz w:val="24"/>
          <w:szCs w:val="24"/>
        </w:rPr>
        <w:t>2 eq</w:t>
      </w:r>
      <w:r w:rsidRPr="00191ACB">
        <w:rPr>
          <w:rFonts w:ascii="Times New Roman" w:eastAsia="Calibri" w:hAnsi="Times New Roman" w:cs="Times New Roman"/>
          <w:color w:val="000000" w:themeColor="text1"/>
          <w:sz w:val="24"/>
          <w:szCs w:val="24"/>
        </w:rPr>
        <w:t>. It was assumed that energy efficiency interventions will reduce energy consumption on the national grid and thus the baseline is the Southern African Power Pool (SAPP). The emission factor used to calculate projected emissions reduction under this mitigation action is the regional emission factor for operating margin CO</w:t>
      </w:r>
      <w:r w:rsidRPr="002A4DFC">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for the project electricity system (0.9958 tCO</w:t>
      </w:r>
      <w:r w:rsidRPr="002A4DFC">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/MWh).</w:t>
      </w:r>
    </w:p>
    <w:p w14:paraId="0E8BCFD8"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p>
    <w:p w14:paraId="24B14F5D" w14:textId="6018C8F5" w:rsidR="00245464" w:rsidRPr="00191ACB" w:rsidRDefault="00C319A4" w:rsidP="00C319A4">
      <w:pPr>
        <w:pStyle w:val="Caption"/>
        <w:rPr>
          <w:rFonts w:eastAsia="Calibri"/>
          <w:color w:val="000000" w:themeColor="text1"/>
          <w:sz w:val="24"/>
          <w:szCs w:val="24"/>
        </w:rPr>
      </w:pPr>
      <w:bookmarkStart w:id="400" w:name="_Toc56583800"/>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24</w:t>
      </w:r>
      <w:r w:rsidR="00875942">
        <w:rPr>
          <w:sz w:val="24"/>
          <w:szCs w:val="24"/>
        </w:rPr>
        <w:fldChar w:fldCharType="end"/>
      </w:r>
      <w:r w:rsidRPr="00191ACB">
        <w:rPr>
          <w:sz w:val="24"/>
          <w:szCs w:val="24"/>
        </w:rPr>
        <w:t>:Emission reduction potential for energy efficiency (Gg CO2 eq)</w:t>
      </w:r>
      <w:bookmarkEnd w:id="400"/>
    </w:p>
    <w:tbl>
      <w:tblPr>
        <w:tblW w:w="5000" w:type="pct"/>
        <w:tblLayout w:type="fixed"/>
        <w:tblLook w:val="04A0" w:firstRow="1" w:lastRow="0" w:firstColumn="1" w:lastColumn="0" w:noHBand="0" w:noVBand="1"/>
      </w:tblPr>
      <w:tblGrid>
        <w:gridCol w:w="1707"/>
        <w:gridCol w:w="863"/>
        <w:gridCol w:w="719"/>
        <w:gridCol w:w="715"/>
        <w:gridCol w:w="715"/>
        <w:gridCol w:w="713"/>
        <w:gridCol w:w="715"/>
        <w:gridCol w:w="715"/>
        <w:gridCol w:w="717"/>
        <w:gridCol w:w="715"/>
        <w:gridCol w:w="734"/>
        <w:gridCol w:w="711"/>
      </w:tblGrid>
      <w:tr w:rsidR="00245464" w:rsidRPr="00191ACB" w14:paraId="6F1FA833" w14:textId="77777777" w:rsidTr="00A91A48">
        <w:trPr>
          <w:trHeight w:val="300"/>
          <w:tblHeader/>
        </w:trPr>
        <w:tc>
          <w:tcPr>
            <w:tcW w:w="87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3E579C"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Projects</w:t>
            </w:r>
          </w:p>
        </w:tc>
        <w:tc>
          <w:tcPr>
            <w:tcW w:w="443" w:type="pct"/>
            <w:tcBorders>
              <w:top w:val="single" w:sz="4" w:space="0" w:color="auto"/>
              <w:left w:val="nil"/>
              <w:bottom w:val="single" w:sz="4" w:space="0" w:color="auto"/>
              <w:right w:val="single" w:sz="4" w:space="0" w:color="auto"/>
            </w:tcBorders>
            <w:shd w:val="clear" w:color="auto" w:fill="auto"/>
            <w:noWrap/>
            <w:vAlign w:val="bottom"/>
            <w:hideMark/>
          </w:tcPr>
          <w:p w14:paraId="0FB3D7B0"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Annual Savings (GWh)</w:t>
            </w:r>
          </w:p>
        </w:tc>
        <w:tc>
          <w:tcPr>
            <w:tcW w:w="369" w:type="pct"/>
            <w:tcBorders>
              <w:top w:val="single" w:sz="4" w:space="0" w:color="auto"/>
              <w:left w:val="nil"/>
              <w:bottom w:val="single" w:sz="4" w:space="0" w:color="auto"/>
              <w:right w:val="single" w:sz="4" w:space="0" w:color="auto"/>
            </w:tcBorders>
            <w:shd w:val="clear" w:color="auto" w:fill="auto"/>
            <w:noWrap/>
            <w:vAlign w:val="bottom"/>
            <w:hideMark/>
          </w:tcPr>
          <w:p w14:paraId="01663084"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2010</w:t>
            </w: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485FE68F"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2015</w:t>
            </w: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221CD50B"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2016</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4725C4D0"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2020</w:t>
            </w: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0EFC33C9"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2025</w:t>
            </w: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7C5B5FC9"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2030</w:t>
            </w:r>
          </w:p>
        </w:tc>
        <w:tc>
          <w:tcPr>
            <w:tcW w:w="368" w:type="pct"/>
            <w:tcBorders>
              <w:top w:val="single" w:sz="4" w:space="0" w:color="auto"/>
              <w:left w:val="nil"/>
              <w:bottom w:val="single" w:sz="4" w:space="0" w:color="auto"/>
              <w:right w:val="single" w:sz="4" w:space="0" w:color="auto"/>
            </w:tcBorders>
            <w:shd w:val="clear" w:color="auto" w:fill="auto"/>
            <w:noWrap/>
            <w:vAlign w:val="bottom"/>
            <w:hideMark/>
          </w:tcPr>
          <w:p w14:paraId="5876A3F2"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2035</w:t>
            </w: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5A7C538E"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2040</w:t>
            </w:r>
          </w:p>
        </w:tc>
        <w:tc>
          <w:tcPr>
            <w:tcW w:w="377" w:type="pct"/>
            <w:tcBorders>
              <w:top w:val="single" w:sz="4" w:space="0" w:color="auto"/>
              <w:left w:val="nil"/>
              <w:bottom w:val="single" w:sz="4" w:space="0" w:color="auto"/>
              <w:right w:val="single" w:sz="4" w:space="0" w:color="auto"/>
            </w:tcBorders>
            <w:shd w:val="clear" w:color="auto" w:fill="auto"/>
            <w:noWrap/>
            <w:vAlign w:val="bottom"/>
            <w:hideMark/>
          </w:tcPr>
          <w:p w14:paraId="6E9E43DA"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2045</w:t>
            </w:r>
          </w:p>
        </w:tc>
        <w:tc>
          <w:tcPr>
            <w:tcW w:w="365" w:type="pct"/>
            <w:tcBorders>
              <w:top w:val="single" w:sz="4" w:space="0" w:color="auto"/>
              <w:left w:val="nil"/>
              <w:bottom w:val="single" w:sz="4" w:space="0" w:color="auto"/>
              <w:right w:val="single" w:sz="4" w:space="0" w:color="auto"/>
            </w:tcBorders>
            <w:shd w:val="clear" w:color="auto" w:fill="auto"/>
            <w:noWrap/>
            <w:vAlign w:val="bottom"/>
            <w:hideMark/>
          </w:tcPr>
          <w:p w14:paraId="489DF728"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2050</w:t>
            </w:r>
          </w:p>
        </w:tc>
      </w:tr>
      <w:tr w:rsidR="00245464" w:rsidRPr="00191ACB" w14:paraId="1CBF32BA" w14:textId="77777777" w:rsidTr="00A91A48">
        <w:trPr>
          <w:trHeight w:val="300"/>
        </w:trPr>
        <w:tc>
          <w:tcPr>
            <w:tcW w:w="876" w:type="pct"/>
            <w:tcBorders>
              <w:top w:val="nil"/>
              <w:left w:val="single" w:sz="4" w:space="0" w:color="auto"/>
              <w:bottom w:val="single" w:sz="4" w:space="0" w:color="auto"/>
              <w:right w:val="single" w:sz="4" w:space="0" w:color="auto"/>
            </w:tcBorders>
            <w:shd w:val="clear" w:color="auto" w:fill="auto"/>
            <w:noWrap/>
            <w:vAlign w:val="bottom"/>
            <w:hideMark/>
          </w:tcPr>
          <w:p w14:paraId="2C84913C"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Mopani Mine- Waste Heat Power Generation Annual Savings (41.8GWh)</w:t>
            </w:r>
          </w:p>
        </w:tc>
        <w:tc>
          <w:tcPr>
            <w:tcW w:w="443" w:type="pct"/>
            <w:tcBorders>
              <w:top w:val="nil"/>
              <w:left w:val="nil"/>
              <w:bottom w:val="single" w:sz="4" w:space="0" w:color="auto"/>
              <w:right w:val="single" w:sz="4" w:space="0" w:color="auto"/>
            </w:tcBorders>
            <w:shd w:val="clear" w:color="auto" w:fill="auto"/>
            <w:noWrap/>
            <w:vAlign w:val="bottom"/>
            <w:hideMark/>
          </w:tcPr>
          <w:p w14:paraId="74C46311"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41.8</w:t>
            </w:r>
          </w:p>
        </w:tc>
        <w:tc>
          <w:tcPr>
            <w:tcW w:w="369" w:type="pct"/>
            <w:tcBorders>
              <w:top w:val="nil"/>
              <w:left w:val="nil"/>
              <w:bottom w:val="single" w:sz="4" w:space="0" w:color="auto"/>
              <w:right w:val="single" w:sz="4" w:space="0" w:color="auto"/>
            </w:tcBorders>
            <w:shd w:val="clear" w:color="auto" w:fill="auto"/>
            <w:noWrap/>
            <w:vAlign w:val="bottom"/>
            <w:hideMark/>
          </w:tcPr>
          <w:p w14:paraId="2D196CD3"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4370B8FD"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56758FAF"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77161B3E"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41.6</w:t>
            </w:r>
          </w:p>
        </w:tc>
        <w:tc>
          <w:tcPr>
            <w:tcW w:w="367" w:type="pct"/>
            <w:tcBorders>
              <w:top w:val="nil"/>
              <w:left w:val="nil"/>
              <w:bottom w:val="single" w:sz="4" w:space="0" w:color="auto"/>
              <w:right w:val="single" w:sz="4" w:space="0" w:color="auto"/>
            </w:tcBorders>
            <w:shd w:val="clear" w:color="auto" w:fill="auto"/>
            <w:noWrap/>
            <w:vAlign w:val="bottom"/>
            <w:hideMark/>
          </w:tcPr>
          <w:p w14:paraId="261FFE3B"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41.6</w:t>
            </w:r>
          </w:p>
        </w:tc>
        <w:tc>
          <w:tcPr>
            <w:tcW w:w="367" w:type="pct"/>
            <w:tcBorders>
              <w:top w:val="nil"/>
              <w:left w:val="nil"/>
              <w:bottom w:val="single" w:sz="4" w:space="0" w:color="auto"/>
              <w:right w:val="single" w:sz="4" w:space="0" w:color="auto"/>
            </w:tcBorders>
            <w:shd w:val="clear" w:color="auto" w:fill="auto"/>
            <w:noWrap/>
            <w:vAlign w:val="bottom"/>
            <w:hideMark/>
          </w:tcPr>
          <w:p w14:paraId="3468D5B5"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41.6</w:t>
            </w:r>
          </w:p>
        </w:tc>
        <w:tc>
          <w:tcPr>
            <w:tcW w:w="368" w:type="pct"/>
            <w:tcBorders>
              <w:top w:val="nil"/>
              <w:left w:val="nil"/>
              <w:bottom w:val="single" w:sz="4" w:space="0" w:color="auto"/>
              <w:right w:val="single" w:sz="4" w:space="0" w:color="auto"/>
            </w:tcBorders>
            <w:shd w:val="clear" w:color="auto" w:fill="auto"/>
            <w:noWrap/>
            <w:vAlign w:val="bottom"/>
            <w:hideMark/>
          </w:tcPr>
          <w:p w14:paraId="34DB440A"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41.6</w:t>
            </w:r>
          </w:p>
        </w:tc>
        <w:tc>
          <w:tcPr>
            <w:tcW w:w="367" w:type="pct"/>
            <w:tcBorders>
              <w:top w:val="nil"/>
              <w:left w:val="nil"/>
              <w:bottom w:val="single" w:sz="4" w:space="0" w:color="auto"/>
              <w:right w:val="single" w:sz="4" w:space="0" w:color="auto"/>
            </w:tcBorders>
            <w:shd w:val="clear" w:color="auto" w:fill="auto"/>
            <w:noWrap/>
            <w:vAlign w:val="bottom"/>
            <w:hideMark/>
          </w:tcPr>
          <w:p w14:paraId="5ACE11D1"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41.6</w:t>
            </w:r>
          </w:p>
        </w:tc>
        <w:tc>
          <w:tcPr>
            <w:tcW w:w="377" w:type="pct"/>
            <w:tcBorders>
              <w:top w:val="nil"/>
              <w:left w:val="nil"/>
              <w:bottom w:val="single" w:sz="4" w:space="0" w:color="auto"/>
              <w:right w:val="single" w:sz="4" w:space="0" w:color="auto"/>
            </w:tcBorders>
            <w:shd w:val="clear" w:color="auto" w:fill="auto"/>
            <w:noWrap/>
            <w:vAlign w:val="bottom"/>
            <w:hideMark/>
          </w:tcPr>
          <w:p w14:paraId="2E8E6521"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41.6</w:t>
            </w:r>
          </w:p>
        </w:tc>
        <w:tc>
          <w:tcPr>
            <w:tcW w:w="365" w:type="pct"/>
            <w:tcBorders>
              <w:top w:val="nil"/>
              <w:left w:val="nil"/>
              <w:bottom w:val="single" w:sz="4" w:space="0" w:color="auto"/>
              <w:right w:val="single" w:sz="4" w:space="0" w:color="auto"/>
            </w:tcBorders>
            <w:shd w:val="clear" w:color="auto" w:fill="auto"/>
            <w:noWrap/>
            <w:vAlign w:val="bottom"/>
            <w:hideMark/>
          </w:tcPr>
          <w:p w14:paraId="27CA738A"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41.6</w:t>
            </w:r>
          </w:p>
        </w:tc>
      </w:tr>
      <w:tr w:rsidR="00245464" w:rsidRPr="00191ACB" w14:paraId="253B4B9A" w14:textId="77777777" w:rsidTr="00A91A48">
        <w:trPr>
          <w:trHeight w:val="300"/>
        </w:trPr>
        <w:tc>
          <w:tcPr>
            <w:tcW w:w="876" w:type="pct"/>
            <w:tcBorders>
              <w:top w:val="nil"/>
              <w:left w:val="single" w:sz="4" w:space="0" w:color="auto"/>
              <w:bottom w:val="single" w:sz="4" w:space="0" w:color="auto"/>
              <w:right w:val="single" w:sz="4" w:space="0" w:color="auto"/>
            </w:tcBorders>
            <w:shd w:val="clear" w:color="auto" w:fill="auto"/>
            <w:noWrap/>
            <w:vAlign w:val="bottom"/>
            <w:hideMark/>
          </w:tcPr>
          <w:p w14:paraId="6E09C8E2"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Solar street lighting retrofit. Annual Savings (14GWh)</w:t>
            </w:r>
          </w:p>
        </w:tc>
        <w:tc>
          <w:tcPr>
            <w:tcW w:w="443" w:type="pct"/>
            <w:tcBorders>
              <w:top w:val="nil"/>
              <w:left w:val="nil"/>
              <w:bottom w:val="single" w:sz="4" w:space="0" w:color="auto"/>
              <w:right w:val="single" w:sz="4" w:space="0" w:color="auto"/>
            </w:tcBorders>
            <w:shd w:val="clear" w:color="auto" w:fill="auto"/>
            <w:noWrap/>
            <w:vAlign w:val="bottom"/>
            <w:hideMark/>
          </w:tcPr>
          <w:p w14:paraId="086C729A"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14</w:t>
            </w:r>
          </w:p>
        </w:tc>
        <w:tc>
          <w:tcPr>
            <w:tcW w:w="369" w:type="pct"/>
            <w:tcBorders>
              <w:top w:val="nil"/>
              <w:left w:val="nil"/>
              <w:bottom w:val="single" w:sz="4" w:space="0" w:color="auto"/>
              <w:right w:val="single" w:sz="4" w:space="0" w:color="auto"/>
            </w:tcBorders>
            <w:shd w:val="clear" w:color="auto" w:fill="auto"/>
            <w:noWrap/>
            <w:vAlign w:val="bottom"/>
            <w:hideMark/>
          </w:tcPr>
          <w:p w14:paraId="43753205"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020CCCE0"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401C65CC"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1C7A1456"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13.9</w:t>
            </w:r>
          </w:p>
        </w:tc>
        <w:tc>
          <w:tcPr>
            <w:tcW w:w="367" w:type="pct"/>
            <w:tcBorders>
              <w:top w:val="nil"/>
              <w:left w:val="nil"/>
              <w:bottom w:val="single" w:sz="4" w:space="0" w:color="auto"/>
              <w:right w:val="single" w:sz="4" w:space="0" w:color="auto"/>
            </w:tcBorders>
            <w:shd w:val="clear" w:color="auto" w:fill="auto"/>
            <w:noWrap/>
            <w:vAlign w:val="bottom"/>
            <w:hideMark/>
          </w:tcPr>
          <w:p w14:paraId="126AEDD4"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13.9</w:t>
            </w:r>
          </w:p>
        </w:tc>
        <w:tc>
          <w:tcPr>
            <w:tcW w:w="367" w:type="pct"/>
            <w:tcBorders>
              <w:top w:val="nil"/>
              <w:left w:val="nil"/>
              <w:bottom w:val="single" w:sz="4" w:space="0" w:color="auto"/>
              <w:right w:val="single" w:sz="4" w:space="0" w:color="auto"/>
            </w:tcBorders>
            <w:shd w:val="clear" w:color="auto" w:fill="auto"/>
            <w:noWrap/>
            <w:vAlign w:val="bottom"/>
            <w:hideMark/>
          </w:tcPr>
          <w:p w14:paraId="2B32958A"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13.9</w:t>
            </w:r>
          </w:p>
        </w:tc>
        <w:tc>
          <w:tcPr>
            <w:tcW w:w="368" w:type="pct"/>
            <w:tcBorders>
              <w:top w:val="nil"/>
              <w:left w:val="nil"/>
              <w:bottom w:val="single" w:sz="4" w:space="0" w:color="auto"/>
              <w:right w:val="single" w:sz="4" w:space="0" w:color="auto"/>
            </w:tcBorders>
            <w:shd w:val="clear" w:color="auto" w:fill="auto"/>
            <w:noWrap/>
            <w:vAlign w:val="bottom"/>
            <w:hideMark/>
          </w:tcPr>
          <w:p w14:paraId="4E9F9976"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13.9</w:t>
            </w:r>
          </w:p>
        </w:tc>
        <w:tc>
          <w:tcPr>
            <w:tcW w:w="367" w:type="pct"/>
            <w:tcBorders>
              <w:top w:val="nil"/>
              <w:left w:val="nil"/>
              <w:bottom w:val="single" w:sz="4" w:space="0" w:color="auto"/>
              <w:right w:val="single" w:sz="4" w:space="0" w:color="auto"/>
            </w:tcBorders>
            <w:shd w:val="clear" w:color="auto" w:fill="auto"/>
            <w:noWrap/>
            <w:vAlign w:val="bottom"/>
            <w:hideMark/>
          </w:tcPr>
          <w:p w14:paraId="5BCF24E6"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13.9</w:t>
            </w:r>
          </w:p>
        </w:tc>
        <w:tc>
          <w:tcPr>
            <w:tcW w:w="377" w:type="pct"/>
            <w:tcBorders>
              <w:top w:val="nil"/>
              <w:left w:val="nil"/>
              <w:bottom w:val="single" w:sz="4" w:space="0" w:color="auto"/>
              <w:right w:val="single" w:sz="4" w:space="0" w:color="auto"/>
            </w:tcBorders>
            <w:shd w:val="clear" w:color="auto" w:fill="auto"/>
            <w:noWrap/>
            <w:vAlign w:val="bottom"/>
            <w:hideMark/>
          </w:tcPr>
          <w:p w14:paraId="34C76E03"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13.9</w:t>
            </w:r>
          </w:p>
        </w:tc>
        <w:tc>
          <w:tcPr>
            <w:tcW w:w="365" w:type="pct"/>
            <w:tcBorders>
              <w:top w:val="nil"/>
              <w:left w:val="nil"/>
              <w:bottom w:val="single" w:sz="4" w:space="0" w:color="auto"/>
              <w:right w:val="single" w:sz="4" w:space="0" w:color="auto"/>
            </w:tcBorders>
            <w:shd w:val="clear" w:color="auto" w:fill="auto"/>
            <w:noWrap/>
            <w:vAlign w:val="bottom"/>
            <w:hideMark/>
          </w:tcPr>
          <w:p w14:paraId="61D4367D"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13.9</w:t>
            </w:r>
          </w:p>
        </w:tc>
      </w:tr>
      <w:tr w:rsidR="00245464" w:rsidRPr="00191ACB" w14:paraId="5AACAB73" w14:textId="77777777" w:rsidTr="00A91A48">
        <w:trPr>
          <w:trHeight w:val="300"/>
        </w:trPr>
        <w:tc>
          <w:tcPr>
            <w:tcW w:w="876" w:type="pct"/>
            <w:tcBorders>
              <w:top w:val="nil"/>
              <w:left w:val="single" w:sz="4" w:space="0" w:color="auto"/>
              <w:bottom w:val="single" w:sz="4" w:space="0" w:color="auto"/>
              <w:right w:val="single" w:sz="4" w:space="0" w:color="auto"/>
            </w:tcBorders>
            <w:shd w:val="clear" w:color="auto" w:fill="auto"/>
            <w:noWrap/>
            <w:vAlign w:val="bottom"/>
            <w:hideMark/>
          </w:tcPr>
          <w:p w14:paraId="6ED025E3"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Solar geysers. Annual Savings (29.3GWh)</w:t>
            </w:r>
          </w:p>
        </w:tc>
        <w:tc>
          <w:tcPr>
            <w:tcW w:w="443" w:type="pct"/>
            <w:tcBorders>
              <w:top w:val="nil"/>
              <w:left w:val="nil"/>
              <w:bottom w:val="single" w:sz="4" w:space="0" w:color="auto"/>
              <w:right w:val="single" w:sz="4" w:space="0" w:color="auto"/>
            </w:tcBorders>
            <w:shd w:val="clear" w:color="auto" w:fill="auto"/>
            <w:noWrap/>
            <w:vAlign w:val="bottom"/>
            <w:hideMark/>
          </w:tcPr>
          <w:p w14:paraId="424A7897"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29.3</w:t>
            </w:r>
          </w:p>
        </w:tc>
        <w:tc>
          <w:tcPr>
            <w:tcW w:w="369" w:type="pct"/>
            <w:tcBorders>
              <w:top w:val="nil"/>
              <w:left w:val="nil"/>
              <w:bottom w:val="single" w:sz="4" w:space="0" w:color="auto"/>
              <w:right w:val="single" w:sz="4" w:space="0" w:color="auto"/>
            </w:tcBorders>
            <w:shd w:val="clear" w:color="auto" w:fill="auto"/>
            <w:noWrap/>
            <w:vAlign w:val="bottom"/>
            <w:hideMark/>
          </w:tcPr>
          <w:p w14:paraId="3E010DE6"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497F109D"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2AAD2BA1"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506F9C19"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29.2</w:t>
            </w:r>
          </w:p>
        </w:tc>
        <w:tc>
          <w:tcPr>
            <w:tcW w:w="367" w:type="pct"/>
            <w:tcBorders>
              <w:top w:val="nil"/>
              <w:left w:val="nil"/>
              <w:bottom w:val="single" w:sz="4" w:space="0" w:color="auto"/>
              <w:right w:val="single" w:sz="4" w:space="0" w:color="auto"/>
            </w:tcBorders>
            <w:shd w:val="clear" w:color="auto" w:fill="auto"/>
            <w:noWrap/>
            <w:vAlign w:val="bottom"/>
            <w:hideMark/>
          </w:tcPr>
          <w:p w14:paraId="64C45867"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29.2</w:t>
            </w:r>
          </w:p>
        </w:tc>
        <w:tc>
          <w:tcPr>
            <w:tcW w:w="367" w:type="pct"/>
            <w:tcBorders>
              <w:top w:val="nil"/>
              <w:left w:val="nil"/>
              <w:bottom w:val="single" w:sz="4" w:space="0" w:color="auto"/>
              <w:right w:val="single" w:sz="4" w:space="0" w:color="auto"/>
            </w:tcBorders>
            <w:shd w:val="clear" w:color="auto" w:fill="auto"/>
            <w:noWrap/>
            <w:vAlign w:val="bottom"/>
            <w:hideMark/>
          </w:tcPr>
          <w:p w14:paraId="5B8041C8"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29.2</w:t>
            </w:r>
          </w:p>
        </w:tc>
        <w:tc>
          <w:tcPr>
            <w:tcW w:w="368" w:type="pct"/>
            <w:tcBorders>
              <w:top w:val="nil"/>
              <w:left w:val="nil"/>
              <w:bottom w:val="single" w:sz="4" w:space="0" w:color="auto"/>
              <w:right w:val="single" w:sz="4" w:space="0" w:color="auto"/>
            </w:tcBorders>
            <w:shd w:val="clear" w:color="auto" w:fill="auto"/>
            <w:noWrap/>
            <w:vAlign w:val="bottom"/>
            <w:hideMark/>
          </w:tcPr>
          <w:p w14:paraId="626871BE"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29.2</w:t>
            </w:r>
          </w:p>
        </w:tc>
        <w:tc>
          <w:tcPr>
            <w:tcW w:w="367" w:type="pct"/>
            <w:tcBorders>
              <w:top w:val="nil"/>
              <w:left w:val="nil"/>
              <w:bottom w:val="single" w:sz="4" w:space="0" w:color="auto"/>
              <w:right w:val="single" w:sz="4" w:space="0" w:color="auto"/>
            </w:tcBorders>
            <w:shd w:val="clear" w:color="auto" w:fill="auto"/>
            <w:noWrap/>
            <w:vAlign w:val="bottom"/>
            <w:hideMark/>
          </w:tcPr>
          <w:p w14:paraId="5BE068ED"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29.2</w:t>
            </w:r>
          </w:p>
        </w:tc>
        <w:tc>
          <w:tcPr>
            <w:tcW w:w="377" w:type="pct"/>
            <w:tcBorders>
              <w:top w:val="nil"/>
              <w:left w:val="nil"/>
              <w:bottom w:val="single" w:sz="4" w:space="0" w:color="auto"/>
              <w:right w:val="single" w:sz="4" w:space="0" w:color="auto"/>
            </w:tcBorders>
            <w:shd w:val="clear" w:color="auto" w:fill="auto"/>
            <w:noWrap/>
            <w:vAlign w:val="bottom"/>
            <w:hideMark/>
          </w:tcPr>
          <w:p w14:paraId="4B26434F"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29.2</w:t>
            </w:r>
          </w:p>
        </w:tc>
        <w:tc>
          <w:tcPr>
            <w:tcW w:w="365" w:type="pct"/>
            <w:tcBorders>
              <w:top w:val="nil"/>
              <w:left w:val="nil"/>
              <w:bottom w:val="single" w:sz="4" w:space="0" w:color="auto"/>
              <w:right w:val="single" w:sz="4" w:space="0" w:color="auto"/>
            </w:tcBorders>
            <w:shd w:val="clear" w:color="auto" w:fill="auto"/>
            <w:noWrap/>
            <w:vAlign w:val="bottom"/>
            <w:hideMark/>
          </w:tcPr>
          <w:p w14:paraId="15F1072B"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29.2</w:t>
            </w:r>
          </w:p>
        </w:tc>
      </w:tr>
      <w:tr w:rsidR="00245464" w:rsidRPr="00191ACB" w14:paraId="58A47BCF" w14:textId="77777777" w:rsidTr="00A91A48">
        <w:trPr>
          <w:trHeight w:val="300"/>
        </w:trPr>
        <w:tc>
          <w:tcPr>
            <w:tcW w:w="876" w:type="pct"/>
            <w:tcBorders>
              <w:top w:val="nil"/>
              <w:left w:val="single" w:sz="4" w:space="0" w:color="auto"/>
              <w:bottom w:val="single" w:sz="4" w:space="0" w:color="auto"/>
              <w:right w:val="single" w:sz="4" w:space="0" w:color="auto"/>
            </w:tcBorders>
            <w:shd w:val="clear" w:color="auto" w:fill="auto"/>
            <w:noWrap/>
            <w:vAlign w:val="bottom"/>
            <w:hideMark/>
          </w:tcPr>
          <w:p w14:paraId="2D3A48C6"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LED/CFL Lighting in households. Annual Savings (31.5 GWh)</w:t>
            </w:r>
          </w:p>
        </w:tc>
        <w:tc>
          <w:tcPr>
            <w:tcW w:w="443" w:type="pct"/>
            <w:tcBorders>
              <w:top w:val="nil"/>
              <w:left w:val="nil"/>
              <w:bottom w:val="single" w:sz="4" w:space="0" w:color="auto"/>
              <w:right w:val="single" w:sz="4" w:space="0" w:color="auto"/>
            </w:tcBorders>
            <w:shd w:val="clear" w:color="auto" w:fill="auto"/>
            <w:noWrap/>
            <w:vAlign w:val="bottom"/>
            <w:hideMark/>
          </w:tcPr>
          <w:p w14:paraId="3006A048"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31.5</w:t>
            </w:r>
          </w:p>
        </w:tc>
        <w:tc>
          <w:tcPr>
            <w:tcW w:w="369" w:type="pct"/>
            <w:tcBorders>
              <w:top w:val="nil"/>
              <w:left w:val="nil"/>
              <w:bottom w:val="single" w:sz="4" w:space="0" w:color="auto"/>
              <w:right w:val="single" w:sz="4" w:space="0" w:color="auto"/>
            </w:tcBorders>
            <w:shd w:val="clear" w:color="auto" w:fill="auto"/>
            <w:noWrap/>
            <w:vAlign w:val="bottom"/>
            <w:hideMark/>
          </w:tcPr>
          <w:p w14:paraId="093FC785"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6ED5F93A"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21C723F4"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31.4</w:t>
            </w:r>
          </w:p>
        </w:tc>
        <w:tc>
          <w:tcPr>
            <w:tcW w:w="366" w:type="pct"/>
            <w:tcBorders>
              <w:top w:val="nil"/>
              <w:left w:val="nil"/>
              <w:bottom w:val="single" w:sz="4" w:space="0" w:color="auto"/>
              <w:right w:val="single" w:sz="4" w:space="0" w:color="auto"/>
            </w:tcBorders>
            <w:shd w:val="clear" w:color="auto" w:fill="auto"/>
            <w:noWrap/>
            <w:vAlign w:val="bottom"/>
            <w:hideMark/>
          </w:tcPr>
          <w:p w14:paraId="6FBB011C"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74267539"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026BF4D6"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8" w:type="pct"/>
            <w:tcBorders>
              <w:top w:val="nil"/>
              <w:left w:val="nil"/>
              <w:bottom w:val="single" w:sz="4" w:space="0" w:color="auto"/>
              <w:right w:val="single" w:sz="4" w:space="0" w:color="auto"/>
            </w:tcBorders>
            <w:shd w:val="clear" w:color="auto" w:fill="auto"/>
            <w:noWrap/>
            <w:vAlign w:val="bottom"/>
            <w:hideMark/>
          </w:tcPr>
          <w:p w14:paraId="029C633A"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4497655D"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77" w:type="pct"/>
            <w:tcBorders>
              <w:top w:val="nil"/>
              <w:left w:val="nil"/>
              <w:bottom w:val="single" w:sz="4" w:space="0" w:color="auto"/>
              <w:right w:val="single" w:sz="4" w:space="0" w:color="auto"/>
            </w:tcBorders>
            <w:shd w:val="clear" w:color="auto" w:fill="auto"/>
            <w:noWrap/>
            <w:vAlign w:val="bottom"/>
            <w:hideMark/>
          </w:tcPr>
          <w:p w14:paraId="7F188196"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5" w:type="pct"/>
            <w:tcBorders>
              <w:top w:val="nil"/>
              <w:left w:val="nil"/>
              <w:bottom w:val="single" w:sz="4" w:space="0" w:color="auto"/>
              <w:right w:val="single" w:sz="4" w:space="0" w:color="auto"/>
            </w:tcBorders>
            <w:shd w:val="clear" w:color="auto" w:fill="auto"/>
            <w:noWrap/>
            <w:vAlign w:val="bottom"/>
            <w:hideMark/>
          </w:tcPr>
          <w:p w14:paraId="6A3043C3"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r>
      <w:tr w:rsidR="00245464" w:rsidRPr="00191ACB" w14:paraId="3C69871C" w14:textId="77777777" w:rsidTr="00A91A48">
        <w:trPr>
          <w:trHeight w:val="300"/>
        </w:trPr>
        <w:tc>
          <w:tcPr>
            <w:tcW w:w="876" w:type="pct"/>
            <w:tcBorders>
              <w:top w:val="nil"/>
              <w:left w:val="single" w:sz="4" w:space="0" w:color="auto"/>
              <w:bottom w:val="single" w:sz="4" w:space="0" w:color="auto"/>
              <w:right w:val="single" w:sz="4" w:space="0" w:color="auto"/>
            </w:tcBorders>
            <w:shd w:val="clear" w:color="auto" w:fill="auto"/>
            <w:noWrap/>
            <w:vAlign w:val="bottom"/>
            <w:hideMark/>
          </w:tcPr>
          <w:p w14:paraId="392EAA96"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Reactive Power Compensation. Annual Savings (43GWh)</w:t>
            </w:r>
          </w:p>
        </w:tc>
        <w:tc>
          <w:tcPr>
            <w:tcW w:w="443" w:type="pct"/>
            <w:tcBorders>
              <w:top w:val="nil"/>
              <w:left w:val="nil"/>
              <w:bottom w:val="single" w:sz="4" w:space="0" w:color="auto"/>
              <w:right w:val="single" w:sz="4" w:space="0" w:color="auto"/>
            </w:tcBorders>
            <w:shd w:val="clear" w:color="auto" w:fill="auto"/>
            <w:noWrap/>
            <w:vAlign w:val="bottom"/>
            <w:hideMark/>
          </w:tcPr>
          <w:p w14:paraId="4E531608"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43</w:t>
            </w:r>
          </w:p>
        </w:tc>
        <w:tc>
          <w:tcPr>
            <w:tcW w:w="369" w:type="pct"/>
            <w:tcBorders>
              <w:top w:val="nil"/>
              <w:left w:val="nil"/>
              <w:bottom w:val="single" w:sz="4" w:space="0" w:color="auto"/>
              <w:right w:val="single" w:sz="4" w:space="0" w:color="auto"/>
            </w:tcBorders>
            <w:shd w:val="clear" w:color="auto" w:fill="auto"/>
            <w:noWrap/>
            <w:vAlign w:val="bottom"/>
            <w:hideMark/>
          </w:tcPr>
          <w:p w14:paraId="64810D11"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45DF2F0D"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1E1CD274"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52C25F9E"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42.8</w:t>
            </w:r>
          </w:p>
        </w:tc>
        <w:tc>
          <w:tcPr>
            <w:tcW w:w="367" w:type="pct"/>
            <w:tcBorders>
              <w:top w:val="nil"/>
              <w:left w:val="nil"/>
              <w:bottom w:val="single" w:sz="4" w:space="0" w:color="auto"/>
              <w:right w:val="single" w:sz="4" w:space="0" w:color="auto"/>
            </w:tcBorders>
            <w:shd w:val="clear" w:color="auto" w:fill="auto"/>
            <w:noWrap/>
            <w:vAlign w:val="bottom"/>
            <w:hideMark/>
          </w:tcPr>
          <w:p w14:paraId="05DB0213"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42.8</w:t>
            </w:r>
          </w:p>
        </w:tc>
        <w:tc>
          <w:tcPr>
            <w:tcW w:w="367" w:type="pct"/>
            <w:tcBorders>
              <w:top w:val="nil"/>
              <w:left w:val="nil"/>
              <w:bottom w:val="single" w:sz="4" w:space="0" w:color="auto"/>
              <w:right w:val="single" w:sz="4" w:space="0" w:color="auto"/>
            </w:tcBorders>
            <w:shd w:val="clear" w:color="auto" w:fill="auto"/>
            <w:noWrap/>
            <w:vAlign w:val="bottom"/>
            <w:hideMark/>
          </w:tcPr>
          <w:p w14:paraId="3DEB45EE"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42.8</w:t>
            </w:r>
          </w:p>
        </w:tc>
        <w:tc>
          <w:tcPr>
            <w:tcW w:w="368" w:type="pct"/>
            <w:tcBorders>
              <w:top w:val="nil"/>
              <w:left w:val="nil"/>
              <w:bottom w:val="single" w:sz="4" w:space="0" w:color="auto"/>
              <w:right w:val="single" w:sz="4" w:space="0" w:color="auto"/>
            </w:tcBorders>
            <w:shd w:val="clear" w:color="auto" w:fill="auto"/>
            <w:noWrap/>
            <w:vAlign w:val="bottom"/>
            <w:hideMark/>
          </w:tcPr>
          <w:p w14:paraId="05E689B1"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42.8</w:t>
            </w:r>
          </w:p>
        </w:tc>
        <w:tc>
          <w:tcPr>
            <w:tcW w:w="367" w:type="pct"/>
            <w:tcBorders>
              <w:top w:val="nil"/>
              <w:left w:val="nil"/>
              <w:bottom w:val="single" w:sz="4" w:space="0" w:color="auto"/>
              <w:right w:val="single" w:sz="4" w:space="0" w:color="auto"/>
            </w:tcBorders>
            <w:shd w:val="clear" w:color="auto" w:fill="auto"/>
            <w:noWrap/>
            <w:vAlign w:val="bottom"/>
            <w:hideMark/>
          </w:tcPr>
          <w:p w14:paraId="783CF0B0"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42.8</w:t>
            </w:r>
          </w:p>
        </w:tc>
        <w:tc>
          <w:tcPr>
            <w:tcW w:w="377" w:type="pct"/>
            <w:tcBorders>
              <w:top w:val="nil"/>
              <w:left w:val="nil"/>
              <w:bottom w:val="single" w:sz="4" w:space="0" w:color="auto"/>
              <w:right w:val="single" w:sz="4" w:space="0" w:color="auto"/>
            </w:tcBorders>
            <w:shd w:val="clear" w:color="auto" w:fill="auto"/>
            <w:noWrap/>
            <w:vAlign w:val="bottom"/>
            <w:hideMark/>
          </w:tcPr>
          <w:p w14:paraId="54EA8247"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42.8</w:t>
            </w:r>
          </w:p>
        </w:tc>
        <w:tc>
          <w:tcPr>
            <w:tcW w:w="365" w:type="pct"/>
            <w:tcBorders>
              <w:top w:val="nil"/>
              <w:left w:val="nil"/>
              <w:bottom w:val="single" w:sz="4" w:space="0" w:color="auto"/>
              <w:right w:val="single" w:sz="4" w:space="0" w:color="auto"/>
            </w:tcBorders>
            <w:shd w:val="clear" w:color="auto" w:fill="auto"/>
            <w:noWrap/>
            <w:vAlign w:val="bottom"/>
            <w:hideMark/>
          </w:tcPr>
          <w:p w14:paraId="4394BED3"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42.8</w:t>
            </w:r>
          </w:p>
        </w:tc>
      </w:tr>
      <w:tr w:rsidR="00245464" w:rsidRPr="00191ACB" w14:paraId="19298D3C" w14:textId="77777777" w:rsidTr="00A91A48">
        <w:trPr>
          <w:trHeight w:val="300"/>
        </w:trPr>
        <w:tc>
          <w:tcPr>
            <w:tcW w:w="876" w:type="pct"/>
            <w:tcBorders>
              <w:top w:val="nil"/>
              <w:left w:val="single" w:sz="4" w:space="0" w:color="auto"/>
              <w:bottom w:val="single" w:sz="4" w:space="0" w:color="auto"/>
              <w:right w:val="single" w:sz="4" w:space="0" w:color="auto"/>
            </w:tcBorders>
            <w:shd w:val="clear" w:color="auto" w:fill="auto"/>
            <w:noWrap/>
            <w:vAlign w:val="bottom"/>
            <w:hideMark/>
          </w:tcPr>
          <w:p w14:paraId="37710A93"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Total</w:t>
            </w:r>
          </w:p>
        </w:tc>
        <w:tc>
          <w:tcPr>
            <w:tcW w:w="443" w:type="pct"/>
            <w:tcBorders>
              <w:top w:val="nil"/>
              <w:left w:val="nil"/>
              <w:bottom w:val="single" w:sz="4" w:space="0" w:color="auto"/>
              <w:right w:val="single" w:sz="4" w:space="0" w:color="auto"/>
            </w:tcBorders>
            <w:shd w:val="clear" w:color="auto" w:fill="auto"/>
            <w:noWrap/>
            <w:vAlign w:val="bottom"/>
            <w:hideMark/>
          </w:tcPr>
          <w:p w14:paraId="06AF753C"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159.6</w:t>
            </w:r>
          </w:p>
        </w:tc>
        <w:tc>
          <w:tcPr>
            <w:tcW w:w="369" w:type="pct"/>
            <w:tcBorders>
              <w:top w:val="nil"/>
              <w:left w:val="nil"/>
              <w:bottom w:val="single" w:sz="4" w:space="0" w:color="auto"/>
              <w:right w:val="single" w:sz="4" w:space="0" w:color="auto"/>
            </w:tcBorders>
            <w:shd w:val="clear" w:color="auto" w:fill="auto"/>
            <w:noWrap/>
            <w:vAlign w:val="bottom"/>
            <w:hideMark/>
          </w:tcPr>
          <w:p w14:paraId="14312B62"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3D5A0500"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7" w:type="pct"/>
            <w:tcBorders>
              <w:top w:val="nil"/>
              <w:left w:val="nil"/>
              <w:bottom w:val="single" w:sz="4" w:space="0" w:color="auto"/>
              <w:right w:val="single" w:sz="4" w:space="0" w:color="auto"/>
            </w:tcBorders>
            <w:shd w:val="clear" w:color="auto" w:fill="auto"/>
            <w:noWrap/>
            <w:vAlign w:val="bottom"/>
            <w:hideMark/>
          </w:tcPr>
          <w:p w14:paraId="417EA5E5"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31.4</w:t>
            </w:r>
          </w:p>
        </w:tc>
        <w:tc>
          <w:tcPr>
            <w:tcW w:w="366" w:type="pct"/>
            <w:tcBorders>
              <w:top w:val="nil"/>
              <w:left w:val="nil"/>
              <w:bottom w:val="single" w:sz="4" w:space="0" w:color="auto"/>
              <w:right w:val="single" w:sz="4" w:space="0" w:color="auto"/>
            </w:tcBorders>
            <w:shd w:val="clear" w:color="auto" w:fill="auto"/>
            <w:noWrap/>
            <w:vAlign w:val="bottom"/>
            <w:hideMark/>
          </w:tcPr>
          <w:p w14:paraId="32AF1450"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127.6</w:t>
            </w:r>
          </w:p>
        </w:tc>
        <w:tc>
          <w:tcPr>
            <w:tcW w:w="367" w:type="pct"/>
            <w:tcBorders>
              <w:top w:val="nil"/>
              <w:left w:val="nil"/>
              <w:bottom w:val="single" w:sz="4" w:space="0" w:color="auto"/>
              <w:right w:val="single" w:sz="4" w:space="0" w:color="auto"/>
            </w:tcBorders>
            <w:shd w:val="clear" w:color="auto" w:fill="auto"/>
            <w:noWrap/>
            <w:vAlign w:val="bottom"/>
            <w:hideMark/>
          </w:tcPr>
          <w:p w14:paraId="01AB1DE7"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127.6</w:t>
            </w:r>
          </w:p>
        </w:tc>
        <w:tc>
          <w:tcPr>
            <w:tcW w:w="367" w:type="pct"/>
            <w:tcBorders>
              <w:top w:val="nil"/>
              <w:left w:val="nil"/>
              <w:bottom w:val="single" w:sz="4" w:space="0" w:color="auto"/>
              <w:right w:val="single" w:sz="4" w:space="0" w:color="auto"/>
            </w:tcBorders>
            <w:shd w:val="clear" w:color="auto" w:fill="auto"/>
            <w:noWrap/>
            <w:vAlign w:val="bottom"/>
            <w:hideMark/>
          </w:tcPr>
          <w:p w14:paraId="1CA6DC6B"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127.6</w:t>
            </w:r>
          </w:p>
        </w:tc>
        <w:tc>
          <w:tcPr>
            <w:tcW w:w="368" w:type="pct"/>
            <w:tcBorders>
              <w:top w:val="nil"/>
              <w:left w:val="nil"/>
              <w:bottom w:val="single" w:sz="4" w:space="0" w:color="auto"/>
              <w:right w:val="single" w:sz="4" w:space="0" w:color="auto"/>
            </w:tcBorders>
            <w:shd w:val="clear" w:color="auto" w:fill="auto"/>
            <w:noWrap/>
            <w:vAlign w:val="bottom"/>
            <w:hideMark/>
          </w:tcPr>
          <w:p w14:paraId="4862C2E0"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127.6</w:t>
            </w:r>
          </w:p>
        </w:tc>
        <w:tc>
          <w:tcPr>
            <w:tcW w:w="367" w:type="pct"/>
            <w:tcBorders>
              <w:top w:val="nil"/>
              <w:left w:val="nil"/>
              <w:bottom w:val="single" w:sz="4" w:space="0" w:color="auto"/>
              <w:right w:val="single" w:sz="4" w:space="0" w:color="auto"/>
            </w:tcBorders>
            <w:shd w:val="clear" w:color="auto" w:fill="auto"/>
            <w:noWrap/>
            <w:vAlign w:val="bottom"/>
            <w:hideMark/>
          </w:tcPr>
          <w:p w14:paraId="0FDAD93B"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127.6</w:t>
            </w:r>
          </w:p>
        </w:tc>
        <w:tc>
          <w:tcPr>
            <w:tcW w:w="377" w:type="pct"/>
            <w:tcBorders>
              <w:top w:val="nil"/>
              <w:left w:val="nil"/>
              <w:bottom w:val="single" w:sz="4" w:space="0" w:color="auto"/>
              <w:right w:val="single" w:sz="4" w:space="0" w:color="auto"/>
            </w:tcBorders>
            <w:shd w:val="clear" w:color="auto" w:fill="auto"/>
            <w:noWrap/>
            <w:vAlign w:val="bottom"/>
            <w:hideMark/>
          </w:tcPr>
          <w:p w14:paraId="59CC5558"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127.6</w:t>
            </w:r>
          </w:p>
        </w:tc>
        <w:tc>
          <w:tcPr>
            <w:tcW w:w="365" w:type="pct"/>
            <w:tcBorders>
              <w:top w:val="nil"/>
              <w:left w:val="nil"/>
              <w:bottom w:val="single" w:sz="4" w:space="0" w:color="auto"/>
              <w:right w:val="single" w:sz="4" w:space="0" w:color="auto"/>
            </w:tcBorders>
            <w:shd w:val="clear" w:color="auto" w:fill="auto"/>
            <w:noWrap/>
            <w:vAlign w:val="bottom"/>
            <w:hideMark/>
          </w:tcPr>
          <w:p w14:paraId="0EF2F18E"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127.6</w:t>
            </w:r>
          </w:p>
        </w:tc>
      </w:tr>
    </w:tbl>
    <w:p w14:paraId="6A1BF68F" w14:textId="77777777" w:rsidR="00BC40A9" w:rsidRPr="00191ACB" w:rsidRDefault="00245464" w:rsidP="00245464">
      <w:pPr>
        <w:jc w:val="both"/>
        <w:rPr>
          <w:rFonts w:ascii="Times New Roman" w:eastAsia="Calibri" w:hAnsi="Times New Roman" w:cs="Times New Roman"/>
          <w:i/>
          <w:color w:val="000000" w:themeColor="text1"/>
          <w:sz w:val="24"/>
          <w:szCs w:val="24"/>
        </w:rPr>
      </w:pPr>
      <w:r w:rsidRPr="00191ACB">
        <w:rPr>
          <w:rFonts w:ascii="Times New Roman" w:eastAsia="Calibri" w:hAnsi="Times New Roman" w:cs="Times New Roman"/>
          <w:i/>
          <w:color w:val="000000" w:themeColor="text1"/>
          <w:sz w:val="24"/>
          <w:szCs w:val="24"/>
        </w:rPr>
        <w:t>Source: Energy Efficiency Investment Opportunities in Africa; Country Note – Zambia, 2018: World Bank Group-Energy and Extractives and own analysis</w:t>
      </w:r>
    </w:p>
    <w:p w14:paraId="0F0B01E8" w14:textId="6C43B4B5" w:rsidR="00BC40A9" w:rsidRPr="00191ACB" w:rsidRDefault="00BC40A9"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Details on mitigation actions on energy efficiency are provided in table </w:t>
      </w:r>
      <w:r w:rsidR="00501324" w:rsidRPr="00191ACB">
        <w:rPr>
          <w:rFonts w:ascii="Times New Roman" w:hAnsi="Times New Roman" w:cs="Times New Roman"/>
          <w:color w:val="000000" w:themeColor="text1"/>
          <w:sz w:val="24"/>
          <w:szCs w:val="24"/>
        </w:rPr>
        <w:t>4.25</w:t>
      </w:r>
      <w:r w:rsidRPr="00191ACB">
        <w:rPr>
          <w:rFonts w:ascii="Times New Roman" w:hAnsi="Times New Roman" w:cs="Times New Roman"/>
          <w:color w:val="000000" w:themeColor="text1"/>
          <w:sz w:val="24"/>
          <w:szCs w:val="24"/>
        </w:rPr>
        <w:t>.</w:t>
      </w:r>
    </w:p>
    <w:p w14:paraId="3454E039" w14:textId="77777777" w:rsidR="00BC40A9" w:rsidRPr="00191ACB" w:rsidRDefault="00BC40A9" w:rsidP="00245464">
      <w:pPr>
        <w:jc w:val="both"/>
        <w:rPr>
          <w:rFonts w:ascii="Times New Roman" w:eastAsia="Calibri" w:hAnsi="Times New Roman" w:cs="Times New Roman"/>
          <w:i/>
          <w:color w:val="000000" w:themeColor="text1"/>
          <w:sz w:val="24"/>
          <w:szCs w:val="24"/>
        </w:rPr>
        <w:sectPr w:rsidR="00BC40A9" w:rsidRPr="00191ACB" w:rsidSect="00BC40A9">
          <w:pgSz w:w="11909" w:h="16834" w:code="9"/>
          <w:pgMar w:top="862" w:right="720" w:bottom="862" w:left="1440" w:header="720" w:footer="720" w:gutter="0"/>
          <w:cols w:space="720"/>
          <w:docGrid w:linePitch="360"/>
        </w:sectPr>
      </w:pPr>
    </w:p>
    <w:p w14:paraId="372AB45D" w14:textId="083A7B3B" w:rsidR="00245464" w:rsidRPr="00191ACB" w:rsidRDefault="00C319A4" w:rsidP="00C319A4">
      <w:pPr>
        <w:pStyle w:val="Caption"/>
        <w:rPr>
          <w:rFonts w:eastAsia="Calibri"/>
          <w:color w:val="000000" w:themeColor="text1"/>
          <w:sz w:val="24"/>
          <w:szCs w:val="24"/>
        </w:rPr>
      </w:pPr>
      <w:bookmarkStart w:id="401" w:name="_Toc56583801"/>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25</w:t>
      </w:r>
      <w:r w:rsidR="00875942">
        <w:rPr>
          <w:sz w:val="24"/>
          <w:szCs w:val="24"/>
        </w:rPr>
        <w:fldChar w:fldCharType="end"/>
      </w:r>
      <w:r w:rsidRPr="00191ACB">
        <w:rPr>
          <w:sz w:val="24"/>
          <w:szCs w:val="24"/>
        </w:rPr>
        <w:t>:Mitigation actions under energy efficiency</w:t>
      </w:r>
      <w:bookmarkEnd w:id="401"/>
    </w:p>
    <w:tbl>
      <w:tblPr>
        <w:tblStyle w:val="GridTable4-Accent11"/>
        <w:tblW w:w="5000" w:type="pct"/>
        <w:tblLayout w:type="fixed"/>
        <w:tblLook w:val="04A0" w:firstRow="1" w:lastRow="0" w:firstColumn="1" w:lastColumn="0" w:noHBand="0" w:noVBand="1"/>
      </w:tblPr>
      <w:tblGrid>
        <w:gridCol w:w="2150"/>
        <w:gridCol w:w="1773"/>
        <w:gridCol w:w="3159"/>
        <w:gridCol w:w="1419"/>
        <w:gridCol w:w="1700"/>
        <w:gridCol w:w="1658"/>
        <w:gridCol w:w="1353"/>
        <w:gridCol w:w="1888"/>
      </w:tblGrid>
      <w:tr w:rsidR="00BC40A9" w:rsidRPr="00191ACB" w14:paraId="4357A680" w14:textId="77777777" w:rsidTr="00BC40A9">
        <w:trPr>
          <w:cnfStyle w:val="100000000000" w:firstRow="1" w:lastRow="0" w:firstColumn="0" w:lastColumn="0" w:oddVBand="0" w:evenVBand="0" w:oddHBand="0"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712" w:type="pct"/>
          </w:tcPr>
          <w:p w14:paraId="7C561C76"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587" w:type="pct"/>
          </w:tcPr>
          <w:p w14:paraId="0E8EE26A"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1046" w:type="pct"/>
          </w:tcPr>
          <w:p w14:paraId="1A90C69D"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470" w:type="pct"/>
          </w:tcPr>
          <w:p w14:paraId="3F20412A"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563" w:type="pct"/>
          </w:tcPr>
          <w:p w14:paraId="5370B0B6"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tc>
        <w:tc>
          <w:tcPr>
            <w:tcW w:w="549" w:type="pct"/>
          </w:tcPr>
          <w:p w14:paraId="253828C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448" w:type="pct"/>
          </w:tcPr>
          <w:p w14:paraId="768070DE"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val="x-none" w:eastAsia="x-none"/>
              </w:rPr>
              <w:t xml:space="preserve">Estimated emission reduction </w:t>
            </w:r>
            <w:r w:rsidRPr="00191ACB">
              <w:rPr>
                <w:rFonts w:ascii="Times New Roman" w:hAnsi="Times New Roman"/>
                <w:color w:val="000000" w:themeColor="text1"/>
                <w:sz w:val="24"/>
                <w:szCs w:val="24"/>
                <w:lang w:eastAsia="x-none"/>
              </w:rPr>
              <w:t>cumulative by 2050 Gg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vertAlign w:val="subscript"/>
                <w:lang w:eastAsia="x-none"/>
              </w:rPr>
              <w:t>eq</w:t>
            </w:r>
          </w:p>
        </w:tc>
        <w:tc>
          <w:tcPr>
            <w:tcW w:w="625" w:type="pct"/>
          </w:tcPr>
          <w:p w14:paraId="3876DF0C"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nternational market mechanisms</w:t>
            </w:r>
          </w:p>
        </w:tc>
      </w:tr>
      <w:tr w:rsidR="00BC40A9" w:rsidRPr="00191ACB" w14:paraId="1E8319DF" w14:textId="77777777" w:rsidTr="00BC40A9">
        <w:trPr>
          <w:cnfStyle w:val="000000100000" w:firstRow="0" w:lastRow="0" w:firstColumn="0" w:lastColumn="0" w:oddVBand="0" w:evenVBand="0" w:oddHBand="1" w:evenHBand="0" w:firstRowFirstColumn="0" w:firstRowLastColumn="0" w:lastRowFirstColumn="0" w:lastRowLastColumn="0"/>
          <w:trHeight w:val="1338"/>
        </w:trPr>
        <w:tc>
          <w:tcPr>
            <w:cnfStyle w:val="001000000000" w:firstRow="0" w:lastRow="0" w:firstColumn="1" w:lastColumn="0" w:oddVBand="0" w:evenVBand="0" w:oddHBand="0" w:evenHBand="0" w:firstRowFirstColumn="0" w:firstRowLastColumn="0" w:lastRowFirstColumn="0" w:lastRowLastColumn="0"/>
            <w:tcW w:w="712" w:type="pct"/>
          </w:tcPr>
          <w:p w14:paraId="149B5FDC"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Mopani Mine- Waste Heat Power Generation Annual Savings (41.8GWh)</w:t>
            </w:r>
          </w:p>
        </w:tc>
        <w:tc>
          <w:tcPr>
            <w:tcW w:w="587" w:type="pct"/>
          </w:tcPr>
          <w:p w14:paraId="27B928D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Energy efficiency. Reduction in energy consumption at Mopani mine from the grid</w:t>
            </w:r>
          </w:p>
        </w:tc>
        <w:tc>
          <w:tcPr>
            <w:tcW w:w="1046" w:type="pct"/>
          </w:tcPr>
          <w:p w14:paraId="05611A4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Assumed that energy efficiency will reduce energy consumption on the National Grid and thus the baseline is the Southern African Power Pool (SAPP) emissions. Algorithm use is provided in equation 17</w:t>
            </w:r>
          </w:p>
        </w:tc>
        <w:tc>
          <w:tcPr>
            <w:tcW w:w="470" w:type="pct"/>
          </w:tcPr>
          <w:p w14:paraId="793AAD0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Energy units of electricity saved</w:t>
            </w:r>
          </w:p>
        </w:tc>
        <w:tc>
          <w:tcPr>
            <w:tcW w:w="563" w:type="pct"/>
          </w:tcPr>
          <w:p w14:paraId="5B0DA49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reduce energy consumption and hence cost for the mine</w:t>
            </w:r>
          </w:p>
        </w:tc>
        <w:tc>
          <w:tcPr>
            <w:tcW w:w="549" w:type="pct"/>
          </w:tcPr>
          <w:p w14:paraId="356FF8D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Design&amp; planning stage </w:t>
            </w:r>
          </w:p>
        </w:tc>
        <w:tc>
          <w:tcPr>
            <w:tcW w:w="448" w:type="pct"/>
          </w:tcPr>
          <w:p w14:paraId="23A93A1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41.6</w:t>
            </w:r>
          </w:p>
        </w:tc>
        <w:tc>
          <w:tcPr>
            <w:tcW w:w="625" w:type="pct"/>
          </w:tcPr>
          <w:p w14:paraId="2E26B88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BC40A9" w:rsidRPr="00191ACB" w14:paraId="0B483B9D" w14:textId="77777777" w:rsidTr="00BC40A9">
        <w:tc>
          <w:tcPr>
            <w:cnfStyle w:val="001000000000" w:firstRow="0" w:lastRow="0" w:firstColumn="1" w:lastColumn="0" w:oddVBand="0" w:evenVBand="0" w:oddHBand="0" w:evenHBand="0" w:firstRowFirstColumn="0" w:firstRowLastColumn="0" w:lastRowFirstColumn="0" w:lastRowLastColumn="0"/>
            <w:tcW w:w="712" w:type="pct"/>
          </w:tcPr>
          <w:p w14:paraId="26844446"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Solar street lighting retrofit. Annual Savings (14GWh)</w:t>
            </w:r>
          </w:p>
        </w:tc>
        <w:tc>
          <w:tcPr>
            <w:tcW w:w="587" w:type="pct"/>
          </w:tcPr>
          <w:p w14:paraId="3B3BF71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Energy efficiency. Reduction in energy consumption from the grid</w:t>
            </w:r>
          </w:p>
        </w:tc>
        <w:tc>
          <w:tcPr>
            <w:tcW w:w="1046" w:type="pct"/>
          </w:tcPr>
          <w:p w14:paraId="0683EA8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Assumed that energy efficiency will reduce energy consumption on the National Grid and thus the baseline is the SAPP emissions. Equation 17</w:t>
            </w:r>
          </w:p>
        </w:tc>
        <w:tc>
          <w:tcPr>
            <w:tcW w:w="470" w:type="pct"/>
          </w:tcPr>
          <w:p w14:paraId="0DC9127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Energy units of electricity saved</w:t>
            </w:r>
          </w:p>
        </w:tc>
        <w:tc>
          <w:tcPr>
            <w:tcW w:w="563" w:type="pct"/>
          </w:tcPr>
          <w:p w14:paraId="75D6156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reduce energy consumption and hence cost from street lighting</w:t>
            </w:r>
          </w:p>
        </w:tc>
        <w:tc>
          <w:tcPr>
            <w:tcW w:w="549" w:type="pct"/>
          </w:tcPr>
          <w:p w14:paraId="30FFF6C5"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Funding and preparation stage</w:t>
            </w:r>
          </w:p>
          <w:p w14:paraId="66AAC23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p>
        </w:tc>
        <w:tc>
          <w:tcPr>
            <w:tcW w:w="448" w:type="pct"/>
          </w:tcPr>
          <w:p w14:paraId="3FE9082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13.9</w:t>
            </w:r>
          </w:p>
        </w:tc>
        <w:tc>
          <w:tcPr>
            <w:tcW w:w="625" w:type="pct"/>
          </w:tcPr>
          <w:p w14:paraId="69EB848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BC40A9" w:rsidRPr="00191ACB" w14:paraId="0A1C56C2" w14:textId="77777777" w:rsidTr="00BC40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tcPr>
          <w:p w14:paraId="6D23A038"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Solar geysers. Annual Savings (29.3GWh)</w:t>
            </w:r>
          </w:p>
        </w:tc>
        <w:tc>
          <w:tcPr>
            <w:tcW w:w="587" w:type="pct"/>
          </w:tcPr>
          <w:p w14:paraId="0AC6684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Energy efficiency. Reduction in energy consumption from the grid</w:t>
            </w:r>
          </w:p>
        </w:tc>
        <w:tc>
          <w:tcPr>
            <w:tcW w:w="1046" w:type="pct"/>
          </w:tcPr>
          <w:p w14:paraId="789C116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 xml:space="preserve">Assumed that energy efficiency will reduce energy consumption on the National Grid and thus the baseline is the SAPP emissions. </w:t>
            </w:r>
          </w:p>
        </w:tc>
        <w:tc>
          <w:tcPr>
            <w:tcW w:w="470" w:type="pct"/>
          </w:tcPr>
          <w:p w14:paraId="1655C9C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Energy units of electricity saved</w:t>
            </w:r>
          </w:p>
        </w:tc>
        <w:tc>
          <w:tcPr>
            <w:tcW w:w="563" w:type="pct"/>
          </w:tcPr>
          <w:p w14:paraId="7429E9D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reduce energy consumption and hence cost from water heating</w:t>
            </w:r>
          </w:p>
        </w:tc>
        <w:tc>
          <w:tcPr>
            <w:tcW w:w="549" w:type="pct"/>
          </w:tcPr>
          <w:p w14:paraId="06FC0F0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Funding and preparation stage</w:t>
            </w:r>
          </w:p>
          <w:p w14:paraId="0ED9758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448" w:type="pct"/>
          </w:tcPr>
          <w:p w14:paraId="477FA5A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29.2</w:t>
            </w:r>
          </w:p>
        </w:tc>
        <w:tc>
          <w:tcPr>
            <w:tcW w:w="625" w:type="pct"/>
          </w:tcPr>
          <w:p w14:paraId="07029BB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BC40A9" w:rsidRPr="00191ACB" w14:paraId="246D6930" w14:textId="77777777" w:rsidTr="00BC40A9">
        <w:tc>
          <w:tcPr>
            <w:cnfStyle w:val="001000000000" w:firstRow="0" w:lastRow="0" w:firstColumn="1" w:lastColumn="0" w:oddVBand="0" w:evenVBand="0" w:oddHBand="0" w:evenHBand="0" w:firstRowFirstColumn="0" w:firstRowLastColumn="0" w:lastRowFirstColumn="0" w:lastRowLastColumn="0"/>
            <w:tcW w:w="712" w:type="pct"/>
          </w:tcPr>
          <w:p w14:paraId="7C390872" w14:textId="163C9CC5"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LED/CFL lighting in households. Annual Savings (31.5 GWh)</w:t>
            </w:r>
          </w:p>
        </w:tc>
        <w:tc>
          <w:tcPr>
            <w:tcW w:w="587" w:type="pct"/>
          </w:tcPr>
          <w:p w14:paraId="3305F18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Energy efficiency. Reduction in energy consumption from the grid</w:t>
            </w:r>
          </w:p>
        </w:tc>
        <w:tc>
          <w:tcPr>
            <w:tcW w:w="1046" w:type="pct"/>
          </w:tcPr>
          <w:p w14:paraId="06109D0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Assumed that energy efficiency will reduce energy consumption on the National Grid and thus the baseline is the SAPP emissions. Refer to equation 17</w:t>
            </w:r>
          </w:p>
        </w:tc>
        <w:tc>
          <w:tcPr>
            <w:tcW w:w="470" w:type="pct"/>
          </w:tcPr>
          <w:p w14:paraId="46657B46"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Energy units of electricity saved</w:t>
            </w:r>
          </w:p>
        </w:tc>
        <w:tc>
          <w:tcPr>
            <w:tcW w:w="563" w:type="pct"/>
          </w:tcPr>
          <w:p w14:paraId="3E3702D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reduce energy consumption and hence cost from lighting</w:t>
            </w:r>
          </w:p>
        </w:tc>
        <w:tc>
          <w:tcPr>
            <w:tcW w:w="549" w:type="pct"/>
          </w:tcPr>
          <w:p w14:paraId="5F741CB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Funding and preparation stage</w:t>
            </w:r>
          </w:p>
          <w:p w14:paraId="047D6315"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p>
        </w:tc>
        <w:tc>
          <w:tcPr>
            <w:tcW w:w="448" w:type="pct"/>
          </w:tcPr>
          <w:p w14:paraId="594ED99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31.4</w:t>
            </w:r>
          </w:p>
        </w:tc>
        <w:tc>
          <w:tcPr>
            <w:tcW w:w="625" w:type="pct"/>
          </w:tcPr>
          <w:p w14:paraId="40FF7D0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BC40A9" w:rsidRPr="00191ACB" w14:paraId="35F88022" w14:textId="77777777" w:rsidTr="00BC40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tcPr>
          <w:p w14:paraId="14692DE2"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lastRenderedPageBreak/>
              <w:t>Reactive Power Compensation. Annual Savings (43GWh)</w:t>
            </w:r>
          </w:p>
        </w:tc>
        <w:tc>
          <w:tcPr>
            <w:tcW w:w="587" w:type="pct"/>
          </w:tcPr>
          <w:p w14:paraId="2211E99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Energy efficiency. Reduction in energy consumption from the grid</w:t>
            </w:r>
          </w:p>
        </w:tc>
        <w:tc>
          <w:tcPr>
            <w:tcW w:w="1046" w:type="pct"/>
          </w:tcPr>
          <w:p w14:paraId="243BA31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Assumed that energy efficiency will reduce energy consumption on the National Grid and thus the baseline is the SAPP emissions. Refer to equation 1739</w:t>
            </w:r>
          </w:p>
        </w:tc>
        <w:tc>
          <w:tcPr>
            <w:tcW w:w="470" w:type="pct"/>
          </w:tcPr>
          <w:p w14:paraId="1EED9E8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Energy units of electricity saved</w:t>
            </w:r>
          </w:p>
        </w:tc>
        <w:tc>
          <w:tcPr>
            <w:tcW w:w="563" w:type="pct"/>
          </w:tcPr>
          <w:p w14:paraId="1CE65DD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reduce energy consumption and hence cost from industries</w:t>
            </w:r>
          </w:p>
        </w:tc>
        <w:tc>
          <w:tcPr>
            <w:tcW w:w="549" w:type="pct"/>
          </w:tcPr>
          <w:p w14:paraId="4CAB6DB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Funding and preparation stage</w:t>
            </w:r>
          </w:p>
          <w:p w14:paraId="679D6A3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lang w:eastAsia="x-none"/>
              </w:rPr>
            </w:pPr>
          </w:p>
        </w:tc>
        <w:tc>
          <w:tcPr>
            <w:tcW w:w="448" w:type="pct"/>
          </w:tcPr>
          <w:p w14:paraId="1D016EB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42.8</w:t>
            </w:r>
          </w:p>
        </w:tc>
        <w:tc>
          <w:tcPr>
            <w:tcW w:w="625" w:type="pct"/>
          </w:tcPr>
          <w:p w14:paraId="5B004F8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bl>
    <w:p w14:paraId="19585CC4" w14:textId="77777777" w:rsidR="00BC40A9" w:rsidRPr="00191ACB" w:rsidRDefault="00BC40A9" w:rsidP="005E626A">
      <w:pPr>
        <w:keepNext/>
        <w:tabs>
          <w:tab w:val="left" w:pos="4368"/>
        </w:tabs>
        <w:spacing w:before="240" w:after="120" w:line="240" w:lineRule="auto"/>
        <w:jc w:val="both"/>
        <w:outlineLvl w:val="1"/>
        <w:rPr>
          <w:rFonts w:ascii="Times New Roman" w:eastAsia="Times New Roman" w:hAnsi="Times New Roman" w:cs="Times New Roman"/>
          <w:b/>
          <w:bCs/>
          <w:iCs/>
          <w:color w:val="000000" w:themeColor="text1"/>
          <w:sz w:val="24"/>
          <w:szCs w:val="24"/>
        </w:rPr>
      </w:pPr>
      <w:bookmarkStart w:id="402" w:name="_Toc26264941"/>
    </w:p>
    <w:p w14:paraId="43037E7C" w14:textId="77777777" w:rsidR="00557B1F" w:rsidRPr="00191ACB" w:rsidRDefault="00557B1F" w:rsidP="005E626A">
      <w:pPr>
        <w:pStyle w:val="Heading2"/>
        <w:spacing w:after="120" w:line="240" w:lineRule="auto"/>
        <w:rPr>
          <w:rFonts w:ascii="Times New Roman" w:eastAsia="Times New Roman" w:hAnsi="Times New Roman" w:cs="Times New Roman"/>
          <w:b/>
          <w:color w:val="000000" w:themeColor="text1"/>
          <w:sz w:val="24"/>
          <w:szCs w:val="24"/>
        </w:rPr>
        <w:sectPr w:rsidR="00557B1F" w:rsidRPr="00191ACB" w:rsidSect="004A054E">
          <w:pgSz w:w="16834" w:h="11909" w:orient="landscape" w:code="9"/>
          <w:pgMar w:top="720" w:right="862" w:bottom="1440" w:left="862" w:header="720" w:footer="720" w:gutter="0"/>
          <w:cols w:space="720"/>
          <w:docGrid w:linePitch="360"/>
        </w:sectPr>
      </w:pPr>
    </w:p>
    <w:p w14:paraId="6DEB7875" w14:textId="624FBF0D" w:rsidR="00245464" w:rsidRPr="00191ACB" w:rsidRDefault="00245464" w:rsidP="00D21C5B">
      <w:pPr>
        <w:pStyle w:val="Heading4"/>
        <w:numPr>
          <w:ilvl w:val="3"/>
          <w:numId w:val="36"/>
        </w:numPr>
        <w:ind w:left="851" w:hanging="851"/>
      </w:pPr>
      <w:r w:rsidRPr="00191ACB">
        <w:lastRenderedPageBreak/>
        <w:t>Mitigation Actions from Wind Power</w:t>
      </w:r>
      <w:bookmarkEnd w:id="402"/>
      <w:r w:rsidRPr="00191ACB">
        <w:t xml:space="preserve">  </w:t>
      </w:r>
    </w:p>
    <w:p w14:paraId="7D79159D" w14:textId="2D4243B7" w:rsidR="00245464" w:rsidRPr="00191ACB"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A </w:t>
      </w:r>
      <w:r w:rsidR="00557B1F" w:rsidRPr="00191ACB">
        <w:rPr>
          <w:rFonts w:ascii="Times New Roman" w:eastAsia="Calibri" w:hAnsi="Times New Roman" w:cs="Times New Roman"/>
          <w:color w:val="000000" w:themeColor="text1"/>
          <w:sz w:val="24"/>
          <w:szCs w:val="24"/>
        </w:rPr>
        <w:t xml:space="preserve">Wind Resource Map </w:t>
      </w:r>
      <w:r w:rsidRPr="00191ACB">
        <w:rPr>
          <w:rFonts w:ascii="Times New Roman" w:eastAsia="Calibri" w:hAnsi="Times New Roman" w:cs="Times New Roman"/>
          <w:color w:val="000000" w:themeColor="text1"/>
          <w:sz w:val="24"/>
          <w:szCs w:val="24"/>
        </w:rPr>
        <w:t>has been developed</w:t>
      </w:r>
      <w:r w:rsidR="00557B1F" w:rsidRPr="00191ACB">
        <w:rPr>
          <w:rFonts w:ascii="Times New Roman" w:eastAsia="Calibri" w:hAnsi="Times New Roman" w:cs="Times New Roman"/>
          <w:color w:val="000000" w:themeColor="text1"/>
          <w:sz w:val="24"/>
          <w:szCs w:val="24"/>
        </w:rPr>
        <w:t xml:space="preserve"> and </w:t>
      </w:r>
      <w:r w:rsidRPr="00191ACB">
        <w:rPr>
          <w:rFonts w:ascii="Times New Roman" w:eastAsia="Calibri" w:hAnsi="Times New Roman" w:cs="Times New Roman"/>
          <w:color w:val="000000" w:themeColor="text1"/>
          <w:sz w:val="24"/>
          <w:szCs w:val="24"/>
        </w:rPr>
        <w:t xml:space="preserve">a </w:t>
      </w:r>
      <w:r w:rsidR="00557B1F" w:rsidRPr="00191ACB">
        <w:rPr>
          <w:rFonts w:ascii="Times New Roman" w:eastAsia="Calibri" w:hAnsi="Times New Roman" w:cs="Times New Roman"/>
          <w:color w:val="000000" w:themeColor="text1"/>
          <w:sz w:val="24"/>
          <w:szCs w:val="24"/>
        </w:rPr>
        <w:t xml:space="preserve">Wind Regime Assessment </w:t>
      </w:r>
      <w:r w:rsidRPr="00191ACB">
        <w:rPr>
          <w:rFonts w:ascii="Times New Roman" w:eastAsia="Calibri" w:hAnsi="Times New Roman" w:cs="Times New Roman"/>
          <w:color w:val="000000" w:themeColor="text1"/>
          <w:sz w:val="24"/>
          <w:szCs w:val="24"/>
        </w:rPr>
        <w:t>at 120meter height</w:t>
      </w:r>
      <w:r w:rsidR="00557B1F" w:rsidRPr="00191ACB">
        <w:rPr>
          <w:rFonts w:ascii="Times New Roman" w:eastAsia="Calibri" w:hAnsi="Times New Roman" w:cs="Times New Roman"/>
          <w:color w:val="000000" w:themeColor="text1"/>
          <w:sz w:val="24"/>
          <w:szCs w:val="24"/>
        </w:rPr>
        <w:t xml:space="preserve"> was undertaken</w:t>
      </w:r>
      <w:r w:rsidRPr="00191ACB">
        <w:rPr>
          <w:rFonts w:ascii="Times New Roman" w:eastAsia="Calibri" w:hAnsi="Times New Roman" w:cs="Times New Roman"/>
          <w:color w:val="000000" w:themeColor="text1"/>
          <w:sz w:val="24"/>
          <w:szCs w:val="24"/>
        </w:rPr>
        <w:t xml:space="preserve">. Mpepo power, a private owned company plans to develop a 400 MW at an identified site in Katete District. ZESCO has also planned to develop 150 MW from wind by 2022. </w:t>
      </w:r>
      <w:r w:rsidRPr="00191ACB">
        <w:rPr>
          <w:rFonts w:ascii="Times New Roman" w:hAnsi="Times New Roman" w:cs="Times New Roman"/>
          <w:color w:val="000000" w:themeColor="text1"/>
          <w:sz w:val="24"/>
          <w:szCs w:val="24"/>
        </w:rPr>
        <w:t xml:space="preserve">Successful installation and completion of planned wind power projects by ZESCO and Mpepo power will amount to a total installation of 550 MW which is projected to result in annual emissions reductions of 1528.3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00C67BFC" w:rsidRPr="00191ACB">
        <w:rPr>
          <w:rFonts w:ascii="Times New Roman" w:eastAsia="Calibri" w:hAnsi="Times New Roman" w:cs="Times New Roman"/>
          <w:color w:val="000000" w:themeColor="text1"/>
          <w:sz w:val="24"/>
          <w:szCs w:val="24"/>
        </w:rPr>
        <w:t xml:space="preserve"> (Table </w:t>
      </w:r>
      <w:r w:rsidR="00501324" w:rsidRPr="00191ACB">
        <w:rPr>
          <w:rFonts w:ascii="Times New Roman" w:eastAsia="Calibri" w:hAnsi="Times New Roman" w:cs="Times New Roman"/>
          <w:color w:val="000000" w:themeColor="text1"/>
          <w:sz w:val="24"/>
          <w:szCs w:val="24"/>
        </w:rPr>
        <w:t>2.26</w:t>
      </w:r>
      <w:r w:rsidRPr="00191ACB">
        <w:rPr>
          <w:rFonts w:ascii="Times New Roman" w:eastAsia="Calibri" w:hAnsi="Times New Roman" w:cs="Times New Roman"/>
          <w:color w:val="000000" w:themeColor="text1"/>
          <w:sz w:val="24"/>
          <w:szCs w:val="24"/>
        </w:rPr>
        <w:t>) between 2030</w:t>
      </w:r>
      <w:r w:rsidRPr="00191ACB">
        <w:rPr>
          <w:rFonts w:ascii="Times New Roman" w:eastAsia="Calibri" w:hAnsi="Times New Roman" w:cs="Times New Roman"/>
          <w:b/>
          <w:color w:val="000000" w:themeColor="text1"/>
          <w:sz w:val="24"/>
          <w:szCs w:val="24"/>
        </w:rPr>
        <w:t xml:space="preserve"> </w:t>
      </w:r>
      <w:r w:rsidRPr="00191ACB">
        <w:rPr>
          <w:rFonts w:ascii="Times New Roman" w:eastAsia="Calibri" w:hAnsi="Times New Roman" w:cs="Times New Roman"/>
          <w:color w:val="000000" w:themeColor="text1"/>
          <w:sz w:val="24"/>
          <w:szCs w:val="24"/>
        </w:rPr>
        <w:t>and 20150. Based on consultations with ZESCO, wind power projected may be completed before 2030.</w:t>
      </w:r>
      <w:r w:rsidRPr="00191ACB">
        <w:rPr>
          <w:rFonts w:ascii="Times New Roman" w:eastAsia="Calibri" w:hAnsi="Times New Roman" w:cs="Times New Roman"/>
          <w:b/>
          <w:color w:val="000000" w:themeColor="text1"/>
          <w:sz w:val="24"/>
          <w:szCs w:val="24"/>
        </w:rPr>
        <w:t xml:space="preserve"> </w:t>
      </w:r>
      <w:r w:rsidRPr="00191ACB">
        <w:rPr>
          <w:rFonts w:ascii="Times New Roman" w:eastAsia="Calibri" w:hAnsi="Times New Roman" w:cs="Times New Roman"/>
          <w:color w:val="000000" w:themeColor="text1"/>
          <w:sz w:val="24"/>
          <w:szCs w:val="24"/>
        </w:rPr>
        <w:t>It was assumed that wind power interventions will be connected to the national grid and thus the baseline is the Southern African Power Pool (SAPP). The emission factor used to calculate projected emissions reduction under this mitigation action is the regional emission factor for combined margin 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emission factor for the project electricity system applicable to the wind and solar power generation (0.9801 tCO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/MWh). The capacity factor of 0.25 was assumed for wind in estimating annual energy units’ generation.</w:t>
      </w:r>
    </w:p>
    <w:p w14:paraId="293F24A5" w14:textId="77777777" w:rsidR="00245464" w:rsidRPr="00191ACB" w:rsidRDefault="00245464" w:rsidP="00245464">
      <w:pPr>
        <w:spacing w:after="0" w:line="240" w:lineRule="auto"/>
        <w:rPr>
          <w:rFonts w:ascii="Times New Roman" w:eastAsia="Calibri" w:hAnsi="Times New Roman" w:cs="Times New Roman"/>
          <w:color w:val="000000" w:themeColor="text1"/>
          <w:sz w:val="24"/>
          <w:szCs w:val="24"/>
        </w:rPr>
      </w:pPr>
    </w:p>
    <w:p w14:paraId="766D841D" w14:textId="12214B7F" w:rsidR="00245464" w:rsidRPr="00191ACB" w:rsidRDefault="00C319A4" w:rsidP="00C319A4">
      <w:pPr>
        <w:pStyle w:val="Caption"/>
        <w:rPr>
          <w:rFonts w:eastAsia="Calibri"/>
          <w:color w:val="000000" w:themeColor="text1"/>
          <w:sz w:val="24"/>
          <w:szCs w:val="24"/>
        </w:rPr>
      </w:pPr>
      <w:bookmarkStart w:id="403" w:name="_Toc56583802"/>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26</w:t>
      </w:r>
      <w:r w:rsidR="00875942">
        <w:rPr>
          <w:sz w:val="24"/>
          <w:szCs w:val="24"/>
        </w:rPr>
        <w:fldChar w:fldCharType="end"/>
      </w:r>
      <w:r w:rsidRPr="00191ACB">
        <w:rPr>
          <w:sz w:val="24"/>
          <w:szCs w:val="24"/>
        </w:rPr>
        <w:t>:Emission reduction potential for Wind power generation (Gg CO2 eq)</w:t>
      </w:r>
      <w:bookmarkEnd w:id="403"/>
    </w:p>
    <w:tbl>
      <w:tblPr>
        <w:tblW w:w="5000" w:type="pct"/>
        <w:tblLayout w:type="fixed"/>
        <w:tblLook w:val="04A0" w:firstRow="1" w:lastRow="0" w:firstColumn="1" w:lastColumn="0" w:noHBand="0" w:noVBand="1"/>
      </w:tblPr>
      <w:tblGrid>
        <w:gridCol w:w="1424"/>
        <w:gridCol w:w="1145"/>
        <w:gridCol w:w="713"/>
        <w:gridCol w:w="713"/>
        <w:gridCol w:w="713"/>
        <w:gridCol w:w="713"/>
        <w:gridCol w:w="855"/>
        <w:gridCol w:w="857"/>
        <w:gridCol w:w="853"/>
        <w:gridCol w:w="855"/>
        <w:gridCol w:w="898"/>
      </w:tblGrid>
      <w:tr w:rsidR="00245464" w:rsidRPr="006A1C90" w14:paraId="621DFD38" w14:textId="77777777" w:rsidTr="00A91A48">
        <w:trPr>
          <w:trHeight w:val="300"/>
        </w:trPr>
        <w:tc>
          <w:tcPr>
            <w:tcW w:w="73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7232E3" w14:textId="77777777" w:rsidR="00245464" w:rsidRPr="006A1C90"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Project</w:t>
            </w:r>
          </w:p>
        </w:tc>
        <w:tc>
          <w:tcPr>
            <w:tcW w:w="588" w:type="pct"/>
            <w:tcBorders>
              <w:top w:val="single" w:sz="4" w:space="0" w:color="auto"/>
              <w:left w:val="nil"/>
              <w:bottom w:val="single" w:sz="4" w:space="0" w:color="auto"/>
              <w:right w:val="single" w:sz="4" w:space="0" w:color="auto"/>
            </w:tcBorders>
            <w:shd w:val="clear" w:color="auto" w:fill="auto"/>
            <w:noWrap/>
            <w:vAlign w:val="bottom"/>
            <w:hideMark/>
          </w:tcPr>
          <w:p w14:paraId="52170D19" w14:textId="77777777" w:rsidR="00245464" w:rsidRPr="006A1C90"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Capacity (MW)</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595E61BB" w14:textId="77777777" w:rsidR="00245464" w:rsidRPr="006A1C90"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2010</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14D8211F" w14:textId="77777777" w:rsidR="00245464" w:rsidRPr="006A1C90"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2015</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427B621A" w14:textId="77777777" w:rsidR="00245464" w:rsidRPr="006A1C90"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2020</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126F4FFF" w14:textId="77777777" w:rsidR="00245464" w:rsidRPr="006A1C90"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2025</w:t>
            </w:r>
          </w:p>
        </w:tc>
        <w:tc>
          <w:tcPr>
            <w:tcW w:w="439" w:type="pct"/>
            <w:tcBorders>
              <w:top w:val="single" w:sz="4" w:space="0" w:color="auto"/>
              <w:left w:val="nil"/>
              <w:bottom w:val="single" w:sz="4" w:space="0" w:color="auto"/>
              <w:right w:val="single" w:sz="4" w:space="0" w:color="auto"/>
            </w:tcBorders>
            <w:shd w:val="clear" w:color="auto" w:fill="auto"/>
            <w:noWrap/>
            <w:vAlign w:val="bottom"/>
            <w:hideMark/>
          </w:tcPr>
          <w:p w14:paraId="535CA73A" w14:textId="77777777" w:rsidR="00245464" w:rsidRPr="006A1C90"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2030</w:t>
            </w:r>
          </w:p>
        </w:tc>
        <w:tc>
          <w:tcPr>
            <w:tcW w:w="440" w:type="pct"/>
            <w:tcBorders>
              <w:top w:val="single" w:sz="4" w:space="0" w:color="auto"/>
              <w:left w:val="nil"/>
              <w:bottom w:val="single" w:sz="4" w:space="0" w:color="auto"/>
              <w:right w:val="single" w:sz="4" w:space="0" w:color="auto"/>
            </w:tcBorders>
            <w:shd w:val="clear" w:color="auto" w:fill="auto"/>
            <w:noWrap/>
            <w:vAlign w:val="bottom"/>
            <w:hideMark/>
          </w:tcPr>
          <w:p w14:paraId="248841C0" w14:textId="77777777" w:rsidR="00245464" w:rsidRPr="006A1C90"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2035</w:t>
            </w:r>
          </w:p>
        </w:tc>
        <w:tc>
          <w:tcPr>
            <w:tcW w:w="438" w:type="pct"/>
            <w:tcBorders>
              <w:top w:val="single" w:sz="4" w:space="0" w:color="auto"/>
              <w:left w:val="nil"/>
              <w:bottom w:val="single" w:sz="4" w:space="0" w:color="auto"/>
              <w:right w:val="single" w:sz="4" w:space="0" w:color="auto"/>
            </w:tcBorders>
            <w:shd w:val="clear" w:color="auto" w:fill="auto"/>
            <w:noWrap/>
            <w:vAlign w:val="bottom"/>
            <w:hideMark/>
          </w:tcPr>
          <w:p w14:paraId="1A4F28E3" w14:textId="77777777" w:rsidR="00245464" w:rsidRPr="006A1C90"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2040</w:t>
            </w:r>
          </w:p>
        </w:tc>
        <w:tc>
          <w:tcPr>
            <w:tcW w:w="439" w:type="pct"/>
            <w:tcBorders>
              <w:top w:val="single" w:sz="4" w:space="0" w:color="auto"/>
              <w:left w:val="nil"/>
              <w:bottom w:val="single" w:sz="4" w:space="0" w:color="auto"/>
              <w:right w:val="single" w:sz="4" w:space="0" w:color="auto"/>
            </w:tcBorders>
            <w:shd w:val="clear" w:color="auto" w:fill="auto"/>
            <w:noWrap/>
            <w:vAlign w:val="bottom"/>
            <w:hideMark/>
          </w:tcPr>
          <w:p w14:paraId="69E0408A" w14:textId="77777777" w:rsidR="00245464" w:rsidRPr="006A1C90"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2045</w:t>
            </w:r>
          </w:p>
        </w:tc>
        <w:tc>
          <w:tcPr>
            <w:tcW w:w="462" w:type="pct"/>
            <w:tcBorders>
              <w:top w:val="single" w:sz="4" w:space="0" w:color="auto"/>
              <w:left w:val="nil"/>
              <w:bottom w:val="single" w:sz="4" w:space="0" w:color="auto"/>
              <w:right w:val="single" w:sz="4" w:space="0" w:color="auto"/>
            </w:tcBorders>
            <w:shd w:val="clear" w:color="auto" w:fill="auto"/>
            <w:noWrap/>
            <w:vAlign w:val="bottom"/>
            <w:hideMark/>
          </w:tcPr>
          <w:p w14:paraId="5B18D130" w14:textId="77777777" w:rsidR="00245464" w:rsidRPr="006A1C90"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6A1C90">
              <w:rPr>
                <w:rFonts w:ascii="Times New Roman" w:eastAsia="Times New Roman" w:hAnsi="Times New Roman" w:cs="Times New Roman"/>
                <w:b/>
                <w:color w:val="000000" w:themeColor="text1"/>
                <w:sz w:val="20"/>
                <w:szCs w:val="20"/>
              </w:rPr>
              <w:t>2050</w:t>
            </w:r>
          </w:p>
        </w:tc>
      </w:tr>
      <w:tr w:rsidR="00245464" w:rsidRPr="006A1C90" w14:paraId="588EB26D" w14:textId="77777777" w:rsidTr="00A91A48">
        <w:trPr>
          <w:trHeight w:val="300"/>
        </w:trPr>
        <w:tc>
          <w:tcPr>
            <w:tcW w:w="731" w:type="pct"/>
            <w:tcBorders>
              <w:top w:val="nil"/>
              <w:left w:val="single" w:sz="4" w:space="0" w:color="auto"/>
              <w:bottom w:val="single" w:sz="4" w:space="0" w:color="auto"/>
              <w:right w:val="single" w:sz="4" w:space="0" w:color="auto"/>
            </w:tcBorders>
            <w:shd w:val="clear" w:color="auto" w:fill="auto"/>
            <w:noWrap/>
            <w:vAlign w:val="bottom"/>
            <w:hideMark/>
          </w:tcPr>
          <w:p w14:paraId="338844EE"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ZESCO- Wind</w:t>
            </w:r>
          </w:p>
        </w:tc>
        <w:tc>
          <w:tcPr>
            <w:tcW w:w="588" w:type="pct"/>
            <w:tcBorders>
              <w:top w:val="nil"/>
              <w:left w:val="nil"/>
              <w:bottom w:val="single" w:sz="4" w:space="0" w:color="auto"/>
              <w:right w:val="single" w:sz="4" w:space="0" w:color="auto"/>
            </w:tcBorders>
            <w:shd w:val="clear" w:color="auto" w:fill="auto"/>
            <w:noWrap/>
            <w:vAlign w:val="bottom"/>
            <w:hideMark/>
          </w:tcPr>
          <w:p w14:paraId="0DC93468"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150</w:t>
            </w:r>
          </w:p>
        </w:tc>
        <w:tc>
          <w:tcPr>
            <w:tcW w:w="366" w:type="pct"/>
            <w:tcBorders>
              <w:top w:val="nil"/>
              <w:left w:val="nil"/>
              <w:bottom w:val="single" w:sz="4" w:space="0" w:color="auto"/>
              <w:right w:val="single" w:sz="4" w:space="0" w:color="auto"/>
            </w:tcBorders>
            <w:shd w:val="clear" w:color="auto" w:fill="auto"/>
            <w:noWrap/>
            <w:vAlign w:val="bottom"/>
            <w:hideMark/>
          </w:tcPr>
          <w:p w14:paraId="7AEC3A5E"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53881804"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270E32A3"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66B9613E"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669.7</w:t>
            </w:r>
          </w:p>
        </w:tc>
        <w:tc>
          <w:tcPr>
            <w:tcW w:w="439" w:type="pct"/>
            <w:tcBorders>
              <w:top w:val="nil"/>
              <w:left w:val="nil"/>
              <w:bottom w:val="single" w:sz="4" w:space="0" w:color="auto"/>
              <w:right w:val="single" w:sz="4" w:space="0" w:color="auto"/>
            </w:tcBorders>
            <w:shd w:val="clear" w:color="auto" w:fill="auto"/>
            <w:noWrap/>
            <w:vAlign w:val="bottom"/>
            <w:hideMark/>
          </w:tcPr>
          <w:p w14:paraId="70D4730B"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669.7</w:t>
            </w:r>
          </w:p>
        </w:tc>
        <w:tc>
          <w:tcPr>
            <w:tcW w:w="440" w:type="pct"/>
            <w:tcBorders>
              <w:top w:val="nil"/>
              <w:left w:val="nil"/>
              <w:bottom w:val="single" w:sz="4" w:space="0" w:color="auto"/>
              <w:right w:val="single" w:sz="4" w:space="0" w:color="auto"/>
            </w:tcBorders>
            <w:shd w:val="clear" w:color="auto" w:fill="auto"/>
            <w:noWrap/>
            <w:vAlign w:val="bottom"/>
            <w:hideMark/>
          </w:tcPr>
          <w:p w14:paraId="214E5FF0"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669.7</w:t>
            </w:r>
          </w:p>
        </w:tc>
        <w:tc>
          <w:tcPr>
            <w:tcW w:w="438" w:type="pct"/>
            <w:tcBorders>
              <w:top w:val="nil"/>
              <w:left w:val="nil"/>
              <w:bottom w:val="single" w:sz="4" w:space="0" w:color="auto"/>
              <w:right w:val="single" w:sz="4" w:space="0" w:color="auto"/>
            </w:tcBorders>
            <w:shd w:val="clear" w:color="auto" w:fill="auto"/>
            <w:noWrap/>
            <w:vAlign w:val="bottom"/>
            <w:hideMark/>
          </w:tcPr>
          <w:p w14:paraId="56C3463D"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669.7</w:t>
            </w:r>
          </w:p>
        </w:tc>
        <w:tc>
          <w:tcPr>
            <w:tcW w:w="439" w:type="pct"/>
            <w:tcBorders>
              <w:top w:val="nil"/>
              <w:left w:val="nil"/>
              <w:bottom w:val="single" w:sz="4" w:space="0" w:color="auto"/>
              <w:right w:val="single" w:sz="4" w:space="0" w:color="auto"/>
            </w:tcBorders>
            <w:shd w:val="clear" w:color="auto" w:fill="auto"/>
            <w:noWrap/>
            <w:vAlign w:val="bottom"/>
            <w:hideMark/>
          </w:tcPr>
          <w:p w14:paraId="1C6A7A03"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669.7</w:t>
            </w:r>
          </w:p>
        </w:tc>
        <w:tc>
          <w:tcPr>
            <w:tcW w:w="462" w:type="pct"/>
            <w:tcBorders>
              <w:top w:val="nil"/>
              <w:left w:val="nil"/>
              <w:bottom w:val="single" w:sz="4" w:space="0" w:color="auto"/>
              <w:right w:val="single" w:sz="4" w:space="0" w:color="auto"/>
            </w:tcBorders>
            <w:shd w:val="clear" w:color="auto" w:fill="auto"/>
            <w:noWrap/>
            <w:vAlign w:val="bottom"/>
            <w:hideMark/>
          </w:tcPr>
          <w:p w14:paraId="3BD7957D"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669.7</w:t>
            </w:r>
          </w:p>
        </w:tc>
      </w:tr>
      <w:tr w:rsidR="00245464" w:rsidRPr="006A1C90" w14:paraId="73F3B0C5" w14:textId="77777777" w:rsidTr="00A91A48">
        <w:trPr>
          <w:trHeight w:val="300"/>
        </w:trPr>
        <w:tc>
          <w:tcPr>
            <w:tcW w:w="731" w:type="pct"/>
            <w:tcBorders>
              <w:top w:val="nil"/>
              <w:left w:val="single" w:sz="4" w:space="0" w:color="auto"/>
              <w:bottom w:val="single" w:sz="4" w:space="0" w:color="auto"/>
              <w:right w:val="single" w:sz="4" w:space="0" w:color="auto"/>
            </w:tcBorders>
            <w:shd w:val="clear" w:color="auto" w:fill="auto"/>
            <w:noWrap/>
            <w:vAlign w:val="bottom"/>
            <w:hideMark/>
          </w:tcPr>
          <w:p w14:paraId="755FED84"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 xml:space="preserve">Mpepo Power 400 MW </w:t>
            </w:r>
          </w:p>
        </w:tc>
        <w:tc>
          <w:tcPr>
            <w:tcW w:w="588" w:type="pct"/>
            <w:tcBorders>
              <w:top w:val="nil"/>
              <w:left w:val="nil"/>
              <w:bottom w:val="single" w:sz="4" w:space="0" w:color="auto"/>
              <w:right w:val="single" w:sz="4" w:space="0" w:color="auto"/>
            </w:tcBorders>
            <w:shd w:val="clear" w:color="auto" w:fill="auto"/>
            <w:noWrap/>
            <w:vAlign w:val="bottom"/>
            <w:hideMark/>
          </w:tcPr>
          <w:p w14:paraId="7C27CCB2"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400</w:t>
            </w:r>
          </w:p>
        </w:tc>
        <w:tc>
          <w:tcPr>
            <w:tcW w:w="366" w:type="pct"/>
            <w:tcBorders>
              <w:top w:val="nil"/>
              <w:left w:val="nil"/>
              <w:bottom w:val="single" w:sz="4" w:space="0" w:color="auto"/>
              <w:right w:val="single" w:sz="4" w:space="0" w:color="auto"/>
            </w:tcBorders>
            <w:shd w:val="clear" w:color="auto" w:fill="auto"/>
            <w:noWrap/>
            <w:vAlign w:val="bottom"/>
            <w:hideMark/>
          </w:tcPr>
          <w:p w14:paraId="1DE4D0A9"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6E25B0F1"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37020DAE"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64D39710"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439" w:type="pct"/>
            <w:tcBorders>
              <w:top w:val="nil"/>
              <w:left w:val="nil"/>
              <w:bottom w:val="single" w:sz="4" w:space="0" w:color="auto"/>
              <w:right w:val="single" w:sz="4" w:space="0" w:color="auto"/>
            </w:tcBorders>
            <w:shd w:val="clear" w:color="auto" w:fill="auto"/>
            <w:noWrap/>
            <w:vAlign w:val="bottom"/>
            <w:hideMark/>
          </w:tcPr>
          <w:p w14:paraId="24572C43"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858.6</w:t>
            </w:r>
          </w:p>
        </w:tc>
        <w:tc>
          <w:tcPr>
            <w:tcW w:w="440" w:type="pct"/>
            <w:tcBorders>
              <w:top w:val="nil"/>
              <w:left w:val="nil"/>
              <w:bottom w:val="single" w:sz="4" w:space="0" w:color="auto"/>
              <w:right w:val="single" w:sz="4" w:space="0" w:color="auto"/>
            </w:tcBorders>
            <w:shd w:val="clear" w:color="auto" w:fill="auto"/>
            <w:noWrap/>
            <w:vAlign w:val="bottom"/>
            <w:hideMark/>
          </w:tcPr>
          <w:p w14:paraId="3F49CBF3"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858.6</w:t>
            </w:r>
          </w:p>
        </w:tc>
        <w:tc>
          <w:tcPr>
            <w:tcW w:w="438" w:type="pct"/>
            <w:tcBorders>
              <w:top w:val="nil"/>
              <w:left w:val="nil"/>
              <w:bottom w:val="single" w:sz="4" w:space="0" w:color="auto"/>
              <w:right w:val="single" w:sz="4" w:space="0" w:color="auto"/>
            </w:tcBorders>
            <w:shd w:val="clear" w:color="auto" w:fill="auto"/>
            <w:noWrap/>
            <w:vAlign w:val="bottom"/>
            <w:hideMark/>
          </w:tcPr>
          <w:p w14:paraId="0D21F94E"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858.6</w:t>
            </w:r>
          </w:p>
        </w:tc>
        <w:tc>
          <w:tcPr>
            <w:tcW w:w="439" w:type="pct"/>
            <w:tcBorders>
              <w:top w:val="nil"/>
              <w:left w:val="nil"/>
              <w:bottom w:val="single" w:sz="4" w:space="0" w:color="auto"/>
              <w:right w:val="single" w:sz="4" w:space="0" w:color="auto"/>
            </w:tcBorders>
            <w:shd w:val="clear" w:color="auto" w:fill="auto"/>
            <w:noWrap/>
            <w:vAlign w:val="bottom"/>
            <w:hideMark/>
          </w:tcPr>
          <w:p w14:paraId="6B65D882"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858.6</w:t>
            </w:r>
          </w:p>
        </w:tc>
        <w:tc>
          <w:tcPr>
            <w:tcW w:w="462" w:type="pct"/>
            <w:tcBorders>
              <w:top w:val="nil"/>
              <w:left w:val="nil"/>
              <w:bottom w:val="single" w:sz="4" w:space="0" w:color="auto"/>
              <w:right w:val="single" w:sz="4" w:space="0" w:color="auto"/>
            </w:tcBorders>
            <w:shd w:val="clear" w:color="auto" w:fill="auto"/>
            <w:noWrap/>
            <w:vAlign w:val="bottom"/>
            <w:hideMark/>
          </w:tcPr>
          <w:p w14:paraId="3D2FF5C1"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858.6</w:t>
            </w:r>
          </w:p>
        </w:tc>
      </w:tr>
      <w:tr w:rsidR="00245464" w:rsidRPr="006A1C90" w14:paraId="00546888" w14:textId="77777777" w:rsidTr="00A91A48">
        <w:trPr>
          <w:trHeight w:val="300"/>
        </w:trPr>
        <w:tc>
          <w:tcPr>
            <w:tcW w:w="731" w:type="pct"/>
            <w:tcBorders>
              <w:top w:val="nil"/>
              <w:left w:val="single" w:sz="4" w:space="0" w:color="auto"/>
              <w:bottom w:val="single" w:sz="4" w:space="0" w:color="auto"/>
              <w:right w:val="single" w:sz="4" w:space="0" w:color="auto"/>
            </w:tcBorders>
            <w:shd w:val="clear" w:color="auto" w:fill="auto"/>
            <w:noWrap/>
            <w:vAlign w:val="bottom"/>
            <w:hideMark/>
          </w:tcPr>
          <w:p w14:paraId="66D17697"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Total</w:t>
            </w:r>
          </w:p>
        </w:tc>
        <w:tc>
          <w:tcPr>
            <w:tcW w:w="588" w:type="pct"/>
            <w:tcBorders>
              <w:top w:val="nil"/>
              <w:left w:val="nil"/>
              <w:bottom w:val="single" w:sz="4" w:space="0" w:color="auto"/>
              <w:right w:val="single" w:sz="4" w:space="0" w:color="auto"/>
            </w:tcBorders>
            <w:shd w:val="clear" w:color="auto" w:fill="auto"/>
            <w:noWrap/>
            <w:vAlign w:val="bottom"/>
            <w:hideMark/>
          </w:tcPr>
          <w:p w14:paraId="0CBF76F8"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550</w:t>
            </w:r>
          </w:p>
        </w:tc>
        <w:tc>
          <w:tcPr>
            <w:tcW w:w="366" w:type="pct"/>
            <w:tcBorders>
              <w:top w:val="nil"/>
              <w:left w:val="nil"/>
              <w:bottom w:val="single" w:sz="4" w:space="0" w:color="auto"/>
              <w:right w:val="single" w:sz="4" w:space="0" w:color="auto"/>
            </w:tcBorders>
            <w:shd w:val="clear" w:color="auto" w:fill="auto"/>
            <w:noWrap/>
            <w:vAlign w:val="bottom"/>
            <w:hideMark/>
          </w:tcPr>
          <w:p w14:paraId="2843C217"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4A79B676"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3A5998FF"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1A4F3718"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669.7</w:t>
            </w:r>
          </w:p>
        </w:tc>
        <w:tc>
          <w:tcPr>
            <w:tcW w:w="439" w:type="pct"/>
            <w:tcBorders>
              <w:top w:val="nil"/>
              <w:left w:val="nil"/>
              <w:bottom w:val="single" w:sz="4" w:space="0" w:color="auto"/>
              <w:right w:val="single" w:sz="4" w:space="0" w:color="auto"/>
            </w:tcBorders>
            <w:shd w:val="clear" w:color="auto" w:fill="auto"/>
            <w:noWrap/>
            <w:vAlign w:val="bottom"/>
            <w:hideMark/>
          </w:tcPr>
          <w:p w14:paraId="6C015FFE"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1528.3</w:t>
            </w:r>
          </w:p>
        </w:tc>
        <w:tc>
          <w:tcPr>
            <w:tcW w:w="440" w:type="pct"/>
            <w:tcBorders>
              <w:top w:val="nil"/>
              <w:left w:val="nil"/>
              <w:bottom w:val="single" w:sz="4" w:space="0" w:color="auto"/>
              <w:right w:val="single" w:sz="4" w:space="0" w:color="auto"/>
            </w:tcBorders>
            <w:shd w:val="clear" w:color="auto" w:fill="auto"/>
            <w:noWrap/>
            <w:vAlign w:val="bottom"/>
            <w:hideMark/>
          </w:tcPr>
          <w:p w14:paraId="0BCC9008"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1528.3</w:t>
            </w:r>
          </w:p>
        </w:tc>
        <w:tc>
          <w:tcPr>
            <w:tcW w:w="438" w:type="pct"/>
            <w:tcBorders>
              <w:top w:val="nil"/>
              <w:left w:val="nil"/>
              <w:bottom w:val="single" w:sz="4" w:space="0" w:color="auto"/>
              <w:right w:val="single" w:sz="4" w:space="0" w:color="auto"/>
            </w:tcBorders>
            <w:shd w:val="clear" w:color="auto" w:fill="auto"/>
            <w:noWrap/>
            <w:vAlign w:val="bottom"/>
            <w:hideMark/>
          </w:tcPr>
          <w:p w14:paraId="41BE4704"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1528.3</w:t>
            </w:r>
          </w:p>
        </w:tc>
        <w:tc>
          <w:tcPr>
            <w:tcW w:w="439" w:type="pct"/>
            <w:tcBorders>
              <w:top w:val="nil"/>
              <w:left w:val="nil"/>
              <w:bottom w:val="single" w:sz="4" w:space="0" w:color="auto"/>
              <w:right w:val="single" w:sz="4" w:space="0" w:color="auto"/>
            </w:tcBorders>
            <w:shd w:val="clear" w:color="auto" w:fill="auto"/>
            <w:noWrap/>
            <w:vAlign w:val="bottom"/>
            <w:hideMark/>
          </w:tcPr>
          <w:p w14:paraId="3BB74290"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1528.3</w:t>
            </w:r>
          </w:p>
        </w:tc>
        <w:tc>
          <w:tcPr>
            <w:tcW w:w="462" w:type="pct"/>
            <w:tcBorders>
              <w:top w:val="nil"/>
              <w:left w:val="nil"/>
              <w:bottom w:val="single" w:sz="4" w:space="0" w:color="auto"/>
              <w:right w:val="single" w:sz="4" w:space="0" w:color="auto"/>
            </w:tcBorders>
            <w:shd w:val="clear" w:color="auto" w:fill="auto"/>
            <w:noWrap/>
            <w:vAlign w:val="bottom"/>
            <w:hideMark/>
          </w:tcPr>
          <w:p w14:paraId="00816D8D" w14:textId="77777777" w:rsidR="00245464" w:rsidRPr="006A1C90" w:rsidRDefault="00245464" w:rsidP="00245464">
            <w:pPr>
              <w:spacing w:after="0" w:line="240" w:lineRule="auto"/>
              <w:jc w:val="both"/>
              <w:rPr>
                <w:rFonts w:ascii="Times New Roman" w:eastAsia="Times New Roman" w:hAnsi="Times New Roman" w:cs="Times New Roman"/>
                <w:color w:val="000000" w:themeColor="text1"/>
                <w:sz w:val="20"/>
                <w:szCs w:val="20"/>
              </w:rPr>
            </w:pPr>
            <w:r w:rsidRPr="006A1C90">
              <w:rPr>
                <w:rFonts w:ascii="Times New Roman" w:eastAsia="Times New Roman" w:hAnsi="Times New Roman" w:cs="Times New Roman"/>
                <w:color w:val="000000" w:themeColor="text1"/>
                <w:sz w:val="20"/>
                <w:szCs w:val="20"/>
              </w:rPr>
              <w:t>1528.3</w:t>
            </w:r>
          </w:p>
        </w:tc>
      </w:tr>
    </w:tbl>
    <w:p w14:paraId="413AE6A0" w14:textId="77777777" w:rsidR="00245464" w:rsidRPr="00191ACB" w:rsidRDefault="00245464" w:rsidP="00245464">
      <w:pPr>
        <w:jc w:val="both"/>
        <w:rPr>
          <w:rFonts w:ascii="Times New Roman" w:eastAsia="Calibri" w:hAnsi="Times New Roman" w:cs="Times New Roman"/>
          <w:i/>
          <w:color w:val="000000" w:themeColor="text1"/>
          <w:sz w:val="24"/>
          <w:szCs w:val="24"/>
        </w:rPr>
      </w:pPr>
      <w:r w:rsidRPr="00191ACB">
        <w:rPr>
          <w:rFonts w:ascii="Times New Roman" w:eastAsia="Calibri" w:hAnsi="Times New Roman" w:cs="Times New Roman"/>
          <w:i/>
          <w:color w:val="000000" w:themeColor="text1"/>
          <w:sz w:val="24"/>
          <w:szCs w:val="24"/>
        </w:rPr>
        <w:t>Source: ZESCO and Ministry of Energy and own analysis</w:t>
      </w:r>
    </w:p>
    <w:p w14:paraId="0BAE5677" w14:textId="33270BD9" w:rsidR="00C67BFC" w:rsidRPr="00191ACB" w:rsidRDefault="00C67BFC"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Details on mitigation actions on wind power are provided in table </w:t>
      </w:r>
      <w:r w:rsidR="00501324" w:rsidRPr="00191ACB">
        <w:rPr>
          <w:rFonts w:ascii="Times New Roman" w:eastAsia="Calibri" w:hAnsi="Times New Roman" w:cs="Times New Roman"/>
          <w:color w:val="000000" w:themeColor="text1"/>
          <w:sz w:val="24"/>
          <w:szCs w:val="24"/>
        </w:rPr>
        <w:t>4.27</w:t>
      </w:r>
      <w:r w:rsidRPr="00191ACB">
        <w:rPr>
          <w:rFonts w:ascii="Times New Roman" w:eastAsia="Calibri" w:hAnsi="Times New Roman" w:cs="Times New Roman"/>
          <w:color w:val="000000" w:themeColor="text1"/>
          <w:sz w:val="24"/>
          <w:szCs w:val="24"/>
        </w:rPr>
        <w:t>.</w:t>
      </w:r>
    </w:p>
    <w:p w14:paraId="39AAD9ED" w14:textId="77777777" w:rsidR="00557B1F" w:rsidRPr="00191ACB" w:rsidRDefault="00557B1F" w:rsidP="00C67BFC">
      <w:pPr>
        <w:rPr>
          <w:rFonts w:ascii="Times New Roman" w:eastAsia="Calibri" w:hAnsi="Times New Roman" w:cs="Times New Roman"/>
          <w:color w:val="000000" w:themeColor="text1"/>
          <w:sz w:val="24"/>
          <w:szCs w:val="24"/>
        </w:rPr>
        <w:sectPr w:rsidR="00557B1F" w:rsidRPr="00191ACB" w:rsidSect="00557B1F">
          <w:pgSz w:w="11909" w:h="16834" w:code="9"/>
          <w:pgMar w:top="862" w:right="1440" w:bottom="862" w:left="720" w:header="720" w:footer="720" w:gutter="0"/>
          <w:cols w:space="720"/>
          <w:docGrid w:linePitch="360"/>
        </w:sectPr>
      </w:pPr>
    </w:p>
    <w:p w14:paraId="595CE592" w14:textId="5BDFF445" w:rsidR="00557B1F" w:rsidRPr="00191ACB" w:rsidRDefault="00557B1F" w:rsidP="00C67BFC">
      <w:pPr>
        <w:rPr>
          <w:rFonts w:ascii="Times New Roman" w:eastAsia="Calibri" w:hAnsi="Times New Roman" w:cs="Times New Roman"/>
          <w:color w:val="000000" w:themeColor="text1"/>
          <w:sz w:val="24"/>
          <w:szCs w:val="24"/>
        </w:rPr>
      </w:pPr>
    </w:p>
    <w:p w14:paraId="3A37C223" w14:textId="48A57BCA" w:rsidR="00245464" w:rsidRPr="00191ACB" w:rsidRDefault="00C319A4" w:rsidP="00C319A4">
      <w:pPr>
        <w:pStyle w:val="Caption"/>
        <w:rPr>
          <w:rFonts w:eastAsia="Calibri"/>
          <w:color w:val="000000" w:themeColor="text1"/>
          <w:sz w:val="24"/>
          <w:szCs w:val="24"/>
        </w:rPr>
      </w:pPr>
      <w:bookmarkStart w:id="404" w:name="_Toc56583803"/>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27</w:t>
      </w:r>
      <w:r w:rsidR="00875942">
        <w:rPr>
          <w:sz w:val="24"/>
          <w:szCs w:val="24"/>
        </w:rPr>
        <w:fldChar w:fldCharType="end"/>
      </w:r>
      <w:r w:rsidRPr="00191ACB">
        <w:rPr>
          <w:sz w:val="24"/>
          <w:szCs w:val="24"/>
        </w:rPr>
        <w:t>:Mitigation action for Wind Power</w:t>
      </w:r>
      <w:bookmarkEnd w:id="404"/>
    </w:p>
    <w:tbl>
      <w:tblPr>
        <w:tblStyle w:val="GridTable4-Accent11"/>
        <w:tblW w:w="5000" w:type="pct"/>
        <w:tblLook w:val="04A0" w:firstRow="1" w:lastRow="0" w:firstColumn="1" w:lastColumn="0" w:noHBand="0" w:noVBand="1"/>
      </w:tblPr>
      <w:tblGrid>
        <w:gridCol w:w="1721"/>
        <w:gridCol w:w="2162"/>
        <w:gridCol w:w="2498"/>
        <w:gridCol w:w="1552"/>
        <w:gridCol w:w="1552"/>
        <w:gridCol w:w="2232"/>
        <w:gridCol w:w="1438"/>
        <w:gridCol w:w="1945"/>
      </w:tblGrid>
      <w:tr w:rsidR="00245464" w:rsidRPr="00191ACB" w14:paraId="0C7D1A0F" w14:textId="77777777" w:rsidTr="00557B1F">
        <w:trPr>
          <w:cnfStyle w:val="100000000000" w:firstRow="1" w:lastRow="0" w:firstColumn="0" w:lastColumn="0" w:oddVBand="0" w:evenVBand="0" w:oddHBand="0"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570" w:type="pct"/>
          </w:tcPr>
          <w:p w14:paraId="081F8752"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716" w:type="pct"/>
          </w:tcPr>
          <w:p w14:paraId="3C96F6A8"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827" w:type="pct"/>
          </w:tcPr>
          <w:p w14:paraId="068168C5"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514" w:type="pct"/>
          </w:tcPr>
          <w:p w14:paraId="2D9D09F6"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514" w:type="pct"/>
          </w:tcPr>
          <w:p w14:paraId="7C93E546"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tc>
        <w:tc>
          <w:tcPr>
            <w:tcW w:w="739" w:type="pct"/>
          </w:tcPr>
          <w:p w14:paraId="50CFB680"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476" w:type="pct"/>
          </w:tcPr>
          <w:p w14:paraId="4B9920F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val="x-none" w:eastAsia="x-none"/>
              </w:rPr>
              <w:t xml:space="preserve">Estimated emission reduction </w:t>
            </w:r>
            <w:r w:rsidRPr="00191ACB">
              <w:rPr>
                <w:rFonts w:ascii="Times New Roman" w:hAnsi="Times New Roman"/>
                <w:color w:val="000000" w:themeColor="text1"/>
                <w:sz w:val="24"/>
                <w:szCs w:val="24"/>
                <w:lang w:eastAsia="x-none"/>
              </w:rPr>
              <w:t>cumulative by 2050 Gg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vertAlign w:val="subscript"/>
                <w:lang w:eastAsia="x-none"/>
              </w:rPr>
              <w:t>eq</w:t>
            </w:r>
          </w:p>
        </w:tc>
        <w:tc>
          <w:tcPr>
            <w:tcW w:w="644" w:type="pct"/>
          </w:tcPr>
          <w:p w14:paraId="4C91B297"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nternational market mechanisms</w:t>
            </w:r>
          </w:p>
        </w:tc>
      </w:tr>
      <w:tr w:rsidR="00245464" w:rsidRPr="00191ACB" w14:paraId="6C3D8414" w14:textId="77777777" w:rsidTr="00557B1F">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570" w:type="pct"/>
          </w:tcPr>
          <w:p w14:paraId="365D64B3"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ZESCO 150 MW</w:t>
            </w:r>
          </w:p>
        </w:tc>
        <w:tc>
          <w:tcPr>
            <w:tcW w:w="716" w:type="pct"/>
          </w:tcPr>
          <w:p w14:paraId="37ED0A2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Electricity generation from wind and connected to the national grid</w:t>
            </w:r>
          </w:p>
        </w:tc>
        <w:tc>
          <w:tcPr>
            <w:tcW w:w="827" w:type="pct"/>
          </w:tcPr>
          <w:p w14:paraId="1BAB8649" w14:textId="6A981638"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Assumed that wind power will be connected to the national grid and thus the baseline is the Southern African Power Pool (SAPP) emissions</w:t>
            </w:r>
            <w:r w:rsidR="00557B1F" w:rsidRPr="00191ACB">
              <w:rPr>
                <w:rFonts w:ascii="Times New Roman" w:hAnsi="Times New Roman"/>
                <w:color w:val="000000" w:themeColor="text1"/>
                <w:sz w:val="24"/>
                <w:szCs w:val="24"/>
              </w:rPr>
              <w:t>.</w:t>
            </w:r>
            <w:r w:rsidRPr="00191ACB">
              <w:rPr>
                <w:rFonts w:ascii="Times New Roman" w:hAnsi="Times New Roman"/>
                <w:color w:val="000000" w:themeColor="text1"/>
                <w:sz w:val="24"/>
                <w:szCs w:val="24"/>
              </w:rPr>
              <w:t xml:space="preserve"> The capacity factor of 0.25 was used, Equations 18 and 19 was used to estimate emissions reductions</w:t>
            </w:r>
          </w:p>
        </w:tc>
        <w:tc>
          <w:tcPr>
            <w:tcW w:w="514" w:type="pct"/>
          </w:tcPr>
          <w:p w14:paraId="1E4B6BA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Units of electricity generated</w:t>
            </w:r>
          </w:p>
        </w:tc>
        <w:tc>
          <w:tcPr>
            <w:tcW w:w="514" w:type="pct"/>
          </w:tcPr>
          <w:p w14:paraId="4E6C891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increase electricity generation capacity and improve energy security</w:t>
            </w:r>
          </w:p>
        </w:tc>
        <w:tc>
          <w:tcPr>
            <w:tcW w:w="739" w:type="pct"/>
          </w:tcPr>
          <w:p w14:paraId="34D3A7B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Design&amp; planning stage</w:t>
            </w:r>
          </w:p>
        </w:tc>
        <w:tc>
          <w:tcPr>
            <w:tcW w:w="476" w:type="pct"/>
          </w:tcPr>
          <w:p w14:paraId="36D532E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669.7</w:t>
            </w:r>
          </w:p>
        </w:tc>
        <w:tc>
          <w:tcPr>
            <w:tcW w:w="644" w:type="pct"/>
          </w:tcPr>
          <w:p w14:paraId="2C0F911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r w:rsidR="00245464" w:rsidRPr="00191ACB" w14:paraId="73B6AB2F" w14:textId="77777777" w:rsidTr="00557B1F">
        <w:trPr>
          <w:trHeight w:val="1487"/>
        </w:trPr>
        <w:tc>
          <w:tcPr>
            <w:cnfStyle w:val="001000000000" w:firstRow="0" w:lastRow="0" w:firstColumn="1" w:lastColumn="0" w:oddVBand="0" w:evenVBand="0" w:oddHBand="0" w:evenHBand="0" w:firstRowFirstColumn="0" w:firstRowLastColumn="0" w:lastRowFirstColumn="0" w:lastRowLastColumn="0"/>
            <w:tcW w:w="570" w:type="pct"/>
          </w:tcPr>
          <w:p w14:paraId="0F00EEFA"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Mpepo power 400 MW </w:t>
            </w:r>
          </w:p>
        </w:tc>
        <w:tc>
          <w:tcPr>
            <w:tcW w:w="716" w:type="pct"/>
          </w:tcPr>
          <w:p w14:paraId="31DC9C1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Electricity generation from wind site to be located in Katete and connected to the national grid</w:t>
            </w:r>
          </w:p>
        </w:tc>
        <w:tc>
          <w:tcPr>
            <w:tcW w:w="827" w:type="pct"/>
          </w:tcPr>
          <w:p w14:paraId="775D5C85" w14:textId="375BEE69"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Baseline is the SAPP grid emissions, The capacity factor of 0.25 was used, Equations 18 and 19 was used to estimate emissions reductions</w:t>
            </w:r>
          </w:p>
        </w:tc>
        <w:tc>
          <w:tcPr>
            <w:tcW w:w="514" w:type="pct"/>
          </w:tcPr>
          <w:p w14:paraId="53B35AAB"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Units of electricity generated</w:t>
            </w:r>
          </w:p>
        </w:tc>
        <w:tc>
          <w:tcPr>
            <w:tcW w:w="514" w:type="pct"/>
          </w:tcPr>
          <w:p w14:paraId="22AA31C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increase electricity generation capacity and improve national energy security</w:t>
            </w:r>
          </w:p>
        </w:tc>
        <w:tc>
          <w:tcPr>
            <w:tcW w:w="739" w:type="pct"/>
          </w:tcPr>
          <w:p w14:paraId="764583F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lang w:eastAsia="x-none"/>
              </w:rPr>
            </w:pPr>
            <w:r w:rsidRPr="00191ACB">
              <w:rPr>
                <w:rFonts w:ascii="Times New Roman" w:hAnsi="Times New Roman"/>
                <w:color w:val="000000" w:themeColor="text1"/>
                <w:sz w:val="24"/>
                <w:szCs w:val="24"/>
                <w:lang w:eastAsia="x-none"/>
              </w:rPr>
              <w:t>Design&amp; planning stage</w:t>
            </w:r>
          </w:p>
        </w:tc>
        <w:tc>
          <w:tcPr>
            <w:tcW w:w="476" w:type="pct"/>
          </w:tcPr>
          <w:p w14:paraId="63E3F27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858.6</w:t>
            </w:r>
          </w:p>
        </w:tc>
        <w:tc>
          <w:tcPr>
            <w:tcW w:w="644" w:type="pct"/>
          </w:tcPr>
          <w:p w14:paraId="3ADAB74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No carbon trading under the project </w:t>
            </w:r>
          </w:p>
        </w:tc>
      </w:tr>
    </w:tbl>
    <w:p w14:paraId="41D21C57" w14:textId="77777777" w:rsidR="00245464" w:rsidRPr="00191ACB" w:rsidRDefault="00245464" w:rsidP="00245464">
      <w:pPr>
        <w:jc w:val="both"/>
        <w:rPr>
          <w:rFonts w:ascii="Times New Roman" w:eastAsia="Calibri" w:hAnsi="Times New Roman" w:cs="Times New Roman"/>
          <w:color w:val="000000" w:themeColor="text1"/>
          <w:sz w:val="24"/>
          <w:szCs w:val="24"/>
        </w:rPr>
        <w:sectPr w:rsidR="00245464" w:rsidRPr="00191ACB" w:rsidSect="00557B1F">
          <w:pgSz w:w="16834" w:h="11909" w:orient="landscape" w:code="9"/>
          <w:pgMar w:top="720" w:right="862" w:bottom="1440" w:left="862" w:header="720" w:footer="720" w:gutter="0"/>
          <w:cols w:space="720"/>
          <w:docGrid w:linePitch="360"/>
        </w:sectPr>
      </w:pPr>
    </w:p>
    <w:p w14:paraId="34960F98" w14:textId="6FE86BBF" w:rsidR="00245464" w:rsidRPr="00191ACB" w:rsidRDefault="00245464" w:rsidP="00D21C5B">
      <w:pPr>
        <w:pStyle w:val="Heading4"/>
        <w:numPr>
          <w:ilvl w:val="3"/>
          <w:numId w:val="36"/>
        </w:numPr>
        <w:ind w:left="851" w:hanging="851"/>
      </w:pPr>
      <w:bookmarkStart w:id="405" w:name="_Toc26264942"/>
      <w:r w:rsidRPr="00191ACB">
        <w:lastRenderedPageBreak/>
        <w:t>Mitigation Actions from Geothermal</w:t>
      </w:r>
      <w:r w:rsidR="003772F2">
        <w:t xml:space="preserve"> P</w:t>
      </w:r>
      <w:r w:rsidRPr="00191ACB">
        <w:t>ower</w:t>
      </w:r>
      <w:bookmarkEnd w:id="405"/>
      <w:r w:rsidRPr="00191ACB">
        <w:t xml:space="preserve">  </w:t>
      </w:r>
    </w:p>
    <w:p w14:paraId="06AA1483" w14:textId="77777777" w:rsidR="00D61D72" w:rsidRDefault="00D61D72" w:rsidP="00245464">
      <w:pPr>
        <w:autoSpaceDE w:val="0"/>
        <w:autoSpaceDN w:val="0"/>
        <w:adjustRightInd w:val="0"/>
        <w:spacing w:after="0" w:line="240" w:lineRule="auto"/>
        <w:jc w:val="both"/>
        <w:rPr>
          <w:rFonts w:ascii="Times New Roman" w:eastAsia="Calibri" w:hAnsi="Times New Roman" w:cs="Times New Roman"/>
          <w:color w:val="000000" w:themeColor="text1"/>
          <w:sz w:val="24"/>
          <w:szCs w:val="24"/>
        </w:rPr>
      </w:pPr>
    </w:p>
    <w:p w14:paraId="7BE119D3" w14:textId="61EAC590" w:rsidR="00245464" w:rsidRPr="00191ACB"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Kalahari Geo-energy Limited, a private firm has been conducting research and exploration activities for geothermal energy in the Zambia. The company has so far identified 80 hot springs and is currently undertaking resource delineation work in the Bweengwa river geothermal resource area south of Lochinvar Park. The potential for electricity generation exist, but the company plans to start with 1 MW installation, h</w:t>
      </w:r>
      <w:r w:rsidRPr="00191ACB">
        <w:rPr>
          <w:rFonts w:ascii="Times New Roman" w:eastAsia="Times New Roman" w:hAnsi="Times New Roman" w:cs="Times New Roman"/>
          <w:color w:val="000000" w:themeColor="text1"/>
          <w:sz w:val="24"/>
          <w:szCs w:val="24"/>
        </w:rPr>
        <w:t>owever, the completion date is not yet certain.</w:t>
      </w:r>
      <w:r w:rsidRPr="00191ACB">
        <w:rPr>
          <w:rFonts w:ascii="Times New Roman" w:eastAsia="Calibri" w:hAnsi="Times New Roman" w:cs="Times New Roman"/>
          <w:color w:val="000000" w:themeColor="text1"/>
          <w:sz w:val="24"/>
          <w:szCs w:val="24"/>
        </w:rPr>
        <w:t xml:space="preserve"> The Scaling-Up Renewable Energy in Low Income Countries is expected to facilitate the development of at least 15 MW</w:t>
      </w:r>
      <w:r w:rsidRPr="00191ACB">
        <w:rPr>
          <w:rFonts w:ascii="Times New Roman" w:eastAsia="Calibri" w:hAnsi="Times New Roman" w:cs="Times New Roman"/>
          <w:color w:val="000000" w:themeColor="text1"/>
          <w:sz w:val="24"/>
          <w:szCs w:val="24"/>
          <w:vertAlign w:val="superscript"/>
        </w:rPr>
        <w:footnoteReference w:id="5"/>
      </w:r>
      <w:r w:rsidRPr="00191ACB">
        <w:rPr>
          <w:rFonts w:ascii="Times New Roman" w:eastAsia="Calibri" w:hAnsi="Times New Roman" w:cs="Times New Roman"/>
          <w:color w:val="000000" w:themeColor="text1"/>
          <w:sz w:val="24"/>
          <w:szCs w:val="24"/>
        </w:rPr>
        <w:t xml:space="preserve"> of utility scale geothermal power and improve access to electricity to all grid connected customers</w:t>
      </w:r>
      <w:r w:rsidRPr="00191ACB">
        <w:rPr>
          <w:rFonts w:ascii="Times New Roman" w:eastAsia="Calibri" w:hAnsi="Times New Roman" w:cs="Times New Roman"/>
          <w:color w:val="000000" w:themeColor="text1"/>
          <w:sz w:val="24"/>
          <w:szCs w:val="24"/>
          <w:vertAlign w:val="superscript"/>
        </w:rPr>
        <w:footnoteReference w:id="6"/>
      </w:r>
      <w:r w:rsidRPr="00191ACB">
        <w:rPr>
          <w:rFonts w:ascii="Times New Roman" w:eastAsia="Calibri" w:hAnsi="Times New Roman" w:cs="Times New Roman"/>
          <w:color w:val="000000" w:themeColor="text1"/>
          <w:sz w:val="24"/>
          <w:szCs w:val="24"/>
        </w:rPr>
        <w:t>. There are also plans to revamp the Kapisya geothermal plant. Completion of the planned 1 MW geothermal power plant by Kalahari will result in projected annual emissions reductions of 8.3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(Table </w:t>
      </w:r>
      <w:r w:rsidR="00C67BFC" w:rsidRPr="00191ACB">
        <w:rPr>
          <w:rFonts w:ascii="Times New Roman" w:eastAsia="Calibri" w:hAnsi="Times New Roman" w:cs="Times New Roman"/>
          <w:color w:val="000000" w:themeColor="text1"/>
          <w:sz w:val="24"/>
          <w:szCs w:val="24"/>
        </w:rPr>
        <w:t>4</w:t>
      </w:r>
      <w:r w:rsidR="005B5FDA" w:rsidRPr="00191ACB">
        <w:rPr>
          <w:rFonts w:ascii="Times New Roman" w:eastAsia="Calibri" w:hAnsi="Times New Roman" w:cs="Times New Roman"/>
          <w:color w:val="000000" w:themeColor="text1"/>
          <w:sz w:val="24"/>
          <w:szCs w:val="24"/>
        </w:rPr>
        <w:t>8</w:t>
      </w:r>
      <w:r w:rsidRPr="00191ACB">
        <w:rPr>
          <w:rFonts w:ascii="Times New Roman" w:eastAsia="Calibri" w:hAnsi="Times New Roman" w:cs="Times New Roman"/>
          <w:color w:val="000000" w:themeColor="text1"/>
          <w:sz w:val="24"/>
          <w:szCs w:val="24"/>
        </w:rPr>
        <w:t>). The capacity factor of 0.8 was assumed for geothermal hydro and was used for calculating annual energy units’ generation with an emission factor of 0.9958 tCO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/MWh adopted from the SAPP regional of operating margin 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for the project electricity system. </w:t>
      </w:r>
    </w:p>
    <w:p w14:paraId="05A8AB2B"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p>
    <w:p w14:paraId="32BB394F" w14:textId="5F2182E4" w:rsidR="00245464" w:rsidRPr="00191ACB" w:rsidRDefault="00CA49AF" w:rsidP="00CA49AF">
      <w:pPr>
        <w:pStyle w:val="Caption"/>
        <w:rPr>
          <w:rFonts w:eastAsia="Calibri"/>
          <w:color w:val="000000" w:themeColor="text1"/>
          <w:sz w:val="24"/>
          <w:szCs w:val="24"/>
        </w:rPr>
      </w:pPr>
      <w:bookmarkStart w:id="406" w:name="_Toc56583804"/>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28</w:t>
      </w:r>
      <w:r w:rsidR="00875942">
        <w:rPr>
          <w:sz w:val="24"/>
          <w:szCs w:val="24"/>
        </w:rPr>
        <w:fldChar w:fldCharType="end"/>
      </w:r>
      <w:r w:rsidRPr="00191ACB">
        <w:rPr>
          <w:sz w:val="24"/>
          <w:szCs w:val="24"/>
        </w:rPr>
        <w:t>:Emission reduction potential for geothermal power generation (Gg CO2 eq.)</w:t>
      </w:r>
      <w:bookmarkEnd w:id="406"/>
    </w:p>
    <w:tbl>
      <w:tblPr>
        <w:tblW w:w="5000" w:type="pct"/>
        <w:tblLayout w:type="fixed"/>
        <w:tblLook w:val="04A0" w:firstRow="1" w:lastRow="0" w:firstColumn="1" w:lastColumn="0" w:noHBand="0" w:noVBand="1"/>
      </w:tblPr>
      <w:tblGrid>
        <w:gridCol w:w="2705"/>
        <w:gridCol w:w="857"/>
        <w:gridCol w:w="855"/>
        <w:gridCol w:w="855"/>
        <w:gridCol w:w="713"/>
        <w:gridCol w:w="715"/>
        <w:gridCol w:w="713"/>
        <w:gridCol w:w="713"/>
        <w:gridCol w:w="713"/>
        <w:gridCol w:w="900"/>
      </w:tblGrid>
      <w:tr w:rsidR="00245464" w:rsidRPr="00191ACB" w14:paraId="19183848" w14:textId="77777777" w:rsidTr="00A91A48">
        <w:trPr>
          <w:trHeight w:val="300"/>
        </w:trPr>
        <w:tc>
          <w:tcPr>
            <w:tcW w:w="138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925760"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Project Description</w:t>
            </w:r>
          </w:p>
        </w:tc>
        <w:tc>
          <w:tcPr>
            <w:tcW w:w="440" w:type="pct"/>
            <w:tcBorders>
              <w:top w:val="single" w:sz="4" w:space="0" w:color="auto"/>
              <w:left w:val="nil"/>
              <w:bottom w:val="single" w:sz="4" w:space="0" w:color="auto"/>
              <w:right w:val="single" w:sz="4" w:space="0" w:color="auto"/>
            </w:tcBorders>
            <w:shd w:val="clear" w:color="auto" w:fill="auto"/>
            <w:noWrap/>
            <w:vAlign w:val="bottom"/>
            <w:hideMark/>
          </w:tcPr>
          <w:p w14:paraId="302EE940"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2010</w:t>
            </w:r>
          </w:p>
        </w:tc>
        <w:tc>
          <w:tcPr>
            <w:tcW w:w="439" w:type="pct"/>
            <w:tcBorders>
              <w:top w:val="single" w:sz="4" w:space="0" w:color="auto"/>
              <w:left w:val="nil"/>
              <w:bottom w:val="single" w:sz="4" w:space="0" w:color="auto"/>
              <w:right w:val="single" w:sz="4" w:space="0" w:color="auto"/>
            </w:tcBorders>
            <w:shd w:val="clear" w:color="auto" w:fill="auto"/>
            <w:noWrap/>
            <w:vAlign w:val="bottom"/>
            <w:hideMark/>
          </w:tcPr>
          <w:p w14:paraId="12B6FAE5"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2015</w:t>
            </w:r>
          </w:p>
        </w:tc>
        <w:tc>
          <w:tcPr>
            <w:tcW w:w="439" w:type="pct"/>
            <w:tcBorders>
              <w:top w:val="single" w:sz="4" w:space="0" w:color="auto"/>
              <w:left w:val="nil"/>
              <w:bottom w:val="single" w:sz="4" w:space="0" w:color="auto"/>
              <w:right w:val="single" w:sz="4" w:space="0" w:color="auto"/>
            </w:tcBorders>
            <w:shd w:val="clear" w:color="auto" w:fill="auto"/>
            <w:noWrap/>
            <w:vAlign w:val="bottom"/>
            <w:hideMark/>
          </w:tcPr>
          <w:p w14:paraId="10C3D0FA"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2020</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4334B99F"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2025</w:t>
            </w:r>
          </w:p>
        </w:tc>
        <w:tc>
          <w:tcPr>
            <w:tcW w:w="367" w:type="pct"/>
            <w:tcBorders>
              <w:top w:val="single" w:sz="4" w:space="0" w:color="auto"/>
              <w:left w:val="nil"/>
              <w:bottom w:val="single" w:sz="4" w:space="0" w:color="auto"/>
              <w:right w:val="single" w:sz="4" w:space="0" w:color="auto"/>
            </w:tcBorders>
            <w:shd w:val="clear" w:color="auto" w:fill="auto"/>
            <w:noWrap/>
            <w:vAlign w:val="bottom"/>
            <w:hideMark/>
          </w:tcPr>
          <w:p w14:paraId="58C1E872"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2030</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21FF3588"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2035</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56B56D42"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2040</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092D686D"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2045</w:t>
            </w:r>
          </w:p>
        </w:tc>
        <w:tc>
          <w:tcPr>
            <w:tcW w:w="462" w:type="pct"/>
            <w:tcBorders>
              <w:top w:val="single" w:sz="4" w:space="0" w:color="auto"/>
              <w:left w:val="nil"/>
              <w:bottom w:val="single" w:sz="4" w:space="0" w:color="auto"/>
              <w:right w:val="single" w:sz="4" w:space="0" w:color="auto"/>
            </w:tcBorders>
            <w:shd w:val="clear" w:color="auto" w:fill="auto"/>
            <w:noWrap/>
            <w:vAlign w:val="bottom"/>
            <w:hideMark/>
          </w:tcPr>
          <w:p w14:paraId="2E0BE335"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2050</w:t>
            </w:r>
          </w:p>
        </w:tc>
      </w:tr>
      <w:tr w:rsidR="00245464" w:rsidRPr="00191ACB" w14:paraId="68114C41" w14:textId="77777777" w:rsidTr="00A91A48">
        <w:trPr>
          <w:trHeight w:val="300"/>
        </w:trPr>
        <w:tc>
          <w:tcPr>
            <w:tcW w:w="1389" w:type="pct"/>
            <w:tcBorders>
              <w:top w:val="nil"/>
              <w:left w:val="single" w:sz="4" w:space="0" w:color="auto"/>
              <w:bottom w:val="single" w:sz="4" w:space="0" w:color="auto"/>
              <w:right w:val="single" w:sz="4" w:space="0" w:color="auto"/>
            </w:tcBorders>
            <w:shd w:val="clear" w:color="auto" w:fill="auto"/>
            <w:noWrap/>
            <w:vAlign w:val="bottom"/>
            <w:hideMark/>
          </w:tcPr>
          <w:p w14:paraId="5133D555"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1 MW under Kalahari geothermal </w:t>
            </w:r>
          </w:p>
        </w:tc>
        <w:tc>
          <w:tcPr>
            <w:tcW w:w="440" w:type="pct"/>
            <w:tcBorders>
              <w:top w:val="nil"/>
              <w:left w:val="nil"/>
              <w:bottom w:val="single" w:sz="4" w:space="0" w:color="auto"/>
              <w:right w:val="single" w:sz="4" w:space="0" w:color="auto"/>
            </w:tcBorders>
            <w:shd w:val="clear" w:color="auto" w:fill="auto"/>
            <w:noWrap/>
            <w:vAlign w:val="bottom"/>
            <w:hideMark/>
          </w:tcPr>
          <w:p w14:paraId="4C8BFA0A"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w:t>
            </w:r>
          </w:p>
        </w:tc>
        <w:tc>
          <w:tcPr>
            <w:tcW w:w="439" w:type="pct"/>
            <w:tcBorders>
              <w:top w:val="nil"/>
              <w:left w:val="nil"/>
              <w:bottom w:val="single" w:sz="4" w:space="0" w:color="auto"/>
              <w:right w:val="single" w:sz="4" w:space="0" w:color="auto"/>
            </w:tcBorders>
            <w:shd w:val="clear" w:color="auto" w:fill="auto"/>
            <w:noWrap/>
            <w:vAlign w:val="bottom"/>
            <w:hideMark/>
          </w:tcPr>
          <w:p w14:paraId="31043B82"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w:t>
            </w:r>
          </w:p>
        </w:tc>
        <w:tc>
          <w:tcPr>
            <w:tcW w:w="439" w:type="pct"/>
            <w:tcBorders>
              <w:top w:val="nil"/>
              <w:left w:val="nil"/>
              <w:bottom w:val="single" w:sz="4" w:space="0" w:color="auto"/>
              <w:right w:val="single" w:sz="4" w:space="0" w:color="auto"/>
            </w:tcBorders>
            <w:shd w:val="clear" w:color="auto" w:fill="auto"/>
            <w:noWrap/>
            <w:vAlign w:val="bottom"/>
            <w:hideMark/>
          </w:tcPr>
          <w:p w14:paraId="0A6BB6F5"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w:t>
            </w:r>
          </w:p>
        </w:tc>
        <w:tc>
          <w:tcPr>
            <w:tcW w:w="366" w:type="pct"/>
            <w:tcBorders>
              <w:top w:val="nil"/>
              <w:left w:val="nil"/>
              <w:bottom w:val="single" w:sz="4" w:space="0" w:color="auto"/>
              <w:right w:val="single" w:sz="4" w:space="0" w:color="auto"/>
            </w:tcBorders>
            <w:shd w:val="clear" w:color="auto" w:fill="auto"/>
            <w:noWrap/>
            <w:vAlign w:val="bottom"/>
            <w:hideMark/>
          </w:tcPr>
          <w:p w14:paraId="6156887A"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8.3</w:t>
            </w:r>
          </w:p>
        </w:tc>
        <w:tc>
          <w:tcPr>
            <w:tcW w:w="367" w:type="pct"/>
            <w:tcBorders>
              <w:top w:val="nil"/>
              <w:left w:val="nil"/>
              <w:bottom w:val="single" w:sz="4" w:space="0" w:color="auto"/>
              <w:right w:val="single" w:sz="4" w:space="0" w:color="auto"/>
            </w:tcBorders>
            <w:shd w:val="clear" w:color="auto" w:fill="auto"/>
            <w:noWrap/>
            <w:vAlign w:val="bottom"/>
            <w:hideMark/>
          </w:tcPr>
          <w:p w14:paraId="4FBEA85B"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8.3</w:t>
            </w:r>
          </w:p>
        </w:tc>
        <w:tc>
          <w:tcPr>
            <w:tcW w:w="366" w:type="pct"/>
            <w:tcBorders>
              <w:top w:val="nil"/>
              <w:left w:val="nil"/>
              <w:bottom w:val="single" w:sz="4" w:space="0" w:color="auto"/>
              <w:right w:val="single" w:sz="4" w:space="0" w:color="auto"/>
            </w:tcBorders>
            <w:shd w:val="clear" w:color="auto" w:fill="auto"/>
            <w:noWrap/>
            <w:vAlign w:val="bottom"/>
            <w:hideMark/>
          </w:tcPr>
          <w:p w14:paraId="604D8472"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8.3</w:t>
            </w:r>
          </w:p>
        </w:tc>
        <w:tc>
          <w:tcPr>
            <w:tcW w:w="366" w:type="pct"/>
            <w:tcBorders>
              <w:top w:val="nil"/>
              <w:left w:val="nil"/>
              <w:bottom w:val="single" w:sz="4" w:space="0" w:color="auto"/>
              <w:right w:val="single" w:sz="4" w:space="0" w:color="auto"/>
            </w:tcBorders>
            <w:shd w:val="clear" w:color="auto" w:fill="auto"/>
            <w:noWrap/>
            <w:vAlign w:val="bottom"/>
            <w:hideMark/>
          </w:tcPr>
          <w:p w14:paraId="18DEFE01"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8.3</w:t>
            </w:r>
          </w:p>
        </w:tc>
        <w:tc>
          <w:tcPr>
            <w:tcW w:w="366" w:type="pct"/>
            <w:tcBorders>
              <w:top w:val="nil"/>
              <w:left w:val="nil"/>
              <w:bottom w:val="single" w:sz="4" w:space="0" w:color="auto"/>
              <w:right w:val="single" w:sz="4" w:space="0" w:color="auto"/>
            </w:tcBorders>
            <w:shd w:val="clear" w:color="auto" w:fill="auto"/>
            <w:noWrap/>
            <w:vAlign w:val="bottom"/>
            <w:hideMark/>
          </w:tcPr>
          <w:p w14:paraId="3DC3381E"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8.3</w:t>
            </w:r>
          </w:p>
        </w:tc>
        <w:tc>
          <w:tcPr>
            <w:tcW w:w="462" w:type="pct"/>
            <w:tcBorders>
              <w:top w:val="nil"/>
              <w:left w:val="nil"/>
              <w:bottom w:val="single" w:sz="4" w:space="0" w:color="auto"/>
              <w:right w:val="single" w:sz="4" w:space="0" w:color="auto"/>
            </w:tcBorders>
            <w:shd w:val="clear" w:color="auto" w:fill="auto"/>
            <w:noWrap/>
            <w:vAlign w:val="bottom"/>
            <w:hideMark/>
          </w:tcPr>
          <w:p w14:paraId="054CA2E1"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8.3</w:t>
            </w:r>
          </w:p>
        </w:tc>
      </w:tr>
    </w:tbl>
    <w:p w14:paraId="7AA7547E" w14:textId="77777777" w:rsidR="00245464" w:rsidRPr="00191ACB" w:rsidRDefault="00245464" w:rsidP="00245464">
      <w:pPr>
        <w:autoSpaceDE w:val="0"/>
        <w:autoSpaceDN w:val="0"/>
        <w:adjustRightInd w:val="0"/>
        <w:spacing w:after="0" w:line="240" w:lineRule="auto"/>
        <w:jc w:val="both"/>
        <w:rPr>
          <w:rFonts w:ascii="Times New Roman" w:eastAsia="Calibri" w:hAnsi="Times New Roman" w:cs="Times New Roman"/>
          <w:i/>
          <w:color w:val="000000" w:themeColor="text1"/>
          <w:sz w:val="24"/>
          <w:szCs w:val="24"/>
        </w:rPr>
      </w:pPr>
      <w:r w:rsidRPr="00191ACB">
        <w:rPr>
          <w:rFonts w:ascii="Times New Roman" w:eastAsia="Calibri" w:hAnsi="Times New Roman" w:cs="Times New Roman"/>
          <w:i/>
          <w:color w:val="000000" w:themeColor="text1"/>
          <w:sz w:val="24"/>
          <w:szCs w:val="24"/>
        </w:rPr>
        <w:t>Source: Ministry of Energy and own analysis</w:t>
      </w:r>
    </w:p>
    <w:p w14:paraId="006161C9" w14:textId="77777777" w:rsidR="00C67BFC" w:rsidRPr="00191ACB" w:rsidRDefault="00C67BFC" w:rsidP="00C67BFC">
      <w:pPr>
        <w:rPr>
          <w:rFonts w:ascii="Times New Roman" w:eastAsia="Calibri" w:hAnsi="Times New Roman" w:cs="Times New Roman"/>
          <w:color w:val="000000" w:themeColor="text1"/>
          <w:sz w:val="24"/>
          <w:szCs w:val="24"/>
        </w:rPr>
      </w:pPr>
    </w:p>
    <w:p w14:paraId="32F100CF" w14:textId="212DBD6B" w:rsidR="00C67BFC" w:rsidRPr="00191ACB" w:rsidRDefault="00C67BFC"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Details on mitigation actions on Geothermal are provided in table </w:t>
      </w:r>
      <w:r w:rsidR="00501324" w:rsidRPr="00191ACB">
        <w:rPr>
          <w:rFonts w:ascii="Times New Roman" w:eastAsia="Calibri" w:hAnsi="Times New Roman" w:cs="Times New Roman"/>
          <w:color w:val="000000" w:themeColor="text1"/>
          <w:sz w:val="24"/>
          <w:szCs w:val="24"/>
        </w:rPr>
        <w:t>2.29</w:t>
      </w:r>
      <w:r w:rsidRPr="00191ACB">
        <w:rPr>
          <w:rFonts w:ascii="Times New Roman" w:eastAsia="Calibri" w:hAnsi="Times New Roman" w:cs="Times New Roman"/>
          <w:color w:val="000000" w:themeColor="text1"/>
          <w:sz w:val="24"/>
          <w:szCs w:val="24"/>
        </w:rPr>
        <w:t>.</w:t>
      </w:r>
    </w:p>
    <w:p w14:paraId="0FB42802" w14:textId="77777777" w:rsidR="00557B1F" w:rsidRPr="00191ACB" w:rsidRDefault="00557B1F" w:rsidP="00245464">
      <w:pPr>
        <w:spacing w:after="0" w:line="240" w:lineRule="auto"/>
        <w:rPr>
          <w:rFonts w:ascii="Times New Roman" w:eastAsia="Calibri" w:hAnsi="Times New Roman" w:cs="Times New Roman"/>
          <w:color w:val="000000" w:themeColor="text1"/>
          <w:sz w:val="24"/>
          <w:szCs w:val="24"/>
          <w:highlight w:val="yellow"/>
        </w:rPr>
        <w:sectPr w:rsidR="00557B1F" w:rsidRPr="00191ACB" w:rsidSect="00557B1F">
          <w:pgSz w:w="11909" w:h="16834" w:code="9"/>
          <w:pgMar w:top="862" w:right="1440" w:bottom="862" w:left="720" w:header="720" w:footer="720" w:gutter="0"/>
          <w:cols w:space="720"/>
          <w:docGrid w:linePitch="360"/>
        </w:sectPr>
      </w:pPr>
    </w:p>
    <w:p w14:paraId="62B8E628" w14:textId="1A5E8432" w:rsidR="00245464" w:rsidRPr="00191ACB" w:rsidRDefault="00CA49AF" w:rsidP="00CA49AF">
      <w:pPr>
        <w:pStyle w:val="Caption"/>
        <w:rPr>
          <w:rFonts w:eastAsia="Calibri"/>
          <w:color w:val="000000" w:themeColor="text1"/>
          <w:sz w:val="24"/>
          <w:szCs w:val="24"/>
        </w:rPr>
      </w:pPr>
      <w:bookmarkStart w:id="407" w:name="_Toc56583805"/>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29</w:t>
      </w:r>
      <w:r w:rsidR="00875942">
        <w:rPr>
          <w:sz w:val="24"/>
          <w:szCs w:val="24"/>
        </w:rPr>
        <w:fldChar w:fldCharType="end"/>
      </w:r>
      <w:r w:rsidRPr="00191ACB">
        <w:rPr>
          <w:sz w:val="24"/>
          <w:szCs w:val="24"/>
        </w:rPr>
        <w:t>:Mitigation action for Geothermal power</w:t>
      </w:r>
      <w:bookmarkEnd w:id="407"/>
    </w:p>
    <w:tbl>
      <w:tblPr>
        <w:tblStyle w:val="GridTable4-Accent11"/>
        <w:tblW w:w="5091" w:type="pct"/>
        <w:tblLook w:val="04A0" w:firstRow="1" w:lastRow="0" w:firstColumn="1" w:lastColumn="0" w:noHBand="0" w:noVBand="1"/>
      </w:tblPr>
      <w:tblGrid>
        <w:gridCol w:w="1752"/>
        <w:gridCol w:w="2202"/>
        <w:gridCol w:w="2543"/>
        <w:gridCol w:w="1581"/>
        <w:gridCol w:w="1581"/>
        <w:gridCol w:w="2272"/>
        <w:gridCol w:w="1464"/>
        <w:gridCol w:w="1980"/>
      </w:tblGrid>
      <w:tr w:rsidR="00245464" w:rsidRPr="00191ACB" w14:paraId="3BCAE96D" w14:textId="77777777" w:rsidTr="00A91A48">
        <w:trPr>
          <w:cnfStyle w:val="100000000000" w:firstRow="1" w:lastRow="0" w:firstColumn="0" w:lastColumn="0" w:oddVBand="0" w:evenVBand="0" w:oddHBand="0"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570" w:type="pct"/>
          </w:tcPr>
          <w:p w14:paraId="6A627667"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716" w:type="pct"/>
          </w:tcPr>
          <w:p w14:paraId="5E65408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827" w:type="pct"/>
          </w:tcPr>
          <w:p w14:paraId="6D689510"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514" w:type="pct"/>
          </w:tcPr>
          <w:p w14:paraId="602B7ED9"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514" w:type="pct"/>
          </w:tcPr>
          <w:p w14:paraId="7FAE245E"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tc>
        <w:tc>
          <w:tcPr>
            <w:tcW w:w="739" w:type="pct"/>
          </w:tcPr>
          <w:p w14:paraId="56B62CAC"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476" w:type="pct"/>
          </w:tcPr>
          <w:p w14:paraId="25DCAC83"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val="x-none" w:eastAsia="x-none"/>
              </w:rPr>
              <w:t xml:space="preserve">Estimated emission reduction </w:t>
            </w:r>
            <w:r w:rsidRPr="00191ACB">
              <w:rPr>
                <w:rFonts w:ascii="Times New Roman" w:hAnsi="Times New Roman"/>
                <w:color w:val="000000" w:themeColor="text1"/>
                <w:sz w:val="24"/>
                <w:szCs w:val="24"/>
                <w:lang w:eastAsia="x-none"/>
              </w:rPr>
              <w:t>cumulative by 2050 Gg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vertAlign w:val="subscript"/>
                <w:lang w:eastAsia="x-none"/>
              </w:rPr>
              <w:t>eq</w:t>
            </w:r>
          </w:p>
        </w:tc>
        <w:tc>
          <w:tcPr>
            <w:tcW w:w="644" w:type="pct"/>
          </w:tcPr>
          <w:p w14:paraId="1DD2D1E4"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nternational market mechanisms</w:t>
            </w:r>
          </w:p>
        </w:tc>
      </w:tr>
      <w:tr w:rsidR="00245464" w:rsidRPr="00191ACB" w14:paraId="27EFC108" w14:textId="77777777" w:rsidTr="00A91A48">
        <w:trPr>
          <w:cnfStyle w:val="000000100000" w:firstRow="0" w:lastRow="0" w:firstColumn="0" w:lastColumn="0" w:oddVBand="0" w:evenVBand="0" w:oddHBand="1" w:evenHBand="0" w:firstRowFirstColumn="0" w:firstRowLastColumn="0" w:lastRowFirstColumn="0" w:lastRowLastColumn="0"/>
          <w:trHeight w:val="406"/>
        </w:trPr>
        <w:tc>
          <w:tcPr>
            <w:cnfStyle w:val="001000000000" w:firstRow="0" w:lastRow="0" w:firstColumn="1" w:lastColumn="0" w:oddVBand="0" w:evenVBand="0" w:oddHBand="0" w:evenHBand="0" w:firstRowFirstColumn="0" w:firstRowLastColumn="0" w:lastRowFirstColumn="0" w:lastRowLastColumn="0"/>
            <w:tcW w:w="570" w:type="pct"/>
          </w:tcPr>
          <w:p w14:paraId="7269CD04"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MW under Kalahari geothermal</w:t>
            </w:r>
          </w:p>
        </w:tc>
        <w:tc>
          <w:tcPr>
            <w:tcW w:w="716" w:type="pct"/>
          </w:tcPr>
          <w:p w14:paraId="5FEB0B2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Resource delineation has been undertaken around Bweengwa River Geothermal resource area (south of Lochinvar Park).</w:t>
            </w:r>
          </w:p>
        </w:tc>
        <w:tc>
          <w:tcPr>
            <w:tcW w:w="827" w:type="pct"/>
          </w:tcPr>
          <w:p w14:paraId="571815B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Assumed power plant will be connected to national grid. </w:t>
            </w:r>
            <w:r w:rsidRPr="00191ACB">
              <w:rPr>
                <w:rFonts w:ascii="Times New Roman" w:hAnsi="Times New Roman"/>
                <w:color w:val="000000" w:themeColor="text1"/>
                <w:sz w:val="24"/>
                <w:szCs w:val="24"/>
              </w:rPr>
              <w:t>capacity factor of 0.8 was assumed for geothermal. Algorithm in equation 20 and 21 was used to estimate emissions reduction</w:t>
            </w:r>
          </w:p>
        </w:tc>
        <w:tc>
          <w:tcPr>
            <w:tcW w:w="514" w:type="pct"/>
          </w:tcPr>
          <w:p w14:paraId="5205BD95"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Units of electricity generated</w:t>
            </w:r>
          </w:p>
        </w:tc>
        <w:tc>
          <w:tcPr>
            <w:tcW w:w="514" w:type="pct"/>
          </w:tcPr>
          <w:p w14:paraId="4146EE7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increase electricity generation capacity and improve national energy security</w:t>
            </w:r>
          </w:p>
        </w:tc>
        <w:tc>
          <w:tcPr>
            <w:tcW w:w="739" w:type="pct"/>
          </w:tcPr>
          <w:p w14:paraId="59385128" w14:textId="53235D3D" w:rsidR="00245464" w:rsidRPr="00191ACB" w:rsidRDefault="00C739FE"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On-going</w:t>
            </w:r>
          </w:p>
        </w:tc>
        <w:tc>
          <w:tcPr>
            <w:tcW w:w="476" w:type="pct"/>
          </w:tcPr>
          <w:p w14:paraId="608E4F4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8.3</w:t>
            </w:r>
          </w:p>
        </w:tc>
        <w:tc>
          <w:tcPr>
            <w:tcW w:w="644" w:type="pct"/>
          </w:tcPr>
          <w:p w14:paraId="4E838E1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No carbon trading under the project</w:t>
            </w:r>
          </w:p>
        </w:tc>
      </w:tr>
    </w:tbl>
    <w:p w14:paraId="33CD2939" w14:textId="77777777" w:rsidR="00245464" w:rsidRPr="00191ACB" w:rsidRDefault="00245464" w:rsidP="00245464">
      <w:pPr>
        <w:spacing w:after="0" w:line="240" w:lineRule="auto"/>
        <w:ind w:left="720"/>
        <w:jc w:val="both"/>
        <w:rPr>
          <w:rFonts w:ascii="Times New Roman" w:eastAsia="Times New Roman" w:hAnsi="Times New Roman" w:cs="Times New Roman"/>
          <w:color w:val="000000" w:themeColor="text1"/>
          <w:sz w:val="24"/>
          <w:szCs w:val="24"/>
          <w:lang w:val="x-none" w:eastAsia="x-none"/>
        </w:rPr>
      </w:pPr>
    </w:p>
    <w:p w14:paraId="60B336F6" w14:textId="77777777" w:rsidR="00245464" w:rsidRPr="00191ACB" w:rsidRDefault="00245464" w:rsidP="00245464">
      <w:pPr>
        <w:spacing w:after="0" w:line="240" w:lineRule="auto"/>
        <w:ind w:left="720"/>
        <w:jc w:val="both"/>
        <w:rPr>
          <w:rFonts w:ascii="Times New Roman" w:eastAsia="Times New Roman" w:hAnsi="Times New Roman" w:cs="Times New Roman"/>
          <w:color w:val="000000" w:themeColor="text1"/>
          <w:sz w:val="24"/>
          <w:szCs w:val="24"/>
          <w:lang w:val="x-none" w:eastAsia="x-none"/>
        </w:rPr>
      </w:pPr>
    </w:p>
    <w:p w14:paraId="5650719A" w14:textId="45E187FB" w:rsidR="00245464" w:rsidRPr="00191ACB" w:rsidRDefault="00245464" w:rsidP="00D21C5B">
      <w:pPr>
        <w:pStyle w:val="Heading4"/>
        <w:numPr>
          <w:ilvl w:val="3"/>
          <w:numId w:val="36"/>
        </w:numPr>
        <w:ind w:left="851" w:hanging="851"/>
      </w:pPr>
      <w:bookmarkStart w:id="408" w:name="_Toc26264943"/>
      <w:r w:rsidRPr="00191ACB">
        <w:t>Mitigation Actions from Biomass Energy</w:t>
      </w:r>
      <w:bookmarkEnd w:id="408"/>
    </w:p>
    <w:p w14:paraId="672312E9" w14:textId="77777777" w:rsidR="00245464" w:rsidRPr="002A4DFC"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Biomass (i.e. biogas and efficient cook stoves) related mitigation actions were identified during stakeholder consultations with potential to contribute to emissions reduction in the energy and AFOLU sectors.</w:t>
      </w:r>
      <w:r w:rsidRPr="002A4DFC">
        <w:rPr>
          <w:rFonts w:ascii="Times New Roman" w:eastAsia="Calibri" w:hAnsi="Times New Roman" w:cs="Times New Roman"/>
          <w:color w:val="000000" w:themeColor="text1"/>
          <w:sz w:val="24"/>
          <w:szCs w:val="24"/>
        </w:rPr>
        <w:t xml:space="preserve"> For biogas, the Netherlands Development Organisation (SNV) has been a leading organisation in promotion and supporting of development and upscaling of biogas digesters in rural areas for provision of energy in rural areas in Zambia. To date, about 3,288 biogas digesters have been constructed and they target to reach 3,500 by end of 2019. </w:t>
      </w:r>
    </w:p>
    <w:p w14:paraId="4799590C" w14:textId="77777777" w:rsidR="00245464" w:rsidRPr="002A4DFC" w:rsidRDefault="00245464" w:rsidP="002A4DFC">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As far as cook stoves are concerned, there has been a number of institutions that have been involved in promotion of efficient charcoal and firewood cook stoves.  </w:t>
      </w:r>
      <w:r w:rsidRPr="002A4DFC">
        <w:rPr>
          <w:rFonts w:ascii="Times New Roman" w:eastAsia="Calibri" w:hAnsi="Times New Roman" w:cs="Times New Roman"/>
          <w:color w:val="000000" w:themeColor="text1"/>
          <w:sz w:val="24"/>
          <w:szCs w:val="24"/>
        </w:rPr>
        <w:t xml:space="preserve">SNV has also been involved in efficient cook stove promotion through support provided to Super Moto in the briquetting distribution of tier 4 cook stove. </w:t>
      </w:r>
      <w:r w:rsidRPr="00191ACB">
        <w:rPr>
          <w:rFonts w:ascii="Times New Roman" w:eastAsia="Calibri" w:hAnsi="Times New Roman" w:cs="Times New Roman"/>
          <w:color w:val="000000" w:themeColor="text1"/>
          <w:sz w:val="24"/>
          <w:szCs w:val="24"/>
        </w:rPr>
        <w:t xml:space="preserve"> Forest regeneration project in Serenje is also providing t</w:t>
      </w:r>
      <w:r w:rsidRPr="002A4DFC">
        <w:rPr>
          <w:rFonts w:ascii="Times New Roman" w:eastAsia="Calibri" w:hAnsi="Times New Roman" w:cs="Times New Roman"/>
          <w:color w:val="000000" w:themeColor="text1"/>
          <w:sz w:val="24"/>
          <w:szCs w:val="24"/>
        </w:rPr>
        <w:t xml:space="preserve">raining to communities on construction of efficient fixed mud stoves. They also train communities to make briquettes using cassava as a binder, and promotion of improved kilns for charcoal production. The Zambia Integrated Forest Landscape Project (ZIFLP) also plan to promote and distribute cook-stoves in Eastern Province of Zambia. COMCO through the </w:t>
      </w:r>
      <w:r w:rsidRPr="00191ACB">
        <w:rPr>
          <w:rFonts w:ascii="Times New Roman" w:eastAsia="Calibri" w:hAnsi="Times New Roman" w:cs="Times New Roman"/>
          <w:color w:val="000000" w:themeColor="text1"/>
          <w:sz w:val="24"/>
          <w:szCs w:val="24"/>
        </w:rPr>
        <w:t xml:space="preserve">Efficient Cook Stoves in </w:t>
      </w:r>
      <w:r w:rsidRPr="00191ACB">
        <w:rPr>
          <w:rFonts w:ascii="Times New Roman" w:eastAsia="Calibri" w:hAnsi="Times New Roman" w:cs="Times New Roman"/>
          <w:color w:val="000000" w:themeColor="text1"/>
          <w:sz w:val="24"/>
          <w:szCs w:val="24"/>
        </w:rPr>
        <w:lastRenderedPageBreak/>
        <w:t xml:space="preserve">Zambia is promoting the distribution and installation of 50,000 to 80,000 efficient cooking stoves for households in rural Zambia </w:t>
      </w:r>
      <w:r w:rsidRPr="002A4DFC">
        <w:rPr>
          <w:rFonts w:ascii="Times New Roman" w:eastAsia="Calibri" w:hAnsi="Times New Roman" w:cs="Times New Roman"/>
          <w:color w:val="000000" w:themeColor="text1"/>
          <w:sz w:val="24"/>
          <w:szCs w:val="24"/>
        </w:rPr>
        <w:footnoteReference w:id="7"/>
      </w:r>
      <w:r w:rsidRPr="00191ACB">
        <w:rPr>
          <w:rFonts w:ascii="Times New Roman" w:eastAsia="Calibri" w:hAnsi="Times New Roman" w:cs="Times New Roman"/>
          <w:color w:val="000000" w:themeColor="text1"/>
          <w:sz w:val="24"/>
          <w:szCs w:val="24"/>
        </w:rPr>
        <w:t>(Carbon Market Foundation, 2019).</w:t>
      </w:r>
      <w:r w:rsidRPr="002A4DFC">
        <w:rPr>
          <w:rFonts w:ascii="Times New Roman" w:eastAsia="Calibri" w:hAnsi="Times New Roman" w:cs="Times New Roman"/>
          <w:color w:val="000000" w:themeColor="text1"/>
          <w:sz w:val="24"/>
          <w:szCs w:val="24"/>
        </w:rPr>
        <w:t xml:space="preserve"> </w:t>
      </w:r>
    </w:p>
    <w:p w14:paraId="2503CF8D" w14:textId="3CB9F80F" w:rsidR="00557B1F" w:rsidRPr="002A4DFC" w:rsidRDefault="00245464" w:rsidP="002A4DFC">
      <w:pPr>
        <w:spacing w:after="120" w:line="276" w:lineRule="auto"/>
        <w:jc w:val="both"/>
        <w:rPr>
          <w:rFonts w:ascii="Times New Roman" w:eastAsia="Calibri" w:hAnsi="Times New Roman" w:cs="Times New Roman"/>
          <w:color w:val="000000" w:themeColor="text1"/>
          <w:sz w:val="24"/>
          <w:szCs w:val="24"/>
        </w:rPr>
        <w:sectPr w:rsidR="00557B1F" w:rsidRPr="002A4DFC" w:rsidSect="00557B1F">
          <w:pgSz w:w="16834" w:h="11909" w:orient="landscape" w:code="9"/>
          <w:pgMar w:top="720" w:right="862" w:bottom="1440" w:left="862" w:header="720" w:footer="720" w:gutter="0"/>
          <w:cols w:space="720"/>
          <w:docGrid w:linePitch="360"/>
        </w:sectPr>
      </w:pPr>
      <w:r w:rsidRPr="00191ACB">
        <w:rPr>
          <w:rFonts w:ascii="Times New Roman" w:eastAsia="Calibri" w:hAnsi="Times New Roman" w:cs="Times New Roman"/>
          <w:color w:val="000000" w:themeColor="text1"/>
          <w:sz w:val="24"/>
          <w:szCs w:val="24"/>
        </w:rPr>
        <w:t>The 3 Rocks Ltd has been installing fuel efficient cooking stoves targeting 40,437 rural households in Zambia as part of the Clean Mechanism Development (CDM) project. The stoves are used as substitute for three stone fire traditional cook stoves in Katete district. However, emissions reductions from this intervention were not added to the mitigation total they were considered to be under carbon emissions trading. Implementation of efficient cook-stoves, biogas for cooking and heating will result in annual emissions reductions of 842.7 Gg CO</w:t>
      </w:r>
      <w:r w:rsidRPr="002A4DFC">
        <w:rPr>
          <w:rFonts w:ascii="Times New Roman" w:eastAsia="Calibri" w:hAnsi="Times New Roman" w:cs="Times New Roman"/>
          <w:color w:val="000000" w:themeColor="text1"/>
          <w:sz w:val="24"/>
          <w:szCs w:val="24"/>
        </w:rPr>
        <w:t>2 eq</w:t>
      </w:r>
      <w:r w:rsidRPr="00191ACB">
        <w:rPr>
          <w:rFonts w:ascii="Times New Roman" w:eastAsia="Calibri" w:hAnsi="Times New Roman" w:cs="Times New Roman"/>
          <w:color w:val="000000" w:themeColor="text1"/>
          <w:sz w:val="24"/>
          <w:szCs w:val="24"/>
        </w:rPr>
        <w:t>. from 2025 to 2050</w:t>
      </w:r>
      <w:r w:rsidR="005B5FDA"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(Table </w:t>
      </w:r>
      <w:r w:rsidR="00501324" w:rsidRPr="00191ACB">
        <w:rPr>
          <w:rFonts w:ascii="Times New Roman" w:eastAsia="Calibri" w:hAnsi="Times New Roman" w:cs="Times New Roman"/>
          <w:color w:val="000000" w:themeColor="text1"/>
          <w:sz w:val="24"/>
          <w:szCs w:val="24"/>
        </w:rPr>
        <w:t>4.30)</w:t>
      </w:r>
      <w:r w:rsidRPr="00191ACB">
        <w:rPr>
          <w:rFonts w:ascii="Times New Roman" w:eastAsia="Calibri" w:hAnsi="Times New Roman" w:cs="Times New Roman"/>
          <w:color w:val="000000" w:themeColor="text1"/>
          <w:sz w:val="24"/>
          <w:szCs w:val="24"/>
        </w:rPr>
        <w:t>.</w:t>
      </w:r>
    </w:p>
    <w:p w14:paraId="52B8D09C" w14:textId="60A9C0B1" w:rsidR="00245464" w:rsidRPr="00191ACB" w:rsidRDefault="00CA49AF" w:rsidP="00CA49AF">
      <w:pPr>
        <w:pStyle w:val="Caption"/>
        <w:rPr>
          <w:rFonts w:eastAsia="Calibri"/>
          <w:color w:val="000000" w:themeColor="text1"/>
          <w:sz w:val="24"/>
          <w:szCs w:val="24"/>
        </w:rPr>
      </w:pPr>
      <w:bookmarkStart w:id="409" w:name="_Toc56583806"/>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30</w:t>
      </w:r>
      <w:r w:rsidR="00875942">
        <w:rPr>
          <w:sz w:val="24"/>
          <w:szCs w:val="24"/>
        </w:rPr>
        <w:fldChar w:fldCharType="end"/>
      </w:r>
      <w:r w:rsidRPr="00191ACB">
        <w:rPr>
          <w:sz w:val="24"/>
          <w:szCs w:val="24"/>
        </w:rPr>
        <w:t>: Emission reduction potential for Biomass energy (Gg CO2 eq.)</w:t>
      </w:r>
      <w:bookmarkEnd w:id="409"/>
    </w:p>
    <w:tbl>
      <w:tblPr>
        <w:tblW w:w="5000" w:type="pct"/>
        <w:tblLayout w:type="fixed"/>
        <w:tblLook w:val="04A0" w:firstRow="1" w:lastRow="0" w:firstColumn="1" w:lastColumn="0" w:noHBand="0" w:noVBand="1"/>
      </w:tblPr>
      <w:tblGrid>
        <w:gridCol w:w="4199"/>
        <w:gridCol w:w="1338"/>
        <w:gridCol w:w="1105"/>
        <w:gridCol w:w="1105"/>
        <w:gridCol w:w="1105"/>
        <w:gridCol w:w="1105"/>
        <w:gridCol w:w="1105"/>
        <w:gridCol w:w="1326"/>
        <w:gridCol w:w="1323"/>
        <w:gridCol w:w="1389"/>
      </w:tblGrid>
      <w:tr w:rsidR="00245464" w:rsidRPr="001605E3" w14:paraId="1B735AA0" w14:textId="77777777" w:rsidTr="00A91A48">
        <w:trPr>
          <w:trHeight w:val="300"/>
        </w:trPr>
        <w:tc>
          <w:tcPr>
            <w:tcW w:w="139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27E50A"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Project Description</w:t>
            </w:r>
          </w:p>
        </w:tc>
        <w:tc>
          <w:tcPr>
            <w:tcW w:w="443" w:type="pct"/>
            <w:tcBorders>
              <w:top w:val="single" w:sz="4" w:space="0" w:color="auto"/>
              <w:left w:val="nil"/>
              <w:bottom w:val="single" w:sz="4" w:space="0" w:color="auto"/>
              <w:right w:val="single" w:sz="4" w:space="0" w:color="auto"/>
            </w:tcBorders>
            <w:shd w:val="clear" w:color="auto" w:fill="auto"/>
            <w:noWrap/>
            <w:vAlign w:val="bottom"/>
            <w:hideMark/>
          </w:tcPr>
          <w:p w14:paraId="708A677A"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2010</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08B0B207"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2015</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7DAA700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2020</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0E980925"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2025</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79A39333"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2030</w:t>
            </w:r>
          </w:p>
        </w:tc>
        <w:tc>
          <w:tcPr>
            <w:tcW w:w="366" w:type="pct"/>
            <w:tcBorders>
              <w:top w:val="single" w:sz="4" w:space="0" w:color="auto"/>
              <w:left w:val="nil"/>
              <w:bottom w:val="single" w:sz="4" w:space="0" w:color="auto"/>
              <w:right w:val="single" w:sz="4" w:space="0" w:color="auto"/>
            </w:tcBorders>
            <w:shd w:val="clear" w:color="auto" w:fill="auto"/>
            <w:noWrap/>
            <w:vAlign w:val="bottom"/>
            <w:hideMark/>
          </w:tcPr>
          <w:p w14:paraId="135305AA"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2035</w:t>
            </w:r>
          </w:p>
        </w:tc>
        <w:tc>
          <w:tcPr>
            <w:tcW w:w="439" w:type="pct"/>
            <w:tcBorders>
              <w:top w:val="single" w:sz="4" w:space="0" w:color="auto"/>
              <w:left w:val="nil"/>
              <w:bottom w:val="single" w:sz="4" w:space="0" w:color="auto"/>
              <w:right w:val="single" w:sz="4" w:space="0" w:color="auto"/>
            </w:tcBorders>
            <w:shd w:val="clear" w:color="auto" w:fill="auto"/>
            <w:noWrap/>
            <w:vAlign w:val="bottom"/>
            <w:hideMark/>
          </w:tcPr>
          <w:p w14:paraId="730D013A"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2040</w:t>
            </w:r>
          </w:p>
        </w:tc>
        <w:tc>
          <w:tcPr>
            <w:tcW w:w="438" w:type="pct"/>
            <w:tcBorders>
              <w:top w:val="single" w:sz="4" w:space="0" w:color="auto"/>
              <w:left w:val="nil"/>
              <w:bottom w:val="single" w:sz="4" w:space="0" w:color="auto"/>
              <w:right w:val="single" w:sz="4" w:space="0" w:color="auto"/>
            </w:tcBorders>
            <w:shd w:val="clear" w:color="auto" w:fill="auto"/>
            <w:noWrap/>
            <w:vAlign w:val="bottom"/>
            <w:hideMark/>
          </w:tcPr>
          <w:p w14:paraId="54F5104B"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2045</w:t>
            </w:r>
          </w:p>
        </w:tc>
        <w:tc>
          <w:tcPr>
            <w:tcW w:w="461" w:type="pct"/>
            <w:tcBorders>
              <w:top w:val="single" w:sz="4" w:space="0" w:color="auto"/>
              <w:left w:val="nil"/>
              <w:bottom w:val="single" w:sz="4" w:space="0" w:color="auto"/>
              <w:right w:val="single" w:sz="4" w:space="0" w:color="auto"/>
            </w:tcBorders>
            <w:shd w:val="clear" w:color="auto" w:fill="auto"/>
            <w:noWrap/>
            <w:vAlign w:val="bottom"/>
            <w:hideMark/>
          </w:tcPr>
          <w:p w14:paraId="587F01C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2050</w:t>
            </w:r>
          </w:p>
        </w:tc>
      </w:tr>
      <w:tr w:rsidR="00245464" w:rsidRPr="001605E3" w14:paraId="5D407F58" w14:textId="77777777" w:rsidTr="00A91A48">
        <w:trPr>
          <w:trHeight w:val="300"/>
        </w:trPr>
        <w:tc>
          <w:tcPr>
            <w:tcW w:w="1390" w:type="pct"/>
            <w:tcBorders>
              <w:top w:val="nil"/>
              <w:left w:val="single" w:sz="4" w:space="0" w:color="auto"/>
              <w:bottom w:val="single" w:sz="4" w:space="0" w:color="auto"/>
              <w:right w:val="single" w:sz="4" w:space="0" w:color="auto"/>
            </w:tcBorders>
            <w:shd w:val="clear" w:color="auto" w:fill="auto"/>
            <w:noWrap/>
            <w:vAlign w:val="bottom"/>
            <w:hideMark/>
          </w:tcPr>
          <w:p w14:paraId="33687C39"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Efficient cook stoves and pellets-COMACO</w:t>
            </w:r>
          </w:p>
        </w:tc>
        <w:tc>
          <w:tcPr>
            <w:tcW w:w="443" w:type="pct"/>
            <w:tcBorders>
              <w:top w:val="nil"/>
              <w:left w:val="nil"/>
              <w:bottom w:val="single" w:sz="4" w:space="0" w:color="auto"/>
              <w:right w:val="single" w:sz="4" w:space="0" w:color="auto"/>
            </w:tcBorders>
            <w:shd w:val="clear" w:color="auto" w:fill="auto"/>
            <w:noWrap/>
            <w:vAlign w:val="bottom"/>
            <w:hideMark/>
          </w:tcPr>
          <w:p w14:paraId="4A727737"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24545106"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51B51710"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1.6</w:t>
            </w:r>
          </w:p>
        </w:tc>
        <w:tc>
          <w:tcPr>
            <w:tcW w:w="366" w:type="pct"/>
            <w:tcBorders>
              <w:top w:val="nil"/>
              <w:left w:val="nil"/>
              <w:bottom w:val="single" w:sz="4" w:space="0" w:color="auto"/>
              <w:right w:val="single" w:sz="4" w:space="0" w:color="auto"/>
            </w:tcBorders>
            <w:shd w:val="clear" w:color="auto" w:fill="auto"/>
            <w:noWrap/>
            <w:vAlign w:val="bottom"/>
            <w:hideMark/>
          </w:tcPr>
          <w:p w14:paraId="2B42B06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1.6</w:t>
            </w:r>
          </w:p>
        </w:tc>
        <w:tc>
          <w:tcPr>
            <w:tcW w:w="366" w:type="pct"/>
            <w:tcBorders>
              <w:top w:val="nil"/>
              <w:left w:val="nil"/>
              <w:bottom w:val="single" w:sz="4" w:space="0" w:color="auto"/>
              <w:right w:val="single" w:sz="4" w:space="0" w:color="auto"/>
            </w:tcBorders>
            <w:shd w:val="clear" w:color="auto" w:fill="auto"/>
            <w:noWrap/>
            <w:vAlign w:val="bottom"/>
            <w:hideMark/>
          </w:tcPr>
          <w:p w14:paraId="387564D6"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1.6</w:t>
            </w:r>
          </w:p>
        </w:tc>
        <w:tc>
          <w:tcPr>
            <w:tcW w:w="366" w:type="pct"/>
            <w:tcBorders>
              <w:top w:val="nil"/>
              <w:left w:val="nil"/>
              <w:bottom w:val="single" w:sz="4" w:space="0" w:color="auto"/>
              <w:right w:val="single" w:sz="4" w:space="0" w:color="auto"/>
            </w:tcBorders>
            <w:shd w:val="clear" w:color="auto" w:fill="auto"/>
            <w:noWrap/>
            <w:vAlign w:val="bottom"/>
            <w:hideMark/>
          </w:tcPr>
          <w:p w14:paraId="0AAA394A"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1.6</w:t>
            </w:r>
          </w:p>
        </w:tc>
        <w:tc>
          <w:tcPr>
            <w:tcW w:w="439" w:type="pct"/>
            <w:tcBorders>
              <w:top w:val="nil"/>
              <w:left w:val="nil"/>
              <w:bottom w:val="single" w:sz="4" w:space="0" w:color="auto"/>
              <w:right w:val="single" w:sz="4" w:space="0" w:color="auto"/>
            </w:tcBorders>
            <w:shd w:val="clear" w:color="auto" w:fill="auto"/>
            <w:noWrap/>
            <w:vAlign w:val="bottom"/>
            <w:hideMark/>
          </w:tcPr>
          <w:p w14:paraId="3F6493AA"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1.6</w:t>
            </w:r>
          </w:p>
        </w:tc>
        <w:tc>
          <w:tcPr>
            <w:tcW w:w="438" w:type="pct"/>
            <w:tcBorders>
              <w:top w:val="nil"/>
              <w:left w:val="nil"/>
              <w:bottom w:val="single" w:sz="4" w:space="0" w:color="auto"/>
              <w:right w:val="single" w:sz="4" w:space="0" w:color="auto"/>
            </w:tcBorders>
            <w:shd w:val="clear" w:color="auto" w:fill="auto"/>
            <w:noWrap/>
            <w:vAlign w:val="bottom"/>
            <w:hideMark/>
          </w:tcPr>
          <w:p w14:paraId="1081BB0D"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1.6</w:t>
            </w:r>
          </w:p>
        </w:tc>
        <w:tc>
          <w:tcPr>
            <w:tcW w:w="461" w:type="pct"/>
            <w:tcBorders>
              <w:top w:val="nil"/>
              <w:left w:val="nil"/>
              <w:bottom w:val="single" w:sz="4" w:space="0" w:color="auto"/>
              <w:right w:val="single" w:sz="4" w:space="0" w:color="auto"/>
            </w:tcBorders>
            <w:shd w:val="clear" w:color="auto" w:fill="auto"/>
            <w:noWrap/>
            <w:vAlign w:val="bottom"/>
            <w:hideMark/>
          </w:tcPr>
          <w:p w14:paraId="5BF1907A"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1.6</w:t>
            </w:r>
          </w:p>
        </w:tc>
      </w:tr>
      <w:tr w:rsidR="00245464" w:rsidRPr="001605E3" w14:paraId="5AC43BED" w14:textId="77777777" w:rsidTr="00A91A48">
        <w:trPr>
          <w:trHeight w:val="300"/>
        </w:trPr>
        <w:tc>
          <w:tcPr>
            <w:tcW w:w="1390" w:type="pct"/>
            <w:tcBorders>
              <w:top w:val="nil"/>
              <w:left w:val="single" w:sz="4" w:space="0" w:color="auto"/>
              <w:bottom w:val="single" w:sz="4" w:space="0" w:color="auto"/>
              <w:right w:val="single" w:sz="4" w:space="0" w:color="auto"/>
            </w:tcBorders>
            <w:shd w:val="clear" w:color="auto" w:fill="auto"/>
            <w:noWrap/>
            <w:vAlign w:val="bottom"/>
            <w:hideMark/>
          </w:tcPr>
          <w:p w14:paraId="0E6249CF"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Forest regeneration project in Serenje. Cook-stoves</w:t>
            </w:r>
          </w:p>
        </w:tc>
        <w:tc>
          <w:tcPr>
            <w:tcW w:w="443" w:type="pct"/>
            <w:tcBorders>
              <w:top w:val="nil"/>
              <w:left w:val="nil"/>
              <w:bottom w:val="single" w:sz="4" w:space="0" w:color="auto"/>
              <w:right w:val="single" w:sz="4" w:space="0" w:color="auto"/>
            </w:tcBorders>
            <w:shd w:val="clear" w:color="auto" w:fill="auto"/>
            <w:noWrap/>
            <w:vAlign w:val="bottom"/>
            <w:hideMark/>
          </w:tcPr>
          <w:p w14:paraId="6BB640D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49E1A216"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7014121C"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0.1</w:t>
            </w:r>
          </w:p>
        </w:tc>
        <w:tc>
          <w:tcPr>
            <w:tcW w:w="366" w:type="pct"/>
            <w:tcBorders>
              <w:top w:val="nil"/>
              <w:left w:val="nil"/>
              <w:bottom w:val="single" w:sz="4" w:space="0" w:color="auto"/>
              <w:right w:val="single" w:sz="4" w:space="0" w:color="auto"/>
            </w:tcBorders>
            <w:shd w:val="clear" w:color="auto" w:fill="auto"/>
            <w:noWrap/>
            <w:vAlign w:val="bottom"/>
            <w:hideMark/>
          </w:tcPr>
          <w:p w14:paraId="4D07C07F"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0.1</w:t>
            </w:r>
          </w:p>
        </w:tc>
        <w:tc>
          <w:tcPr>
            <w:tcW w:w="366" w:type="pct"/>
            <w:tcBorders>
              <w:top w:val="nil"/>
              <w:left w:val="nil"/>
              <w:bottom w:val="single" w:sz="4" w:space="0" w:color="auto"/>
              <w:right w:val="single" w:sz="4" w:space="0" w:color="auto"/>
            </w:tcBorders>
            <w:shd w:val="clear" w:color="auto" w:fill="auto"/>
            <w:noWrap/>
            <w:vAlign w:val="bottom"/>
            <w:hideMark/>
          </w:tcPr>
          <w:p w14:paraId="3D709996"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0.1</w:t>
            </w:r>
          </w:p>
        </w:tc>
        <w:tc>
          <w:tcPr>
            <w:tcW w:w="366" w:type="pct"/>
            <w:tcBorders>
              <w:top w:val="nil"/>
              <w:left w:val="nil"/>
              <w:bottom w:val="single" w:sz="4" w:space="0" w:color="auto"/>
              <w:right w:val="single" w:sz="4" w:space="0" w:color="auto"/>
            </w:tcBorders>
            <w:shd w:val="clear" w:color="auto" w:fill="auto"/>
            <w:noWrap/>
            <w:vAlign w:val="bottom"/>
            <w:hideMark/>
          </w:tcPr>
          <w:p w14:paraId="23C0D3FB"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0.1</w:t>
            </w:r>
          </w:p>
        </w:tc>
        <w:tc>
          <w:tcPr>
            <w:tcW w:w="439" w:type="pct"/>
            <w:tcBorders>
              <w:top w:val="nil"/>
              <w:left w:val="nil"/>
              <w:bottom w:val="single" w:sz="4" w:space="0" w:color="auto"/>
              <w:right w:val="single" w:sz="4" w:space="0" w:color="auto"/>
            </w:tcBorders>
            <w:shd w:val="clear" w:color="auto" w:fill="auto"/>
            <w:noWrap/>
            <w:vAlign w:val="bottom"/>
            <w:hideMark/>
          </w:tcPr>
          <w:p w14:paraId="3790F869"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0.1</w:t>
            </w:r>
          </w:p>
        </w:tc>
        <w:tc>
          <w:tcPr>
            <w:tcW w:w="438" w:type="pct"/>
            <w:tcBorders>
              <w:top w:val="nil"/>
              <w:left w:val="nil"/>
              <w:bottom w:val="single" w:sz="4" w:space="0" w:color="auto"/>
              <w:right w:val="single" w:sz="4" w:space="0" w:color="auto"/>
            </w:tcBorders>
            <w:shd w:val="clear" w:color="auto" w:fill="auto"/>
            <w:noWrap/>
            <w:vAlign w:val="bottom"/>
            <w:hideMark/>
          </w:tcPr>
          <w:p w14:paraId="4F969EC6"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0.1</w:t>
            </w:r>
          </w:p>
        </w:tc>
        <w:tc>
          <w:tcPr>
            <w:tcW w:w="461" w:type="pct"/>
            <w:tcBorders>
              <w:top w:val="nil"/>
              <w:left w:val="nil"/>
              <w:bottom w:val="single" w:sz="4" w:space="0" w:color="auto"/>
              <w:right w:val="single" w:sz="4" w:space="0" w:color="auto"/>
            </w:tcBorders>
            <w:shd w:val="clear" w:color="auto" w:fill="auto"/>
            <w:noWrap/>
            <w:vAlign w:val="bottom"/>
            <w:hideMark/>
          </w:tcPr>
          <w:p w14:paraId="6055E878"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0.1</w:t>
            </w:r>
          </w:p>
        </w:tc>
      </w:tr>
      <w:tr w:rsidR="00245464" w:rsidRPr="001605E3" w14:paraId="0801AC6F" w14:textId="77777777" w:rsidTr="00A91A48">
        <w:trPr>
          <w:trHeight w:val="300"/>
        </w:trPr>
        <w:tc>
          <w:tcPr>
            <w:tcW w:w="1390" w:type="pct"/>
            <w:tcBorders>
              <w:top w:val="nil"/>
              <w:left w:val="single" w:sz="4" w:space="0" w:color="auto"/>
              <w:bottom w:val="single" w:sz="4" w:space="0" w:color="auto"/>
              <w:right w:val="single" w:sz="4" w:space="0" w:color="auto"/>
            </w:tcBorders>
            <w:shd w:val="clear" w:color="auto" w:fill="auto"/>
            <w:noWrap/>
            <w:vAlign w:val="bottom"/>
            <w:hideMark/>
          </w:tcPr>
          <w:p w14:paraId="353BE85D"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Zambia Integrated forest Landscape Project (ZIFLP)-Cook stoves</w:t>
            </w:r>
          </w:p>
        </w:tc>
        <w:tc>
          <w:tcPr>
            <w:tcW w:w="443" w:type="pct"/>
            <w:tcBorders>
              <w:top w:val="nil"/>
              <w:left w:val="nil"/>
              <w:bottom w:val="single" w:sz="4" w:space="0" w:color="auto"/>
              <w:right w:val="single" w:sz="4" w:space="0" w:color="auto"/>
            </w:tcBorders>
            <w:shd w:val="clear" w:color="auto" w:fill="auto"/>
            <w:noWrap/>
            <w:vAlign w:val="bottom"/>
            <w:hideMark/>
          </w:tcPr>
          <w:p w14:paraId="564DF586"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07D1094C"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795E667F"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45.9</w:t>
            </w:r>
          </w:p>
        </w:tc>
        <w:tc>
          <w:tcPr>
            <w:tcW w:w="366" w:type="pct"/>
            <w:tcBorders>
              <w:top w:val="nil"/>
              <w:left w:val="nil"/>
              <w:bottom w:val="single" w:sz="4" w:space="0" w:color="auto"/>
              <w:right w:val="single" w:sz="4" w:space="0" w:color="auto"/>
            </w:tcBorders>
            <w:shd w:val="clear" w:color="auto" w:fill="auto"/>
            <w:noWrap/>
            <w:vAlign w:val="bottom"/>
            <w:hideMark/>
          </w:tcPr>
          <w:p w14:paraId="358F17B0"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45.9</w:t>
            </w:r>
          </w:p>
        </w:tc>
        <w:tc>
          <w:tcPr>
            <w:tcW w:w="366" w:type="pct"/>
            <w:tcBorders>
              <w:top w:val="nil"/>
              <w:left w:val="nil"/>
              <w:bottom w:val="single" w:sz="4" w:space="0" w:color="auto"/>
              <w:right w:val="single" w:sz="4" w:space="0" w:color="auto"/>
            </w:tcBorders>
            <w:shd w:val="clear" w:color="auto" w:fill="auto"/>
            <w:noWrap/>
            <w:vAlign w:val="bottom"/>
            <w:hideMark/>
          </w:tcPr>
          <w:p w14:paraId="4D8C9706"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45.9</w:t>
            </w:r>
          </w:p>
        </w:tc>
        <w:tc>
          <w:tcPr>
            <w:tcW w:w="366" w:type="pct"/>
            <w:tcBorders>
              <w:top w:val="nil"/>
              <w:left w:val="nil"/>
              <w:bottom w:val="single" w:sz="4" w:space="0" w:color="auto"/>
              <w:right w:val="single" w:sz="4" w:space="0" w:color="auto"/>
            </w:tcBorders>
            <w:shd w:val="clear" w:color="auto" w:fill="auto"/>
            <w:noWrap/>
            <w:vAlign w:val="bottom"/>
            <w:hideMark/>
          </w:tcPr>
          <w:p w14:paraId="258AA416"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45.9</w:t>
            </w:r>
          </w:p>
        </w:tc>
        <w:tc>
          <w:tcPr>
            <w:tcW w:w="439" w:type="pct"/>
            <w:tcBorders>
              <w:top w:val="nil"/>
              <w:left w:val="nil"/>
              <w:bottom w:val="single" w:sz="4" w:space="0" w:color="auto"/>
              <w:right w:val="single" w:sz="4" w:space="0" w:color="auto"/>
            </w:tcBorders>
            <w:shd w:val="clear" w:color="auto" w:fill="auto"/>
            <w:noWrap/>
            <w:vAlign w:val="bottom"/>
            <w:hideMark/>
          </w:tcPr>
          <w:p w14:paraId="52C5B0D7"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45.9</w:t>
            </w:r>
          </w:p>
        </w:tc>
        <w:tc>
          <w:tcPr>
            <w:tcW w:w="438" w:type="pct"/>
            <w:tcBorders>
              <w:top w:val="nil"/>
              <w:left w:val="nil"/>
              <w:bottom w:val="single" w:sz="4" w:space="0" w:color="auto"/>
              <w:right w:val="single" w:sz="4" w:space="0" w:color="auto"/>
            </w:tcBorders>
            <w:shd w:val="clear" w:color="auto" w:fill="auto"/>
            <w:noWrap/>
            <w:vAlign w:val="bottom"/>
            <w:hideMark/>
          </w:tcPr>
          <w:p w14:paraId="051E0193"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45.9</w:t>
            </w:r>
          </w:p>
        </w:tc>
        <w:tc>
          <w:tcPr>
            <w:tcW w:w="461" w:type="pct"/>
            <w:tcBorders>
              <w:top w:val="nil"/>
              <w:left w:val="nil"/>
              <w:bottom w:val="single" w:sz="4" w:space="0" w:color="auto"/>
              <w:right w:val="single" w:sz="4" w:space="0" w:color="auto"/>
            </w:tcBorders>
            <w:shd w:val="clear" w:color="auto" w:fill="auto"/>
            <w:noWrap/>
            <w:vAlign w:val="bottom"/>
            <w:hideMark/>
          </w:tcPr>
          <w:p w14:paraId="6B2F133B"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45.9</w:t>
            </w:r>
          </w:p>
        </w:tc>
      </w:tr>
      <w:tr w:rsidR="00245464" w:rsidRPr="001605E3" w14:paraId="02B5B1C1" w14:textId="77777777" w:rsidTr="00A91A48">
        <w:trPr>
          <w:trHeight w:val="300"/>
        </w:trPr>
        <w:tc>
          <w:tcPr>
            <w:tcW w:w="1390" w:type="pct"/>
            <w:tcBorders>
              <w:top w:val="nil"/>
              <w:left w:val="single" w:sz="4" w:space="0" w:color="auto"/>
              <w:bottom w:val="single" w:sz="4" w:space="0" w:color="auto"/>
              <w:right w:val="single" w:sz="4" w:space="0" w:color="auto"/>
            </w:tcBorders>
            <w:shd w:val="clear" w:color="auto" w:fill="auto"/>
            <w:noWrap/>
            <w:vAlign w:val="bottom"/>
            <w:hideMark/>
          </w:tcPr>
          <w:p w14:paraId="4340C450"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xml:space="preserve">SNV Biogas Energy for Agriculture. </w:t>
            </w:r>
          </w:p>
        </w:tc>
        <w:tc>
          <w:tcPr>
            <w:tcW w:w="443" w:type="pct"/>
            <w:tcBorders>
              <w:top w:val="nil"/>
              <w:left w:val="nil"/>
              <w:bottom w:val="single" w:sz="4" w:space="0" w:color="auto"/>
              <w:right w:val="single" w:sz="4" w:space="0" w:color="auto"/>
            </w:tcBorders>
            <w:shd w:val="clear" w:color="auto" w:fill="auto"/>
            <w:noWrap/>
            <w:vAlign w:val="bottom"/>
            <w:hideMark/>
          </w:tcPr>
          <w:p w14:paraId="26B80E6D"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7E0E2B8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00A8181C"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1.8</w:t>
            </w:r>
          </w:p>
        </w:tc>
        <w:tc>
          <w:tcPr>
            <w:tcW w:w="366" w:type="pct"/>
            <w:tcBorders>
              <w:top w:val="nil"/>
              <w:left w:val="nil"/>
              <w:bottom w:val="single" w:sz="4" w:space="0" w:color="auto"/>
              <w:right w:val="single" w:sz="4" w:space="0" w:color="auto"/>
            </w:tcBorders>
            <w:shd w:val="clear" w:color="auto" w:fill="auto"/>
            <w:noWrap/>
            <w:vAlign w:val="bottom"/>
            <w:hideMark/>
          </w:tcPr>
          <w:p w14:paraId="4BB1A3A4"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1.8</w:t>
            </w:r>
          </w:p>
        </w:tc>
        <w:tc>
          <w:tcPr>
            <w:tcW w:w="366" w:type="pct"/>
            <w:tcBorders>
              <w:top w:val="nil"/>
              <w:left w:val="nil"/>
              <w:bottom w:val="single" w:sz="4" w:space="0" w:color="auto"/>
              <w:right w:val="single" w:sz="4" w:space="0" w:color="auto"/>
            </w:tcBorders>
            <w:shd w:val="clear" w:color="auto" w:fill="auto"/>
            <w:noWrap/>
            <w:vAlign w:val="bottom"/>
            <w:hideMark/>
          </w:tcPr>
          <w:p w14:paraId="78DFB0A1"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1.8</w:t>
            </w:r>
          </w:p>
        </w:tc>
        <w:tc>
          <w:tcPr>
            <w:tcW w:w="366" w:type="pct"/>
            <w:tcBorders>
              <w:top w:val="nil"/>
              <w:left w:val="nil"/>
              <w:bottom w:val="single" w:sz="4" w:space="0" w:color="auto"/>
              <w:right w:val="single" w:sz="4" w:space="0" w:color="auto"/>
            </w:tcBorders>
            <w:shd w:val="clear" w:color="auto" w:fill="auto"/>
            <w:noWrap/>
            <w:vAlign w:val="bottom"/>
            <w:hideMark/>
          </w:tcPr>
          <w:p w14:paraId="388804ED"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1.8</w:t>
            </w:r>
          </w:p>
        </w:tc>
        <w:tc>
          <w:tcPr>
            <w:tcW w:w="439" w:type="pct"/>
            <w:tcBorders>
              <w:top w:val="nil"/>
              <w:left w:val="nil"/>
              <w:bottom w:val="single" w:sz="4" w:space="0" w:color="auto"/>
              <w:right w:val="single" w:sz="4" w:space="0" w:color="auto"/>
            </w:tcBorders>
            <w:shd w:val="clear" w:color="auto" w:fill="auto"/>
            <w:noWrap/>
            <w:vAlign w:val="bottom"/>
            <w:hideMark/>
          </w:tcPr>
          <w:p w14:paraId="5531DC6D"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1.8</w:t>
            </w:r>
          </w:p>
        </w:tc>
        <w:tc>
          <w:tcPr>
            <w:tcW w:w="438" w:type="pct"/>
            <w:tcBorders>
              <w:top w:val="nil"/>
              <w:left w:val="nil"/>
              <w:bottom w:val="single" w:sz="4" w:space="0" w:color="auto"/>
              <w:right w:val="single" w:sz="4" w:space="0" w:color="auto"/>
            </w:tcBorders>
            <w:shd w:val="clear" w:color="auto" w:fill="auto"/>
            <w:noWrap/>
            <w:vAlign w:val="bottom"/>
            <w:hideMark/>
          </w:tcPr>
          <w:p w14:paraId="74E223C0"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1.8</w:t>
            </w:r>
          </w:p>
        </w:tc>
        <w:tc>
          <w:tcPr>
            <w:tcW w:w="461" w:type="pct"/>
            <w:tcBorders>
              <w:top w:val="nil"/>
              <w:left w:val="nil"/>
              <w:bottom w:val="single" w:sz="4" w:space="0" w:color="auto"/>
              <w:right w:val="single" w:sz="4" w:space="0" w:color="auto"/>
            </w:tcBorders>
            <w:shd w:val="clear" w:color="auto" w:fill="auto"/>
            <w:noWrap/>
            <w:vAlign w:val="bottom"/>
            <w:hideMark/>
          </w:tcPr>
          <w:p w14:paraId="22827B0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1.8</w:t>
            </w:r>
          </w:p>
        </w:tc>
      </w:tr>
      <w:tr w:rsidR="00245464" w:rsidRPr="001605E3" w14:paraId="6FA00E0C" w14:textId="77777777" w:rsidTr="00A91A48">
        <w:trPr>
          <w:trHeight w:val="300"/>
        </w:trPr>
        <w:tc>
          <w:tcPr>
            <w:tcW w:w="1390" w:type="pct"/>
            <w:tcBorders>
              <w:top w:val="nil"/>
              <w:left w:val="single" w:sz="4" w:space="0" w:color="auto"/>
              <w:bottom w:val="single" w:sz="4" w:space="0" w:color="auto"/>
              <w:right w:val="single" w:sz="4" w:space="0" w:color="auto"/>
            </w:tcBorders>
            <w:shd w:val="clear" w:color="auto" w:fill="auto"/>
            <w:noWrap/>
            <w:vAlign w:val="bottom"/>
            <w:hideMark/>
          </w:tcPr>
          <w:p w14:paraId="0F70EB2B"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Biodiesel CEC 300,000 litres</w:t>
            </w:r>
          </w:p>
        </w:tc>
        <w:tc>
          <w:tcPr>
            <w:tcW w:w="443" w:type="pct"/>
            <w:tcBorders>
              <w:top w:val="nil"/>
              <w:left w:val="nil"/>
              <w:bottom w:val="single" w:sz="4" w:space="0" w:color="auto"/>
              <w:right w:val="single" w:sz="4" w:space="0" w:color="auto"/>
            </w:tcBorders>
            <w:shd w:val="clear" w:color="auto" w:fill="auto"/>
            <w:noWrap/>
            <w:vAlign w:val="bottom"/>
            <w:hideMark/>
          </w:tcPr>
          <w:p w14:paraId="79FA90FC"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1C990584"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3575571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719A1744"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793.4</w:t>
            </w:r>
          </w:p>
        </w:tc>
        <w:tc>
          <w:tcPr>
            <w:tcW w:w="366" w:type="pct"/>
            <w:tcBorders>
              <w:top w:val="nil"/>
              <w:left w:val="nil"/>
              <w:bottom w:val="single" w:sz="4" w:space="0" w:color="auto"/>
              <w:right w:val="single" w:sz="4" w:space="0" w:color="auto"/>
            </w:tcBorders>
            <w:shd w:val="clear" w:color="auto" w:fill="auto"/>
            <w:noWrap/>
            <w:vAlign w:val="bottom"/>
            <w:hideMark/>
          </w:tcPr>
          <w:p w14:paraId="3F7B81B7"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793.4</w:t>
            </w:r>
          </w:p>
        </w:tc>
        <w:tc>
          <w:tcPr>
            <w:tcW w:w="366" w:type="pct"/>
            <w:tcBorders>
              <w:top w:val="nil"/>
              <w:left w:val="nil"/>
              <w:bottom w:val="single" w:sz="4" w:space="0" w:color="auto"/>
              <w:right w:val="single" w:sz="4" w:space="0" w:color="auto"/>
            </w:tcBorders>
            <w:shd w:val="clear" w:color="auto" w:fill="auto"/>
            <w:noWrap/>
            <w:vAlign w:val="bottom"/>
            <w:hideMark/>
          </w:tcPr>
          <w:p w14:paraId="002C269F"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793.4</w:t>
            </w:r>
          </w:p>
        </w:tc>
        <w:tc>
          <w:tcPr>
            <w:tcW w:w="439" w:type="pct"/>
            <w:tcBorders>
              <w:top w:val="nil"/>
              <w:left w:val="nil"/>
              <w:bottom w:val="single" w:sz="4" w:space="0" w:color="auto"/>
              <w:right w:val="single" w:sz="4" w:space="0" w:color="auto"/>
            </w:tcBorders>
            <w:shd w:val="clear" w:color="auto" w:fill="auto"/>
            <w:noWrap/>
            <w:vAlign w:val="bottom"/>
            <w:hideMark/>
          </w:tcPr>
          <w:p w14:paraId="38D24CC5"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793.4</w:t>
            </w:r>
          </w:p>
        </w:tc>
        <w:tc>
          <w:tcPr>
            <w:tcW w:w="438" w:type="pct"/>
            <w:tcBorders>
              <w:top w:val="nil"/>
              <w:left w:val="nil"/>
              <w:bottom w:val="single" w:sz="4" w:space="0" w:color="auto"/>
              <w:right w:val="single" w:sz="4" w:space="0" w:color="auto"/>
            </w:tcBorders>
            <w:shd w:val="clear" w:color="auto" w:fill="auto"/>
            <w:noWrap/>
            <w:vAlign w:val="bottom"/>
            <w:hideMark/>
          </w:tcPr>
          <w:p w14:paraId="76D8057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793.4</w:t>
            </w:r>
          </w:p>
        </w:tc>
        <w:tc>
          <w:tcPr>
            <w:tcW w:w="461" w:type="pct"/>
            <w:tcBorders>
              <w:top w:val="nil"/>
              <w:left w:val="nil"/>
              <w:bottom w:val="single" w:sz="4" w:space="0" w:color="auto"/>
              <w:right w:val="single" w:sz="4" w:space="0" w:color="auto"/>
            </w:tcBorders>
            <w:shd w:val="clear" w:color="auto" w:fill="auto"/>
            <w:noWrap/>
            <w:vAlign w:val="bottom"/>
            <w:hideMark/>
          </w:tcPr>
          <w:p w14:paraId="5855D38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793.4</w:t>
            </w:r>
          </w:p>
        </w:tc>
      </w:tr>
      <w:tr w:rsidR="00245464" w:rsidRPr="001605E3" w14:paraId="0208C820" w14:textId="77777777" w:rsidTr="00A91A48">
        <w:trPr>
          <w:trHeight w:val="300"/>
        </w:trPr>
        <w:tc>
          <w:tcPr>
            <w:tcW w:w="1390" w:type="pct"/>
            <w:tcBorders>
              <w:top w:val="nil"/>
              <w:left w:val="single" w:sz="4" w:space="0" w:color="auto"/>
              <w:bottom w:val="single" w:sz="4" w:space="0" w:color="auto"/>
              <w:right w:val="single" w:sz="4" w:space="0" w:color="auto"/>
            </w:tcBorders>
            <w:shd w:val="clear" w:color="auto" w:fill="auto"/>
            <w:noWrap/>
            <w:vAlign w:val="bottom"/>
            <w:hideMark/>
          </w:tcPr>
          <w:p w14:paraId="6A47CACF"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Total</w:t>
            </w:r>
          </w:p>
        </w:tc>
        <w:tc>
          <w:tcPr>
            <w:tcW w:w="443" w:type="pct"/>
            <w:tcBorders>
              <w:top w:val="nil"/>
              <w:left w:val="nil"/>
              <w:bottom w:val="single" w:sz="4" w:space="0" w:color="auto"/>
              <w:right w:val="single" w:sz="4" w:space="0" w:color="auto"/>
            </w:tcBorders>
            <w:shd w:val="clear" w:color="auto" w:fill="auto"/>
            <w:noWrap/>
            <w:vAlign w:val="bottom"/>
            <w:hideMark/>
          </w:tcPr>
          <w:p w14:paraId="5F3C4921"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26CE6057"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6" w:type="pct"/>
            <w:tcBorders>
              <w:top w:val="nil"/>
              <w:left w:val="nil"/>
              <w:bottom w:val="single" w:sz="4" w:space="0" w:color="auto"/>
              <w:right w:val="single" w:sz="4" w:space="0" w:color="auto"/>
            </w:tcBorders>
            <w:shd w:val="clear" w:color="auto" w:fill="auto"/>
            <w:noWrap/>
            <w:vAlign w:val="bottom"/>
            <w:hideMark/>
          </w:tcPr>
          <w:p w14:paraId="5652ABEA"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49.3</w:t>
            </w:r>
          </w:p>
        </w:tc>
        <w:tc>
          <w:tcPr>
            <w:tcW w:w="366" w:type="pct"/>
            <w:tcBorders>
              <w:top w:val="nil"/>
              <w:left w:val="nil"/>
              <w:bottom w:val="single" w:sz="4" w:space="0" w:color="auto"/>
              <w:right w:val="single" w:sz="4" w:space="0" w:color="auto"/>
            </w:tcBorders>
            <w:shd w:val="clear" w:color="auto" w:fill="auto"/>
            <w:noWrap/>
            <w:vAlign w:val="bottom"/>
            <w:hideMark/>
          </w:tcPr>
          <w:p w14:paraId="3C9A26B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842.7</w:t>
            </w:r>
          </w:p>
        </w:tc>
        <w:tc>
          <w:tcPr>
            <w:tcW w:w="366" w:type="pct"/>
            <w:tcBorders>
              <w:top w:val="nil"/>
              <w:left w:val="nil"/>
              <w:bottom w:val="single" w:sz="4" w:space="0" w:color="auto"/>
              <w:right w:val="single" w:sz="4" w:space="0" w:color="auto"/>
            </w:tcBorders>
            <w:shd w:val="clear" w:color="auto" w:fill="auto"/>
            <w:noWrap/>
            <w:vAlign w:val="bottom"/>
            <w:hideMark/>
          </w:tcPr>
          <w:p w14:paraId="00CB49B8"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842.7</w:t>
            </w:r>
          </w:p>
        </w:tc>
        <w:tc>
          <w:tcPr>
            <w:tcW w:w="366" w:type="pct"/>
            <w:tcBorders>
              <w:top w:val="nil"/>
              <w:left w:val="nil"/>
              <w:bottom w:val="single" w:sz="4" w:space="0" w:color="auto"/>
              <w:right w:val="single" w:sz="4" w:space="0" w:color="auto"/>
            </w:tcBorders>
            <w:shd w:val="clear" w:color="auto" w:fill="auto"/>
            <w:noWrap/>
            <w:vAlign w:val="bottom"/>
            <w:hideMark/>
          </w:tcPr>
          <w:p w14:paraId="11D7BD29"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842.7</w:t>
            </w:r>
          </w:p>
        </w:tc>
        <w:tc>
          <w:tcPr>
            <w:tcW w:w="439" w:type="pct"/>
            <w:tcBorders>
              <w:top w:val="nil"/>
              <w:left w:val="nil"/>
              <w:bottom w:val="single" w:sz="4" w:space="0" w:color="auto"/>
              <w:right w:val="single" w:sz="4" w:space="0" w:color="auto"/>
            </w:tcBorders>
            <w:shd w:val="clear" w:color="auto" w:fill="auto"/>
            <w:noWrap/>
            <w:vAlign w:val="bottom"/>
            <w:hideMark/>
          </w:tcPr>
          <w:p w14:paraId="1C8092E8"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842.7</w:t>
            </w:r>
          </w:p>
        </w:tc>
        <w:tc>
          <w:tcPr>
            <w:tcW w:w="438" w:type="pct"/>
            <w:tcBorders>
              <w:top w:val="nil"/>
              <w:left w:val="nil"/>
              <w:bottom w:val="single" w:sz="4" w:space="0" w:color="auto"/>
              <w:right w:val="single" w:sz="4" w:space="0" w:color="auto"/>
            </w:tcBorders>
            <w:shd w:val="clear" w:color="auto" w:fill="auto"/>
            <w:noWrap/>
            <w:vAlign w:val="bottom"/>
            <w:hideMark/>
          </w:tcPr>
          <w:p w14:paraId="0B90986D"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842.7</w:t>
            </w:r>
          </w:p>
        </w:tc>
        <w:tc>
          <w:tcPr>
            <w:tcW w:w="461" w:type="pct"/>
            <w:tcBorders>
              <w:top w:val="nil"/>
              <w:left w:val="nil"/>
              <w:bottom w:val="single" w:sz="4" w:space="0" w:color="auto"/>
              <w:right w:val="single" w:sz="4" w:space="0" w:color="auto"/>
            </w:tcBorders>
            <w:shd w:val="clear" w:color="auto" w:fill="auto"/>
            <w:noWrap/>
            <w:vAlign w:val="bottom"/>
            <w:hideMark/>
          </w:tcPr>
          <w:p w14:paraId="45344A07"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842.7</w:t>
            </w:r>
          </w:p>
        </w:tc>
      </w:tr>
    </w:tbl>
    <w:p w14:paraId="25F219B1" w14:textId="77777777" w:rsidR="00245464" w:rsidRPr="00191ACB" w:rsidRDefault="00245464" w:rsidP="00245464">
      <w:pPr>
        <w:ind w:left="765"/>
        <w:contextualSpacing/>
        <w:jc w:val="both"/>
        <w:rPr>
          <w:rFonts w:ascii="Times New Roman" w:eastAsia="Calibri" w:hAnsi="Times New Roman" w:cs="Times New Roman"/>
          <w:b/>
          <w:color w:val="000000" w:themeColor="text1"/>
          <w:sz w:val="24"/>
          <w:szCs w:val="24"/>
        </w:rPr>
      </w:pPr>
    </w:p>
    <w:p w14:paraId="53D05945" w14:textId="7FA55498"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sectPr w:rsidR="00245464" w:rsidRPr="00191ACB" w:rsidSect="00557B1F">
          <w:pgSz w:w="16834" w:h="11909" w:orient="landscape" w:code="9"/>
          <w:pgMar w:top="720" w:right="862" w:bottom="1440" w:left="862" w:header="720" w:footer="720" w:gutter="0"/>
          <w:cols w:space="720"/>
          <w:docGrid w:linePitch="360"/>
        </w:sectPr>
      </w:pPr>
      <w:r w:rsidRPr="00191ACB">
        <w:rPr>
          <w:rFonts w:ascii="Times New Roman" w:eastAsia="Calibri" w:hAnsi="Times New Roman" w:cs="Times New Roman"/>
          <w:color w:val="000000" w:themeColor="text1"/>
          <w:sz w:val="24"/>
          <w:szCs w:val="24"/>
        </w:rPr>
        <w:t>Detailed mitigation actions for biomass co</w:t>
      </w:r>
      <w:r w:rsidR="00E9026A" w:rsidRPr="00191ACB">
        <w:rPr>
          <w:rFonts w:ascii="Times New Roman" w:eastAsia="Calibri" w:hAnsi="Times New Roman" w:cs="Times New Roman"/>
          <w:color w:val="000000" w:themeColor="text1"/>
          <w:sz w:val="24"/>
          <w:szCs w:val="24"/>
        </w:rPr>
        <w:t xml:space="preserve">mbustion are provided in </w:t>
      </w:r>
      <w:r w:rsidR="00501324" w:rsidRPr="00191ACB">
        <w:rPr>
          <w:rFonts w:ascii="Times New Roman" w:eastAsia="Calibri" w:hAnsi="Times New Roman" w:cs="Times New Roman"/>
          <w:color w:val="000000" w:themeColor="text1"/>
          <w:sz w:val="24"/>
          <w:szCs w:val="24"/>
        </w:rPr>
        <w:t>Table 4.31</w:t>
      </w:r>
      <w:r w:rsidRPr="00191ACB">
        <w:rPr>
          <w:rFonts w:ascii="Times New Roman" w:eastAsia="Calibri" w:hAnsi="Times New Roman" w:cs="Times New Roman"/>
          <w:color w:val="000000" w:themeColor="text1"/>
          <w:sz w:val="24"/>
          <w:szCs w:val="24"/>
        </w:rPr>
        <w:t>.</w:t>
      </w:r>
    </w:p>
    <w:p w14:paraId="7AFD7EDC" w14:textId="7BF92088" w:rsidR="00245464" w:rsidRPr="00191ACB" w:rsidRDefault="00CA49AF" w:rsidP="00CA49AF">
      <w:pPr>
        <w:pStyle w:val="Caption"/>
        <w:rPr>
          <w:rFonts w:eastAsia="Calibri"/>
          <w:color w:val="000000" w:themeColor="text1"/>
          <w:sz w:val="24"/>
          <w:szCs w:val="24"/>
        </w:rPr>
      </w:pPr>
      <w:bookmarkStart w:id="410" w:name="_Toc56583807"/>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31</w:t>
      </w:r>
      <w:r w:rsidR="00875942">
        <w:rPr>
          <w:sz w:val="24"/>
          <w:szCs w:val="24"/>
        </w:rPr>
        <w:fldChar w:fldCharType="end"/>
      </w:r>
      <w:r w:rsidRPr="00191ACB">
        <w:rPr>
          <w:sz w:val="24"/>
          <w:szCs w:val="24"/>
        </w:rPr>
        <w:t>: Mitigation action for biomass combustion</w:t>
      </w:r>
      <w:bookmarkEnd w:id="410"/>
    </w:p>
    <w:tbl>
      <w:tblPr>
        <w:tblStyle w:val="GridTable4-Accent11"/>
        <w:tblW w:w="5096" w:type="pct"/>
        <w:tblLayout w:type="fixed"/>
        <w:tblLook w:val="04A0" w:firstRow="1" w:lastRow="0" w:firstColumn="1" w:lastColumn="0" w:noHBand="0" w:noVBand="1"/>
      </w:tblPr>
      <w:tblGrid>
        <w:gridCol w:w="1527"/>
        <w:gridCol w:w="2878"/>
        <w:gridCol w:w="2499"/>
        <w:gridCol w:w="1970"/>
        <w:gridCol w:w="1801"/>
        <w:gridCol w:w="1773"/>
        <w:gridCol w:w="1465"/>
        <w:gridCol w:w="1477"/>
      </w:tblGrid>
      <w:tr w:rsidR="00245464" w:rsidRPr="00191ACB" w14:paraId="6FB32202" w14:textId="77777777" w:rsidTr="00A91A48">
        <w:trPr>
          <w:cnfStyle w:val="100000000000" w:firstRow="1" w:lastRow="0" w:firstColumn="0" w:lastColumn="0" w:oddVBand="0" w:evenVBand="0" w:oddHBand="0" w:evenHBand="0" w:firstRowFirstColumn="0" w:firstRowLastColumn="0" w:lastRowFirstColumn="0" w:lastRowLastColumn="0"/>
          <w:trHeight w:val="1386"/>
          <w:tblHeader/>
        </w:trPr>
        <w:tc>
          <w:tcPr>
            <w:cnfStyle w:val="001000000000" w:firstRow="0" w:lastRow="0" w:firstColumn="1" w:lastColumn="0" w:oddVBand="0" w:evenVBand="0" w:oddHBand="0" w:evenHBand="0" w:firstRowFirstColumn="0" w:firstRowLastColumn="0" w:lastRowFirstColumn="0" w:lastRowLastColumn="0"/>
            <w:tcW w:w="496" w:type="pct"/>
          </w:tcPr>
          <w:p w14:paraId="69F8B31C"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Mitigation action</w:t>
            </w:r>
          </w:p>
        </w:tc>
        <w:tc>
          <w:tcPr>
            <w:tcW w:w="935" w:type="pct"/>
          </w:tcPr>
          <w:p w14:paraId="04FC1650"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rPr>
            </w:pPr>
            <w:r w:rsidRPr="00191ACB">
              <w:rPr>
                <w:rFonts w:ascii="Times New Roman" w:hAnsi="Times New Roman"/>
                <w:color w:val="000000" w:themeColor="text1"/>
                <w:sz w:val="24"/>
                <w:szCs w:val="24"/>
                <w:lang w:val="x-none"/>
              </w:rPr>
              <w:t>Nature of action and coverage</w:t>
            </w:r>
          </w:p>
        </w:tc>
        <w:tc>
          <w:tcPr>
            <w:tcW w:w="812" w:type="pct"/>
          </w:tcPr>
          <w:p w14:paraId="55F0A61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rPr>
            </w:pPr>
            <w:r w:rsidRPr="00191ACB">
              <w:rPr>
                <w:rFonts w:ascii="Times New Roman" w:hAnsi="Times New Roman"/>
                <w:color w:val="000000" w:themeColor="text1"/>
                <w:sz w:val="24"/>
                <w:szCs w:val="24"/>
                <w:lang w:val="x-none"/>
              </w:rPr>
              <w:t>Methodologies and assumptions</w:t>
            </w:r>
          </w:p>
        </w:tc>
        <w:tc>
          <w:tcPr>
            <w:tcW w:w="640" w:type="pct"/>
          </w:tcPr>
          <w:p w14:paraId="0C1FE46C"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Progress indicators</w:t>
            </w:r>
          </w:p>
        </w:tc>
        <w:tc>
          <w:tcPr>
            <w:tcW w:w="585" w:type="pct"/>
          </w:tcPr>
          <w:p w14:paraId="3E8ABB95"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rPr>
            </w:pPr>
            <w:r w:rsidRPr="00191ACB">
              <w:rPr>
                <w:rFonts w:ascii="Times New Roman" w:hAnsi="Times New Roman"/>
                <w:color w:val="000000" w:themeColor="text1"/>
                <w:sz w:val="24"/>
                <w:szCs w:val="24"/>
                <w:lang w:val="x-none"/>
              </w:rPr>
              <w:t>Objectives of the actions</w:t>
            </w:r>
          </w:p>
        </w:tc>
        <w:tc>
          <w:tcPr>
            <w:tcW w:w="576" w:type="pct"/>
          </w:tcPr>
          <w:p w14:paraId="6B4B0D61"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rPr>
            </w:pPr>
            <w:r w:rsidRPr="00191ACB">
              <w:rPr>
                <w:rFonts w:ascii="Times New Roman" w:hAnsi="Times New Roman"/>
                <w:color w:val="000000" w:themeColor="text1"/>
                <w:sz w:val="24"/>
                <w:szCs w:val="24"/>
                <w:lang w:val="x-none"/>
              </w:rPr>
              <w:t>Status of implementation</w:t>
            </w:r>
          </w:p>
        </w:tc>
        <w:tc>
          <w:tcPr>
            <w:tcW w:w="476" w:type="pct"/>
          </w:tcPr>
          <w:p w14:paraId="394D42AB"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val="x-none"/>
              </w:rPr>
              <w:t xml:space="preserve">Estimated emission reduction </w:t>
            </w:r>
            <w:r w:rsidRPr="00191ACB">
              <w:rPr>
                <w:rFonts w:ascii="Times New Roman" w:hAnsi="Times New Roman"/>
                <w:color w:val="000000" w:themeColor="text1"/>
                <w:sz w:val="24"/>
                <w:szCs w:val="24"/>
              </w:rPr>
              <w:t>cumulative by 2050 Gg CO</w:t>
            </w:r>
            <w:r w:rsidRPr="00191ACB">
              <w:rPr>
                <w:rFonts w:ascii="Times New Roman" w:hAnsi="Times New Roman"/>
                <w:color w:val="000000" w:themeColor="text1"/>
                <w:sz w:val="24"/>
                <w:szCs w:val="24"/>
                <w:vertAlign w:val="subscript"/>
              </w:rPr>
              <w:t>2</w:t>
            </w:r>
            <w:r w:rsidRPr="00191ACB">
              <w:rPr>
                <w:rFonts w:ascii="Times New Roman" w:hAnsi="Times New Roman"/>
                <w:color w:val="000000" w:themeColor="text1"/>
                <w:sz w:val="24"/>
                <w:szCs w:val="24"/>
              </w:rPr>
              <w:t xml:space="preserve"> </w:t>
            </w:r>
            <w:r w:rsidRPr="00191ACB">
              <w:rPr>
                <w:rFonts w:ascii="Times New Roman" w:hAnsi="Times New Roman"/>
                <w:color w:val="000000" w:themeColor="text1"/>
                <w:sz w:val="24"/>
                <w:szCs w:val="24"/>
                <w:vertAlign w:val="subscript"/>
              </w:rPr>
              <w:t>eq</w:t>
            </w:r>
          </w:p>
        </w:tc>
        <w:tc>
          <w:tcPr>
            <w:tcW w:w="480" w:type="pct"/>
          </w:tcPr>
          <w:p w14:paraId="64035A7C"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rPr>
            </w:pPr>
            <w:r w:rsidRPr="00191ACB">
              <w:rPr>
                <w:rFonts w:ascii="Times New Roman" w:hAnsi="Times New Roman"/>
                <w:color w:val="000000" w:themeColor="text1"/>
                <w:sz w:val="24"/>
                <w:szCs w:val="24"/>
              </w:rPr>
              <w:t>I</w:t>
            </w:r>
            <w:r w:rsidRPr="00191ACB">
              <w:rPr>
                <w:rFonts w:ascii="Times New Roman" w:hAnsi="Times New Roman"/>
                <w:color w:val="000000" w:themeColor="text1"/>
                <w:sz w:val="24"/>
                <w:szCs w:val="24"/>
                <w:lang w:val="x-none"/>
              </w:rPr>
              <w:t>nternational market mechanisms</w:t>
            </w:r>
          </w:p>
        </w:tc>
      </w:tr>
      <w:tr w:rsidR="00245464" w:rsidRPr="00191ACB" w14:paraId="657A5DD4" w14:textId="77777777" w:rsidTr="0016116F">
        <w:trPr>
          <w:cnfStyle w:val="000000100000" w:firstRow="0" w:lastRow="0" w:firstColumn="0" w:lastColumn="0" w:oddVBand="0" w:evenVBand="0" w:oddHBand="1" w:evenHBand="0" w:firstRowFirstColumn="0" w:firstRowLastColumn="0" w:lastRowFirstColumn="0" w:lastRowLastColumn="0"/>
          <w:trHeight w:val="1438"/>
        </w:trPr>
        <w:tc>
          <w:tcPr>
            <w:cnfStyle w:val="001000000000" w:firstRow="0" w:lastRow="0" w:firstColumn="1" w:lastColumn="0" w:oddVBand="0" w:evenVBand="0" w:oddHBand="0" w:evenHBand="0" w:firstRowFirstColumn="0" w:firstRowLastColumn="0" w:lastRowFirstColumn="0" w:lastRowLastColumn="0"/>
            <w:tcW w:w="496" w:type="pct"/>
          </w:tcPr>
          <w:p w14:paraId="462C9432"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Efficient cook stoves and pellets-COMACO</w:t>
            </w:r>
          </w:p>
        </w:tc>
        <w:tc>
          <w:tcPr>
            <w:tcW w:w="935" w:type="pct"/>
          </w:tcPr>
          <w:p w14:paraId="373E2A8A" w14:textId="0EBCD11E"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The project covers 9 Chiefdoms in Eastern province covering districts to include; Lundazi, Mambwe, Nyimba, Petauke, Nyimba and Chipata</w:t>
            </w:r>
          </w:p>
        </w:tc>
        <w:tc>
          <w:tcPr>
            <w:tcW w:w="812" w:type="pct"/>
          </w:tcPr>
          <w:p w14:paraId="66F2CAF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Algorithms provided in equations 22-24</w:t>
            </w:r>
          </w:p>
        </w:tc>
        <w:tc>
          <w:tcPr>
            <w:tcW w:w="640" w:type="pct"/>
          </w:tcPr>
          <w:p w14:paraId="0B60857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Number of cook stoves installed</w:t>
            </w:r>
          </w:p>
          <w:p w14:paraId="10EC56F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Annual firewood and charcoal consumption</w:t>
            </w:r>
          </w:p>
        </w:tc>
        <w:tc>
          <w:tcPr>
            <w:tcW w:w="585" w:type="pct"/>
          </w:tcPr>
          <w:p w14:paraId="55D0C81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reduce deforestation and contribute to emissions reductions in the forestry sector</w:t>
            </w:r>
          </w:p>
        </w:tc>
        <w:tc>
          <w:tcPr>
            <w:tcW w:w="576" w:type="pct"/>
          </w:tcPr>
          <w:p w14:paraId="459951C8"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Ongoing. </w:t>
            </w:r>
          </w:p>
        </w:tc>
        <w:tc>
          <w:tcPr>
            <w:tcW w:w="476" w:type="pct"/>
          </w:tcPr>
          <w:p w14:paraId="25E3324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1.6</w:t>
            </w:r>
          </w:p>
        </w:tc>
        <w:tc>
          <w:tcPr>
            <w:tcW w:w="480" w:type="pct"/>
          </w:tcPr>
          <w:p w14:paraId="180DD39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shd w:val="clear" w:color="auto" w:fill="FFFFFF"/>
              </w:rPr>
            </w:pPr>
            <w:r w:rsidRPr="00191ACB">
              <w:rPr>
                <w:rFonts w:ascii="Times New Roman" w:hAnsi="Times New Roman"/>
                <w:color w:val="000000" w:themeColor="text1"/>
                <w:sz w:val="24"/>
                <w:szCs w:val="24"/>
              </w:rPr>
              <w:t>REDD+ carbon crediting scheme</w:t>
            </w:r>
          </w:p>
        </w:tc>
      </w:tr>
      <w:tr w:rsidR="00245464" w:rsidRPr="00191ACB" w14:paraId="11AC6D3D" w14:textId="77777777" w:rsidTr="00A91A48">
        <w:trPr>
          <w:trHeight w:val="744"/>
        </w:trPr>
        <w:tc>
          <w:tcPr>
            <w:cnfStyle w:val="001000000000" w:firstRow="0" w:lastRow="0" w:firstColumn="1" w:lastColumn="0" w:oddVBand="0" w:evenVBand="0" w:oddHBand="0" w:evenHBand="0" w:firstRowFirstColumn="0" w:firstRowLastColumn="0" w:lastRowFirstColumn="0" w:lastRowLastColumn="0"/>
            <w:tcW w:w="496" w:type="pct"/>
          </w:tcPr>
          <w:p w14:paraId="226E8D65"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Forest regeneration project in Serenje. Cook-stoves</w:t>
            </w:r>
          </w:p>
        </w:tc>
        <w:tc>
          <w:tcPr>
            <w:tcW w:w="935" w:type="pct"/>
          </w:tcPr>
          <w:p w14:paraId="06332D71"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Project is implemented in Serenje District in Zambia</w:t>
            </w:r>
          </w:p>
        </w:tc>
        <w:tc>
          <w:tcPr>
            <w:tcW w:w="812" w:type="pct"/>
          </w:tcPr>
          <w:p w14:paraId="7463020B"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Algorithms provided in equations 22-24</w:t>
            </w:r>
          </w:p>
        </w:tc>
        <w:tc>
          <w:tcPr>
            <w:tcW w:w="640" w:type="pct"/>
          </w:tcPr>
          <w:p w14:paraId="1552507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Annual firewood and charcoal consumption</w:t>
            </w:r>
          </w:p>
        </w:tc>
        <w:tc>
          <w:tcPr>
            <w:tcW w:w="585" w:type="pct"/>
          </w:tcPr>
          <w:p w14:paraId="11E5B17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reduce deforestation through promotion of natural regeneration</w:t>
            </w:r>
          </w:p>
        </w:tc>
        <w:tc>
          <w:tcPr>
            <w:tcW w:w="576" w:type="pct"/>
          </w:tcPr>
          <w:p w14:paraId="33D4BEC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Ongoing</w:t>
            </w:r>
          </w:p>
        </w:tc>
        <w:tc>
          <w:tcPr>
            <w:tcW w:w="476" w:type="pct"/>
          </w:tcPr>
          <w:p w14:paraId="03A693E9"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0.1</w:t>
            </w:r>
          </w:p>
        </w:tc>
        <w:tc>
          <w:tcPr>
            <w:tcW w:w="480" w:type="pct"/>
          </w:tcPr>
          <w:p w14:paraId="2885020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245464" w:rsidRPr="00191ACB" w14:paraId="2B3D904D" w14:textId="77777777" w:rsidTr="00A91A48">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496" w:type="pct"/>
          </w:tcPr>
          <w:p w14:paraId="1EE77FB3"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Zambia Integrated forest Landscape Project (ZIFLP)-Cook stoves</w:t>
            </w:r>
          </w:p>
        </w:tc>
        <w:tc>
          <w:tcPr>
            <w:tcW w:w="935" w:type="pct"/>
          </w:tcPr>
          <w:p w14:paraId="321AB4E5"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Project is implemented in Eastern Province of Zambia</w:t>
            </w:r>
          </w:p>
        </w:tc>
        <w:tc>
          <w:tcPr>
            <w:tcW w:w="812" w:type="pct"/>
          </w:tcPr>
          <w:p w14:paraId="459A77E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Algorithms provided in equations 22-24</w:t>
            </w:r>
          </w:p>
        </w:tc>
        <w:tc>
          <w:tcPr>
            <w:tcW w:w="640" w:type="pct"/>
          </w:tcPr>
          <w:p w14:paraId="51F5BF8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Annual firewood and charcoal consumption</w:t>
            </w:r>
          </w:p>
        </w:tc>
        <w:tc>
          <w:tcPr>
            <w:tcW w:w="585" w:type="pct"/>
          </w:tcPr>
          <w:p w14:paraId="5BC1F1F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reduce GHG emissions in the AFOLU sector</w:t>
            </w:r>
          </w:p>
        </w:tc>
        <w:tc>
          <w:tcPr>
            <w:tcW w:w="576" w:type="pct"/>
          </w:tcPr>
          <w:p w14:paraId="3A6B781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Ongoing</w:t>
            </w:r>
          </w:p>
        </w:tc>
        <w:tc>
          <w:tcPr>
            <w:tcW w:w="476" w:type="pct"/>
          </w:tcPr>
          <w:p w14:paraId="47EB573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45.9</w:t>
            </w:r>
          </w:p>
        </w:tc>
        <w:tc>
          <w:tcPr>
            <w:tcW w:w="480" w:type="pct"/>
          </w:tcPr>
          <w:p w14:paraId="2A7D7D5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REDD+ carbon crediting scheme</w:t>
            </w:r>
          </w:p>
        </w:tc>
      </w:tr>
      <w:tr w:rsidR="00245464" w:rsidRPr="00191ACB" w14:paraId="09DE8B19" w14:textId="77777777" w:rsidTr="00A91A48">
        <w:trPr>
          <w:trHeight w:val="624"/>
        </w:trPr>
        <w:tc>
          <w:tcPr>
            <w:cnfStyle w:val="001000000000" w:firstRow="0" w:lastRow="0" w:firstColumn="1" w:lastColumn="0" w:oddVBand="0" w:evenVBand="0" w:oddHBand="0" w:evenHBand="0" w:firstRowFirstColumn="0" w:firstRowLastColumn="0" w:lastRowFirstColumn="0" w:lastRowLastColumn="0"/>
            <w:tcW w:w="496" w:type="pct"/>
          </w:tcPr>
          <w:p w14:paraId="73D5A7D2"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SNV Biogas Energy for Agriculture. </w:t>
            </w:r>
          </w:p>
        </w:tc>
        <w:tc>
          <w:tcPr>
            <w:tcW w:w="935" w:type="pct"/>
          </w:tcPr>
          <w:p w14:paraId="669418E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Project is implemented country wide</w:t>
            </w:r>
          </w:p>
        </w:tc>
        <w:tc>
          <w:tcPr>
            <w:tcW w:w="812" w:type="pct"/>
          </w:tcPr>
          <w:p w14:paraId="5A8D1CD4" w14:textId="370235E6"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Calculations based on most common 6m</w:t>
            </w:r>
            <w:r w:rsidRPr="00191ACB">
              <w:rPr>
                <w:rFonts w:ascii="Times New Roman" w:hAnsi="Times New Roman"/>
                <w:color w:val="000000" w:themeColor="text1"/>
                <w:sz w:val="24"/>
                <w:szCs w:val="24"/>
                <w:vertAlign w:val="superscript"/>
              </w:rPr>
              <w:t>3</w:t>
            </w:r>
            <w:r w:rsidRPr="00191ACB">
              <w:rPr>
                <w:rFonts w:ascii="Times New Roman" w:hAnsi="Times New Roman"/>
                <w:color w:val="000000" w:themeColor="text1"/>
                <w:sz w:val="24"/>
                <w:szCs w:val="24"/>
              </w:rPr>
              <w:t xml:space="preserve"> digester in Zambia, for 3300 digesters currently installed</w:t>
            </w:r>
          </w:p>
        </w:tc>
        <w:tc>
          <w:tcPr>
            <w:tcW w:w="640" w:type="pct"/>
          </w:tcPr>
          <w:p w14:paraId="7297DDF5"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Number of digesters installed</w:t>
            </w:r>
          </w:p>
        </w:tc>
        <w:tc>
          <w:tcPr>
            <w:tcW w:w="585" w:type="pct"/>
          </w:tcPr>
          <w:p w14:paraId="472B0441"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provide clean energy to rural areas</w:t>
            </w:r>
          </w:p>
        </w:tc>
        <w:tc>
          <w:tcPr>
            <w:tcW w:w="576" w:type="pct"/>
          </w:tcPr>
          <w:p w14:paraId="584EFC0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Ongoing</w:t>
            </w:r>
          </w:p>
        </w:tc>
        <w:tc>
          <w:tcPr>
            <w:tcW w:w="476" w:type="pct"/>
          </w:tcPr>
          <w:p w14:paraId="69270D7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1.8</w:t>
            </w:r>
          </w:p>
        </w:tc>
        <w:tc>
          <w:tcPr>
            <w:tcW w:w="480" w:type="pct"/>
          </w:tcPr>
          <w:p w14:paraId="1A3BF97A"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245464" w:rsidRPr="00191ACB" w14:paraId="1AD5E328" w14:textId="77777777" w:rsidTr="00A91A48">
        <w:trPr>
          <w:cnfStyle w:val="000000100000" w:firstRow="0" w:lastRow="0" w:firstColumn="0" w:lastColumn="0" w:oddVBand="0" w:evenVBand="0" w:oddHBand="1" w:evenHBand="0" w:firstRowFirstColumn="0" w:firstRowLastColumn="0" w:lastRowFirstColumn="0" w:lastRowLastColumn="0"/>
          <w:trHeight w:val="1160"/>
        </w:trPr>
        <w:tc>
          <w:tcPr>
            <w:cnfStyle w:val="001000000000" w:firstRow="0" w:lastRow="0" w:firstColumn="1" w:lastColumn="0" w:oddVBand="0" w:evenVBand="0" w:oddHBand="0" w:evenHBand="0" w:firstRowFirstColumn="0" w:firstRowLastColumn="0" w:lastRowFirstColumn="0" w:lastRowLastColumn="0"/>
            <w:tcW w:w="496" w:type="pct"/>
          </w:tcPr>
          <w:p w14:paraId="398B0663"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lastRenderedPageBreak/>
              <w:t>Biodiesel CEC 300,000 litres</w:t>
            </w:r>
          </w:p>
        </w:tc>
        <w:tc>
          <w:tcPr>
            <w:tcW w:w="935" w:type="pct"/>
          </w:tcPr>
          <w:p w14:paraId="2580E8A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Project is implemented on Kitwe City in Zambia</w:t>
            </w:r>
          </w:p>
        </w:tc>
        <w:tc>
          <w:tcPr>
            <w:tcW w:w="812" w:type="pct"/>
          </w:tcPr>
          <w:p w14:paraId="5D6AC6C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Calculations based on quantity of annual biodiesel produced</w:t>
            </w:r>
          </w:p>
        </w:tc>
        <w:tc>
          <w:tcPr>
            <w:tcW w:w="640" w:type="pct"/>
          </w:tcPr>
          <w:p w14:paraId="6457C3C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Quantity of biodiesel produced</w:t>
            </w:r>
          </w:p>
        </w:tc>
        <w:tc>
          <w:tcPr>
            <w:tcW w:w="585" w:type="pct"/>
          </w:tcPr>
          <w:p w14:paraId="15FDEE0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produce low carbon fuel</w:t>
            </w:r>
          </w:p>
        </w:tc>
        <w:tc>
          <w:tcPr>
            <w:tcW w:w="576" w:type="pct"/>
          </w:tcPr>
          <w:p w14:paraId="49A1426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Ongoing</w:t>
            </w:r>
          </w:p>
        </w:tc>
        <w:tc>
          <w:tcPr>
            <w:tcW w:w="476" w:type="pct"/>
          </w:tcPr>
          <w:p w14:paraId="4A7C7A2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793.4</w:t>
            </w:r>
          </w:p>
        </w:tc>
        <w:tc>
          <w:tcPr>
            <w:tcW w:w="480" w:type="pct"/>
          </w:tcPr>
          <w:p w14:paraId="2466E7C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245464" w:rsidRPr="00191ACB" w14:paraId="4A837AD1" w14:textId="77777777" w:rsidTr="00A91A48">
        <w:trPr>
          <w:trHeight w:val="377"/>
        </w:trPr>
        <w:tc>
          <w:tcPr>
            <w:cnfStyle w:val="001000000000" w:firstRow="0" w:lastRow="0" w:firstColumn="1" w:lastColumn="0" w:oddVBand="0" w:evenVBand="0" w:oddHBand="0" w:evenHBand="0" w:firstRowFirstColumn="0" w:firstRowLastColumn="0" w:lastRowFirstColumn="0" w:lastRowLastColumn="0"/>
            <w:tcW w:w="496" w:type="pct"/>
          </w:tcPr>
          <w:p w14:paraId="1A783BAB" w14:textId="7CAF2B36"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Fuel Efficient Stoves In Zambia.  Zambia 3 Rocks Ltd</w:t>
            </w:r>
          </w:p>
        </w:tc>
        <w:tc>
          <w:tcPr>
            <w:tcW w:w="935" w:type="pct"/>
          </w:tcPr>
          <w:p w14:paraId="1195C33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Traditional three stone stove are replaced with Fuel Efficient stove in Eastern province of Zambia</w:t>
            </w:r>
          </w:p>
        </w:tc>
        <w:tc>
          <w:tcPr>
            <w:tcW w:w="812" w:type="pct"/>
            <w:shd w:val="clear" w:color="auto" w:fill="auto"/>
          </w:tcPr>
          <w:p w14:paraId="396E3838" w14:textId="77777777" w:rsidR="00245464" w:rsidRPr="00191ACB" w:rsidRDefault="00245464" w:rsidP="00245464">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AMS-II.G.: Energy efficiency measures in thermal applications of non-renewable biomass </w:t>
            </w:r>
          </w:p>
        </w:tc>
        <w:tc>
          <w:tcPr>
            <w:tcW w:w="640" w:type="pct"/>
          </w:tcPr>
          <w:p w14:paraId="546F9B21"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Number of stoves installed</w:t>
            </w:r>
          </w:p>
          <w:p w14:paraId="589F1236" w14:textId="48E3CC2C"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Biomass energy consumption</w:t>
            </w:r>
          </w:p>
        </w:tc>
        <w:tc>
          <w:tcPr>
            <w:tcW w:w="585" w:type="pct"/>
          </w:tcPr>
          <w:p w14:paraId="698A778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reduce GHG emissions through use of efficient stoves</w:t>
            </w:r>
          </w:p>
        </w:tc>
        <w:tc>
          <w:tcPr>
            <w:tcW w:w="576" w:type="pct"/>
          </w:tcPr>
          <w:p w14:paraId="00198FE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Ongoing</w:t>
            </w:r>
          </w:p>
        </w:tc>
        <w:tc>
          <w:tcPr>
            <w:tcW w:w="476" w:type="pct"/>
          </w:tcPr>
          <w:p w14:paraId="6FB25A6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40,684</w:t>
            </w:r>
          </w:p>
        </w:tc>
        <w:tc>
          <w:tcPr>
            <w:tcW w:w="480" w:type="pct"/>
          </w:tcPr>
          <w:p w14:paraId="2843C25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Carbon Trading Under Clean Development Mechanism (CDM)</w:t>
            </w:r>
          </w:p>
        </w:tc>
      </w:tr>
      <w:tr w:rsidR="00245464" w:rsidRPr="00191ACB" w14:paraId="5560993C" w14:textId="77777777" w:rsidTr="00A91A48">
        <w:trPr>
          <w:cnfStyle w:val="000000100000" w:firstRow="0" w:lastRow="0" w:firstColumn="0" w:lastColumn="0" w:oddVBand="0" w:evenVBand="0" w:oddHBand="1" w:evenHBand="0" w:firstRowFirstColumn="0" w:firstRowLastColumn="0" w:lastRowFirstColumn="0" w:lastRowLastColumn="0"/>
          <w:trHeight w:val="1251"/>
        </w:trPr>
        <w:tc>
          <w:tcPr>
            <w:cnfStyle w:val="001000000000" w:firstRow="0" w:lastRow="0" w:firstColumn="1" w:lastColumn="0" w:oddVBand="0" w:evenVBand="0" w:oddHBand="0" w:evenHBand="0" w:firstRowFirstColumn="0" w:firstRowLastColumn="0" w:lastRowFirstColumn="0" w:lastRowLastColumn="0"/>
            <w:tcW w:w="496" w:type="pct"/>
          </w:tcPr>
          <w:p w14:paraId="310B7D64"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Lusaka sustainable energy project </w:t>
            </w:r>
          </w:p>
          <w:p w14:paraId="20D63A86" w14:textId="77777777" w:rsidR="00245464" w:rsidRPr="00191ACB" w:rsidRDefault="00245464" w:rsidP="00245464">
            <w:pPr>
              <w:jc w:val="both"/>
              <w:rPr>
                <w:rFonts w:ascii="Times New Roman" w:hAnsi="Times New Roman"/>
                <w:color w:val="000000" w:themeColor="text1"/>
                <w:sz w:val="24"/>
                <w:szCs w:val="24"/>
              </w:rPr>
            </w:pPr>
          </w:p>
        </w:tc>
        <w:tc>
          <w:tcPr>
            <w:tcW w:w="935" w:type="pct"/>
          </w:tcPr>
          <w:p w14:paraId="558FEE4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provide up to 30,000 households of Lusaka City with highly efficient and durable Save80 Cooking Systems to replace the consumption of charcoal from non-renewable biomass by the use of small sticks from renewable sources of biomass.</w:t>
            </w:r>
          </w:p>
        </w:tc>
        <w:tc>
          <w:tcPr>
            <w:tcW w:w="812" w:type="pct"/>
          </w:tcPr>
          <w:p w14:paraId="0DB63F6B" w14:textId="77777777" w:rsidR="00245464" w:rsidRPr="00191ACB" w:rsidRDefault="00245464" w:rsidP="00245464">
            <w:pPr>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AMS-II.G.: </w:t>
            </w:r>
          </w:p>
        </w:tc>
        <w:tc>
          <w:tcPr>
            <w:tcW w:w="640" w:type="pct"/>
          </w:tcPr>
          <w:p w14:paraId="23ABA2D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Number of stoves installed</w:t>
            </w:r>
          </w:p>
          <w:p w14:paraId="0A9404EE" w14:textId="6719A31C"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Biomass energy consumption</w:t>
            </w:r>
          </w:p>
        </w:tc>
        <w:tc>
          <w:tcPr>
            <w:tcW w:w="585" w:type="pct"/>
          </w:tcPr>
          <w:p w14:paraId="6B8DCF9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reduce GHG emissions through use of efficient stoves</w:t>
            </w:r>
          </w:p>
        </w:tc>
        <w:tc>
          <w:tcPr>
            <w:tcW w:w="576" w:type="pct"/>
          </w:tcPr>
          <w:p w14:paraId="3A6299D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Ongoing</w:t>
            </w:r>
          </w:p>
        </w:tc>
        <w:tc>
          <w:tcPr>
            <w:tcW w:w="476" w:type="pct"/>
          </w:tcPr>
          <w:p w14:paraId="73B5BFC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annual average GHG emission reductions is 130032 tCO</w:t>
            </w:r>
            <w:r w:rsidRPr="00191ACB">
              <w:rPr>
                <w:rFonts w:ascii="Times New Roman" w:hAnsi="Times New Roman"/>
                <w:color w:val="000000" w:themeColor="text1"/>
                <w:sz w:val="24"/>
                <w:szCs w:val="24"/>
                <w:vertAlign w:val="subscript"/>
              </w:rPr>
              <w:t>2</w:t>
            </w:r>
          </w:p>
        </w:tc>
        <w:tc>
          <w:tcPr>
            <w:tcW w:w="480" w:type="pct"/>
          </w:tcPr>
          <w:p w14:paraId="1E8AFEE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Carbon Trading Under CDM</w:t>
            </w:r>
          </w:p>
        </w:tc>
      </w:tr>
      <w:tr w:rsidR="00245464" w:rsidRPr="00191ACB" w14:paraId="7E0B9A59" w14:textId="77777777" w:rsidTr="00A91A48">
        <w:trPr>
          <w:trHeight w:val="989"/>
        </w:trPr>
        <w:tc>
          <w:tcPr>
            <w:cnfStyle w:val="001000000000" w:firstRow="0" w:lastRow="0" w:firstColumn="1" w:lastColumn="0" w:oddVBand="0" w:evenVBand="0" w:oddHBand="0" w:evenHBand="0" w:firstRowFirstColumn="0" w:firstRowLastColumn="0" w:lastRowFirstColumn="0" w:lastRowLastColumn="0"/>
            <w:tcW w:w="496" w:type="pct"/>
          </w:tcPr>
          <w:p w14:paraId="75E38609"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Improved Cook stoves Programme for Zambia</w:t>
            </w:r>
          </w:p>
        </w:tc>
        <w:tc>
          <w:tcPr>
            <w:tcW w:w="935" w:type="pct"/>
          </w:tcPr>
          <w:p w14:paraId="3499EF0C" w14:textId="14317861"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Promotion, distribution / installation of fuel</w:t>
            </w:r>
            <w:r w:rsidR="00C739FE" w:rsidRPr="00191ACB">
              <w:rPr>
                <w:rFonts w:ascii="Times New Roman" w:hAnsi="Times New Roman"/>
                <w:color w:val="000000" w:themeColor="text1"/>
                <w:sz w:val="24"/>
                <w:szCs w:val="24"/>
              </w:rPr>
              <w:t xml:space="preserve"> </w:t>
            </w:r>
            <w:r w:rsidRPr="00191ACB">
              <w:rPr>
                <w:rFonts w:ascii="Times New Roman" w:hAnsi="Times New Roman"/>
                <w:color w:val="000000" w:themeColor="text1"/>
                <w:sz w:val="24"/>
                <w:szCs w:val="24"/>
              </w:rPr>
              <w:t>efficient improved cook stoves (ICS)</w:t>
            </w:r>
          </w:p>
        </w:tc>
        <w:tc>
          <w:tcPr>
            <w:tcW w:w="812" w:type="pct"/>
          </w:tcPr>
          <w:p w14:paraId="107468D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shd w:val="clear" w:color="auto" w:fill="F3F3F3"/>
              </w:rPr>
              <w:t xml:space="preserve">AMS-II.G.: </w:t>
            </w:r>
          </w:p>
        </w:tc>
        <w:tc>
          <w:tcPr>
            <w:tcW w:w="640" w:type="pct"/>
          </w:tcPr>
          <w:p w14:paraId="5CE7C764"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Number of stoves installed</w:t>
            </w:r>
          </w:p>
          <w:p w14:paraId="42D930C1" w14:textId="5D9369F9"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Biomass energy consumption</w:t>
            </w:r>
          </w:p>
        </w:tc>
        <w:tc>
          <w:tcPr>
            <w:tcW w:w="585" w:type="pct"/>
          </w:tcPr>
          <w:p w14:paraId="21302565"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reduce GHG emissions through use of efficient stoves</w:t>
            </w:r>
          </w:p>
        </w:tc>
        <w:tc>
          <w:tcPr>
            <w:tcW w:w="576" w:type="pct"/>
          </w:tcPr>
          <w:p w14:paraId="4F175FE5"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Ongoing</w:t>
            </w:r>
          </w:p>
        </w:tc>
        <w:tc>
          <w:tcPr>
            <w:tcW w:w="476" w:type="pct"/>
          </w:tcPr>
          <w:p w14:paraId="4EC6A39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annual average GHG emission reductions is 41046 tCO</w:t>
            </w:r>
            <w:r w:rsidRPr="00191ACB">
              <w:rPr>
                <w:rFonts w:ascii="Times New Roman" w:hAnsi="Times New Roman"/>
                <w:color w:val="000000" w:themeColor="text1"/>
                <w:sz w:val="24"/>
                <w:szCs w:val="24"/>
                <w:vertAlign w:val="subscript"/>
              </w:rPr>
              <w:t>2</w:t>
            </w:r>
          </w:p>
        </w:tc>
        <w:tc>
          <w:tcPr>
            <w:tcW w:w="480" w:type="pct"/>
          </w:tcPr>
          <w:p w14:paraId="357FAC8E"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Carbon Trading Under CDM</w:t>
            </w:r>
          </w:p>
        </w:tc>
      </w:tr>
    </w:tbl>
    <w:p w14:paraId="1E2D5593" w14:textId="77777777" w:rsidR="00BC40A9" w:rsidRPr="00191ACB" w:rsidRDefault="00BC40A9" w:rsidP="00245464">
      <w:pPr>
        <w:jc w:val="both"/>
        <w:rPr>
          <w:rFonts w:ascii="Times New Roman" w:eastAsia="Calibri" w:hAnsi="Times New Roman" w:cs="Times New Roman"/>
          <w:color w:val="000000" w:themeColor="text1"/>
          <w:sz w:val="24"/>
          <w:szCs w:val="24"/>
        </w:rPr>
        <w:sectPr w:rsidR="00BC40A9" w:rsidRPr="00191ACB" w:rsidSect="00BC40A9">
          <w:pgSz w:w="16834" w:h="11909" w:orient="landscape" w:code="9"/>
          <w:pgMar w:top="720" w:right="862" w:bottom="1440" w:left="862" w:header="720" w:footer="720" w:gutter="0"/>
          <w:cols w:space="720"/>
          <w:docGrid w:linePitch="360"/>
        </w:sectPr>
      </w:pPr>
    </w:p>
    <w:p w14:paraId="2DBA57F4" w14:textId="55942441" w:rsidR="00245464" w:rsidRPr="00191ACB" w:rsidRDefault="00CA49AF" w:rsidP="00D21C5B">
      <w:pPr>
        <w:pStyle w:val="Heading4"/>
        <w:numPr>
          <w:ilvl w:val="3"/>
          <w:numId w:val="36"/>
        </w:numPr>
        <w:ind w:left="851" w:hanging="851"/>
      </w:pPr>
      <w:bookmarkStart w:id="411" w:name="_Toc26264944"/>
      <w:r w:rsidRPr="00191ACB">
        <w:lastRenderedPageBreak/>
        <w:t>Mitigation</w:t>
      </w:r>
      <w:r w:rsidR="00245464" w:rsidRPr="00191ACB">
        <w:t xml:space="preserve"> Actions from Transport NAMA</w:t>
      </w:r>
      <w:bookmarkEnd w:id="411"/>
    </w:p>
    <w:p w14:paraId="60CD08ED" w14:textId="05915BF3"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Nationally Appropriate Mitigation Actions (NAMA)</w:t>
      </w:r>
      <w:r w:rsidR="00C739FE" w:rsidRPr="00191ACB">
        <w:rPr>
          <w:rFonts w:ascii="Times New Roman" w:eastAsia="Calibri" w:hAnsi="Times New Roman" w:cs="Times New Roman"/>
          <w:color w:val="000000" w:themeColor="text1"/>
          <w:sz w:val="24"/>
          <w:szCs w:val="24"/>
        </w:rPr>
        <w:t xml:space="preserve"> for transport</w:t>
      </w:r>
      <w:r w:rsidRPr="00191ACB">
        <w:rPr>
          <w:rFonts w:ascii="Times New Roman" w:eastAsia="Calibri" w:hAnsi="Times New Roman" w:cs="Times New Roman"/>
          <w:color w:val="000000" w:themeColor="text1"/>
          <w:sz w:val="24"/>
          <w:szCs w:val="24"/>
        </w:rPr>
        <w:t xml:space="preserve"> involves development of tramway system for Lusaka and Kitwe. The total number of tramway lines to be constructed is four (4) for Lusaka and three (3) for Kitwe having an estimated length of 140 kilometers and 26 kilometers, respectively. </w:t>
      </w:r>
      <w:r w:rsidR="00BC40A9" w:rsidRPr="00191ACB">
        <w:rPr>
          <w:rFonts w:ascii="Times New Roman" w:eastAsia="Calibri" w:hAnsi="Times New Roman" w:cs="Times New Roman"/>
          <w:color w:val="000000" w:themeColor="text1"/>
          <w:sz w:val="24"/>
          <w:szCs w:val="24"/>
        </w:rPr>
        <w:t xml:space="preserve"> </w:t>
      </w:r>
    </w:p>
    <w:p w14:paraId="34DC4B68" w14:textId="77777777"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Lusaka and Kitwe tramway projects are intended to support and promote growing local economies and create healthy, safe and sustainable environment to the two cities. Therefore, to meet the eco-friendly specification, priority is given to a tramway network running on electricity generated from solar PV with a Rapid Charge Accumulator (ACR). </w:t>
      </w:r>
    </w:p>
    <w:p w14:paraId="0245B06C" w14:textId="5806B7A9"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ACR is a solution for Lusaka and Kitwe. The ACR is an innovative solution developed for countries like Zambia that has periodical problems in power supply. The technology is a catenary-free (overhead power cable free) tram with an energy storage on board that stores braking energy, allowing the tram to run without a catenary between stops. This ground breaking technology is currently in use in many cities around the world. It is unprecedented in commercial operations as it helps to improve the integrity of urban transport while increasing energy efficiency. Typical characteristics of the tram with an ACR are that: (</w:t>
      </w:r>
      <w:r w:rsidR="00C739FE" w:rsidRPr="00191ACB">
        <w:rPr>
          <w:rFonts w:ascii="Times New Roman" w:eastAsia="Calibri" w:hAnsi="Times New Roman" w:cs="Times New Roman"/>
          <w:color w:val="000000" w:themeColor="text1"/>
          <w:sz w:val="24"/>
          <w:szCs w:val="24"/>
        </w:rPr>
        <w:t>i</w:t>
      </w:r>
      <w:r w:rsidRPr="00191ACB">
        <w:rPr>
          <w:rFonts w:ascii="Times New Roman" w:eastAsia="Calibri" w:hAnsi="Times New Roman" w:cs="Times New Roman"/>
          <w:color w:val="000000" w:themeColor="text1"/>
          <w:sz w:val="24"/>
          <w:szCs w:val="24"/>
        </w:rPr>
        <w:t>) Optimisation of energy supply; (iii) Autonomy to travel on catenary-free sections up to 1400 metres; (iii) Lower investment in infrastructure; (iv) Approximately 30% energy saving; (v) Ultra-fast charging process of up to 20 seconds for full charge.</w:t>
      </w:r>
    </w:p>
    <w:p w14:paraId="468DD854" w14:textId="5AF35A94"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ACR tram operates in such a way that the tram starts to run with the ACR free drive fully charged. Whist it travels from one stop to another the ACR free drive powers the traction system. During the braking process, the kinetic energy produced is fully recycled to the ACR free drive, which starts its recharging process. When the vehicle has stopped at designated charging point located at one of the chosen stops, the recharging of the ACR free drive is completed. The other beneficial aspect to this technology is that power source can be from the main grid, or alternative dedicated power source. Mitigation emissions from transport NAMA will increase from 73.4 Gg CO</w:t>
      </w:r>
      <w:r w:rsidRPr="00C12970">
        <w:rPr>
          <w:rFonts w:ascii="Times New Roman" w:eastAsia="Calibri" w:hAnsi="Times New Roman" w:cs="Times New Roman"/>
          <w:color w:val="000000" w:themeColor="text1"/>
          <w:sz w:val="24"/>
          <w:szCs w:val="24"/>
        </w:rPr>
        <w:t>2eq</w:t>
      </w:r>
      <w:r w:rsidRPr="00191ACB">
        <w:rPr>
          <w:rFonts w:ascii="Times New Roman" w:eastAsia="Calibri" w:hAnsi="Times New Roman" w:cs="Times New Roman"/>
          <w:color w:val="000000" w:themeColor="text1"/>
          <w:sz w:val="24"/>
          <w:szCs w:val="24"/>
        </w:rPr>
        <w:t xml:space="preserve"> in 2025 to 92.2GgCO</w:t>
      </w:r>
      <w:r w:rsidRPr="00C12970">
        <w:rPr>
          <w:rFonts w:ascii="Times New Roman" w:eastAsia="Calibri" w:hAnsi="Times New Roman" w:cs="Times New Roman"/>
          <w:color w:val="000000" w:themeColor="text1"/>
          <w:sz w:val="24"/>
          <w:szCs w:val="24"/>
        </w:rPr>
        <w:t>2eq</w:t>
      </w:r>
      <w:r w:rsidR="00501324" w:rsidRPr="00C12970">
        <w:rPr>
          <w:rFonts w:ascii="Times New Roman" w:eastAsia="Calibri" w:hAnsi="Times New Roman" w:cs="Times New Roman"/>
          <w:color w:val="000000" w:themeColor="text1"/>
          <w:sz w:val="24"/>
          <w:szCs w:val="24"/>
        </w:rPr>
        <w:t xml:space="preserve"> </w:t>
      </w:r>
      <w:r w:rsidR="00501324" w:rsidRPr="00191ACB">
        <w:rPr>
          <w:rFonts w:ascii="Times New Roman" w:eastAsia="Calibri" w:hAnsi="Times New Roman" w:cs="Times New Roman"/>
          <w:color w:val="000000" w:themeColor="text1"/>
          <w:sz w:val="24"/>
          <w:szCs w:val="24"/>
        </w:rPr>
        <w:t>in 2050 (</w:t>
      </w:r>
      <w:r w:rsidRPr="00191ACB">
        <w:rPr>
          <w:rFonts w:ascii="Times New Roman" w:eastAsia="Calibri" w:hAnsi="Times New Roman" w:cs="Times New Roman"/>
          <w:color w:val="000000" w:themeColor="text1"/>
          <w:sz w:val="24"/>
          <w:szCs w:val="24"/>
        </w:rPr>
        <w:t xml:space="preserve">Table </w:t>
      </w:r>
      <w:r w:rsidR="00501324" w:rsidRPr="00191ACB">
        <w:rPr>
          <w:rFonts w:ascii="Times New Roman" w:eastAsia="Calibri" w:hAnsi="Times New Roman" w:cs="Times New Roman"/>
          <w:color w:val="000000" w:themeColor="text1"/>
          <w:sz w:val="24"/>
          <w:szCs w:val="24"/>
        </w:rPr>
        <w:t>4.32</w:t>
      </w:r>
      <w:r w:rsidRPr="00191ACB">
        <w:rPr>
          <w:rFonts w:ascii="Times New Roman" w:eastAsia="Calibri" w:hAnsi="Times New Roman" w:cs="Times New Roman"/>
          <w:color w:val="000000" w:themeColor="text1"/>
          <w:sz w:val="24"/>
          <w:szCs w:val="24"/>
        </w:rPr>
        <w:t>).</w:t>
      </w:r>
    </w:p>
    <w:p w14:paraId="4AB0F817" w14:textId="2361DBDE" w:rsidR="00245464" w:rsidRPr="00191ACB" w:rsidRDefault="00245464" w:rsidP="005B2733">
      <w:pPr>
        <w:spacing w:after="120" w:line="240" w:lineRule="auto"/>
        <w:jc w:val="both"/>
        <w:rPr>
          <w:rFonts w:ascii="Times New Roman" w:eastAsia="Calibri" w:hAnsi="Times New Roman" w:cs="Times New Roman"/>
          <w:color w:val="000000" w:themeColor="text1"/>
          <w:sz w:val="24"/>
          <w:szCs w:val="24"/>
        </w:rPr>
      </w:pPr>
    </w:p>
    <w:p w14:paraId="7C3C9AAD" w14:textId="1A585051" w:rsidR="00CA49AF" w:rsidRPr="00191ACB" w:rsidRDefault="00CA49AF" w:rsidP="00CA49AF">
      <w:pPr>
        <w:pStyle w:val="Caption"/>
        <w:rPr>
          <w:rFonts w:eastAsia="Calibri"/>
          <w:color w:val="000000" w:themeColor="text1"/>
          <w:sz w:val="24"/>
          <w:szCs w:val="24"/>
        </w:rPr>
      </w:pPr>
      <w:bookmarkStart w:id="412" w:name="_Toc56583808"/>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32</w:t>
      </w:r>
      <w:r w:rsidR="00875942">
        <w:rPr>
          <w:sz w:val="24"/>
          <w:szCs w:val="24"/>
        </w:rPr>
        <w:fldChar w:fldCharType="end"/>
      </w:r>
      <w:r w:rsidRPr="00191ACB">
        <w:rPr>
          <w:sz w:val="24"/>
          <w:szCs w:val="24"/>
        </w:rPr>
        <w:t xml:space="preserve"> :Emission reduction potential for transport NAMA (Gg CO2 eq.)</w:t>
      </w:r>
      <w:bookmarkEnd w:id="412"/>
    </w:p>
    <w:tbl>
      <w:tblPr>
        <w:tblW w:w="4946" w:type="pct"/>
        <w:tblInd w:w="108" w:type="dxa"/>
        <w:tblLook w:val="04A0" w:firstRow="1" w:lastRow="0" w:firstColumn="1" w:lastColumn="0" w:noHBand="0" w:noVBand="1"/>
      </w:tblPr>
      <w:tblGrid>
        <w:gridCol w:w="1943"/>
        <w:gridCol w:w="696"/>
        <w:gridCol w:w="696"/>
        <w:gridCol w:w="696"/>
        <w:gridCol w:w="934"/>
        <w:gridCol w:w="934"/>
        <w:gridCol w:w="934"/>
        <w:gridCol w:w="934"/>
        <w:gridCol w:w="934"/>
        <w:gridCol w:w="933"/>
      </w:tblGrid>
      <w:tr w:rsidR="00C27BFD" w:rsidRPr="00191ACB" w14:paraId="68D85A84" w14:textId="77777777" w:rsidTr="00C27BFD">
        <w:trPr>
          <w:trHeight w:val="211"/>
        </w:trPr>
        <w:tc>
          <w:tcPr>
            <w:tcW w:w="100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2A7894" w14:textId="77777777" w:rsidR="00245464" w:rsidRPr="00191ACB" w:rsidRDefault="00245464" w:rsidP="005B2733">
            <w:pPr>
              <w:spacing w:after="120" w:line="240"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w:t>
            </w:r>
          </w:p>
        </w:tc>
        <w:tc>
          <w:tcPr>
            <w:tcW w:w="319" w:type="pct"/>
            <w:tcBorders>
              <w:top w:val="single" w:sz="4" w:space="0" w:color="auto"/>
              <w:left w:val="nil"/>
              <w:bottom w:val="single" w:sz="4" w:space="0" w:color="auto"/>
              <w:right w:val="single" w:sz="4" w:space="0" w:color="auto"/>
            </w:tcBorders>
            <w:shd w:val="clear" w:color="auto" w:fill="auto"/>
            <w:noWrap/>
            <w:vAlign w:val="bottom"/>
          </w:tcPr>
          <w:p w14:paraId="326080A9" w14:textId="77777777" w:rsidR="00245464" w:rsidRPr="00191ACB" w:rsidRDefault="00245464" w:rsidP="005B2733">
            <w:pPr>
              <w:spacing w:after="120" w:line="240"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2010</w:t>
            </w:r>
          </w:p>
        </w:tc>
        <w:tc>
          <w:tcPr>
            <w:tcW w:w="319" w:type="pct"/>
            <w:tcBorders>
              <w:top w:val="single" w:sz="4" w:space="0" w:color="auto"/>
              <w:left w:val="nil"/>
              <w:bottom w:val="single" w:sz="4" w:space="0" w:color="auto"/>
              <w:right w:val="single" w:sz="4" w:space="0" w:color="auto"/>
            </w:tcBorders>
            <w:shd w:val="clear" w:color="auto" w:fill="auto"/>
            <w:noWrap/>
            <w:vAlign w:val="bottom"/>
          </w:tcPr>
          <w:p w14:paraId="3B34A465" w14:textId="77777777" w:rsidR="00245464" w:rsidRPr="00191ACB" w:rsidRDefault="00245464" w:rsidP="005B2733">
            <w:pPr>
              <w:spacing w:after="120" w:line="240"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2015</w:t>
            </w:r>
          </w:p>
        </w:tc>
        <w:tc>
          <w:tcPr>
            <w:tcW w:w="319" w:type="pct"/>
            <w:tcBorders>
              <w:top w:val="single" w:sz="4" w:space="0" w:color="auto"/>
              <w:left w:val="nil"/>
              <w:bottom w:val="single" w:sz="4" w:space="0" w:color="auto"/>
              <w:right w:val="single" w:sz="4" w:space="0" w:color="auto"/>
            </w:tcBorders>
            <w:shd w:val="clear" w:color="auto" w:fill="auto"/>
            <w:noWrap/>
            <w:vAlign w:val="bottom"/>
          </w:tcPr>
          <w:p w14:paraId="6D938EBB" w14:textId="77777777" w:rsidR="00245464" w:rsidRPr="00191ACB" w:rsidRDefault="00245464" w:rsidP="005B2733">
            <w:pPr>
              <w:spacing w:after="120" w:line="240"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2020</w:t>
            </w:r>
          </w:p>
        </w:tc>
        <w:tc>
          <w:tcPr>
            <w:tcW w:w="507" w:type="pct"/>
            <w:tcBorders>
              <w:top w:val="single" w:sz="4" w:space="0" w:color="auto"/>
              <w:left w:val="nil"/>
              <w:bottom w:val="single" w:sz="4" w:space="0" w:color="auto"/>
              <w:right w:val="single" w:sz="4" w:space="0" w:color="auto"/>
            </w:tcBorders>
            <w:shd w:val="clear" w:color="auto" w:fill="auto"/>
            <w:noWrap/>
            <w:vAlign w:val="bottom"/>
          </w:tcPr>
          <w:p w14:paraId="50D7862E" w14:textId="77777777" w:rsidR="00245464" w:rsidRPr="00191ACB" w:rsidRDefault="00245464" w:rsidP="005B2733">
            <w:pPr>
              <w:spacing w:after="120" w:line="240"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2025</w:t>
            </w:r>
          </w:p>
        </w:tc>
        <w:tc>
          <w:tcPr>
            <w:tcW w:w="507" w:type="pct"/>
            <w:tcBorders>
              <w:top w:val="single" w:sz="4" w:space="0" w:color="auto"/>
              <w:left w:val="nil"/>
              <w:bottom w:val="single" w:sz="4" w:space="0" w:color="auto"/>
              <w:right w:val="single" w:sz="4" w:space="0" w:color="auto"/>
            </w:tcBorders>
            <w:shd w:val="clear" w:color="auto" w:fill="auto"/>
            <w:noWrap/>
            <w:vAlign w:val="bottom"/>
          </w:tcPr>
          <w:p w14:paraId="7743826D" w14:textId="77777777" w:rsidR="00245464" w:rsidRPr="00191ACB" w:rsidRDefault="00245464" w:rsidP="005B2733">
            <w:pPr>
              <w:spacing w:after="120" w:line="240"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2030</w:t>
            </w:r>
          </w:p>
        </w:tc>
        <w:tc>
          <w:tcPr>
            <w:tcW w:w="507" w:type="pct"/>
            <w:tcBorders>
              <w:top w:val="single" w:sz="4" w:space="0" w:color="auto"/>
              <w:left w:val="nil"/>
              <w:bottom w:val="single" w:sz="4" w:space="0" w:color="auto"/>
              <w:right w:val="single" w:sz="4" w:space="0" w:color="auto"/>
            </w:tcBorders>
            <w:shd w:val="clear" w:color="auto" w:fill="auto"/>
            <w:noWrap/>
            <w:vAlign w:val="bottom"/>
          </w:tcPr>
          <w:p w14:paraId="73EF8921" w14:textId="77777777" w:rsidR="00245464" w:rsidRPr="00191ACB" w:rsidRDefault="00245464" w:rsidP="005B2733">
            <w:pPr>
              <w:spacing w:after="120" w:line="240"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2035</w:t>
            </w:r>
          </w:p>
        </w:tc>
        <w:tc>
          <w:tcPr>
            <w:tcW w:w="507" w:type="pct"/>
            <w:tcBorders>
              <w:top w:val="single" w:sz="4" w:space="0" w:color="auto"/>
              <w:left w:val="nil"/>
              <w:bottom w:val="single" w:sz="4" w:space="0" w:color="auto"/>
              <w:right w:val="single" w:sz="4" w:space="0" w:color="auto"/>
            </w:tcBorders>
            <w:shd w:val="clear" w:color="auto" w:fill="auto"/>
            <w:noWrap/>
            <w:vAlign w:val="bottom"/>
          </w:tcPr>
          <w:p w14:paraId="476CA8CE" w14:textId="77777777" w:rsidR="00245464" w:rsidRPr="00191ACB" w:rsidRDefault="00245464" w:rsidP="005B2733">
            <w:pPr>
              <w:spacing w:after="120" w:line="240"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2040</w:t>
            </w:r>
          </w:p>
        </w:tc>
        <w:tc>
          <w:tcPr>
            <w:tcW w:w="507" w:type="pct"/>
            <w:tcBorders>
              <w:top w:val="single" w:sz="4" w:space="0" w:color="auto"/>
              <w:left w:val="nil"/>
              <w:bottom w:val="single" w:sz="4" w:space="0" w:color="auto"/>
              <w:right w:val="single" w:sz="4" w:space="0" w:color="auto"/>
            </w:tcBorders>
            <w:shd w:val="clear" w:color="auto" w:fill="auto"/>
            <w:noWrap/>
            <w:vAlign w:val="bottom"/>
          </w:tcPr>
          <w:p w14:paraId="2E94BD61" w14:textId="77777777" w:rsidR="00245464" w:rsidRPr="00191ACB" w:rsidRDefault="00245464" w:rsidP="005B2733">
            <w:pPr>
              <w:spacing w:after="120" w:line="240"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2045</w:t>
            </w:r>
          </w:p>
        </w:tc>
        <w:tc>
          <w:tcPr>
            <w:tcW w:w="507" w:type="pct"/>
            <w:tcBorders>
              <w:top w:val="single" w:sz="4" w:space="0" w:color="auto"/>
              <w:left w:val="nil"/>
              <w:bottom w:val="single" w:sz="4" w:space="0" w:color="auto"/>
              <w:right w:val="single" w:sz="4" w:space="0" w:color="auto"/>
            </w:tcBorders>
            <w:shd w:val="clear" w:color="auto" w:fill="auto"/>
            <w:noWrap/>
            <w:vAlign w:val="bottom"/>
          </w:tcPr>
          <w:p w14:paraId="1B320436" w14:textId="77777777" w:rsidR="00245464" w:rsidRPr="00191ACB" w:rsidRDefault="00245464" w:rsidP="005B2733">
            <w:pPr>
              <w:spacing w:after="120" w:line="240"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2050</w:t>
            </w:r>
          </w:p>
        </w:tc>
      </w:tr>
      <w:tr w:rsidR="00C27BFD" w:rsidRPr="00191ACB" w14:paraId="001DBB91" w14:textId="77777777" w:rsidTr="00C27BFD">
        <w:trPr>
          <w:trHeight w:val="300"/>
        </w:trPr>
        <w:tc>
          <w:tcPr>
            <w:tcW w:w="100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155E0F" w14:textId="77777777" w:rsidR="00245464" w:rsidRPr="00191ACB" w:rsidRDefault="0024546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Transport NAMA</w:t>
            </w:r>
          </w:p>
        </w:tc>
        <w:tc>
          <w:tcPr>
            <w:tcW w:w="319" w:type="pct"/>
            <w:tcBorders>
              <w:top w:val="single" w:sz="4" w:space="0" w:color="auto"/>
              <w:left w:val="nil"/>
              <w:bottom w:val="single" w:sz="4" w:space="0" w:color="auto"/>
              <w:right w:val="single" w:sz="4" w:space="0" w:color="auto"/>
            </w:tcBorders>
            <w:shd w:val="clear" w:color="auto" w:fill="auto"/>
            <w:noWrap/>
            <w:vAlign w:val="bottom"/>
            <w:hideMark/>
          </w:tcPr>
          <w:p w14:paraId="01C632B4" w14:textId="77777777" w:rsidR="00245464" w:rsidRPr="00191ACB" w:rsidRDefault="0024546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19" w:type="pct"/>
            <w:tcBorders>
              <w:top w:val="single" w:sz="4" w:space="0" w:color="auto"/>
              <w:left w:val="nil"/>
              <w:bottom w:val="single" w:sz="4" w:space="0" w:color="auto"/>
              <w:right w:val="single" w:sz="4" w:space="0" w:color="auto"/>
            </w:tcBorders>
            <w:shd w:val="clear" w:color="auto" w:fill="auto"/>
            <w:noWrap/>
            <w:vAlign w:val="bottom"/>
            <w:hideMark/>
          </w:tcPr>
          <w:p w14:paraId="2B93E148" w14:textId="77777777" w:rsidR="00245464" w:rsidRPr="00191ACB" w:rsidRDefault="0024546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319" w:type="pct"/>
            <w:tcBorders>
              <w:top w:val="single" w:sz="4" w:space="0" w:color="auto"/>
              <w:left w:val="nil"/>
              <w:bottom w:val="single" w:sz="4" w:space="0" w:color="auto"/>
              <w:right w:val="single" w:sz="4" w:space="0" w:color="auto"/>
            </w:tcBorders>
            <w:shd w:val="clear" w:color="auto" w:fill="auto"/>
            <w:noWrap/>
            <w:vAlign w:val="bottom"/>
            <w:hideMark/>
          </w:tcPr>
          <w:p w14:paraId="63366258" w14:textId="77777777" w:rsidR="00245464" w:rsidRPr="00191ACB" w:rsidRDefault="0024546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507" w:type="pct"/>
            <w:tcBorders>
              <w:top w:val="single" w:sz="4" w:space="0" w:color="auto"/>
              <w:left w:val="nil"/>
              <w:bottom w:val="single" w:sz="4" w:space="0" w:color="auto"/>
              <w:right w:val="single" w:sz="4" w:space="0" w:color="auto"/>
            </w:tcBorders>
            <w:shd w:val="clear" w:color="auto" w:fill="auto"/>
            <w:noWrap/>
            <w:vAlign w:val="bottom"/>
            <w:hideMark/>
          </w:tcPr>
          <w:p w14:paraId="3867BCFC" w14:textId="77777777" w:rsidR="00245464" w:rsidRPr="00191ACB" w:rsidRDefault="0024546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73.4</w:t>
            </w:r>
          </w:p>
        </w:tc>
        <w:tc>
          <w:tcPr>
            <w:tcW w:w="507" w:type="pct"/>
            <w:tcBorders>
              <w:top w:val="single" w:sz="4" w:space="0" w:color="auto"/>
              <w:left w:val="nil"/>
              <w:bottom w:val="single" w:sz="4" w:space="0" w:color="auto"/>
              <w:right w:val="single" w:sz="4" w:space="0" w:color="auto"/>
            </w:tcBorders>
            <w:shd w:val="clear" w:color="auto" w:fill="auto"/>
            <w:noWrap/>
            <w:vAlign w:val="bottom"/>
            <w:hideMark/>
          </w:tcPr>
          <w:p w14:paraId="7EC9E26A" w14:textId="77777777" w:rsidR="00245464" w:rsidRPr="00191ACB" w:rsidRDefault="0024546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92.5</w:t>
            </w:r>
          </w:p>
        </w:tc>
        <w:tc>
          <w:tcPr>
            <w:tcW w:w="507" w:type="pct"/>
            <w:tcBorders>
              <w:top w:val="single" w:sz="4" w:space="0" w:color="auto"/>
              <w:left w:val="nil"/>
              <w:bottom w:val="single" w:sz="4" w:space="0" w:color="auto"/>
              <w:right w:val="single" w:sz="4" w:space="0" w:color="auto"/>
            </w:tcBorders>
            <w:shd w:val="clear" w:color="auto" w:fill="auto"/>
            <w:noWrap/>
            <w:vAlign w:val="bottom"/>
            <w:hideMark/>
          </w:tcPr>
          <w:p w14:paraId="21FFF8AB" w14:textId="77777777" w:rsidR="00245464" w:rsidRPr="00191ACB" w:rsidRDefault="0024546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92.2</w:t>
            </w:r>
          </w:p>
        </w:tc>
        <w:tc>
          <w:tcPr>
            <w:tcW w:w="507" w:type="pct"/>
            <w:tcBorders>
              <w:top w:val="single" w:sz="4" w:space="0" w:color="auto"/>
              <w:left w:val="nil"/>
              <w:bottom w:val="single" w:sz="4" w:space="0" w:color="auto"/>
              <w:right w:val="single" w:sz="4" w:space="0" w:color="auto"/>
            </w:tcBorders>
            <w:shd w:val="clear" w:color="auto" w:fill="auto"/>
            <w:noWrap/>
            <w:vAlign w:val="bottom"/>
            <w:hideMark/>
          </w:tcPr>
          <w:p w14:paraId="73F36AD8" w14:textId="77777777" w:rsidR="00245464" w:rsidRPr="00191ACB" w:rsidRDefault="0024546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92.2</w:t>
            </w:r>
          </w:p>
        </w:tc>
        <w:tc>
          <w:tcPr>
            <w:tcW w:w="507" w:type="pct"/>
            <w:tcBorders>
              <w:top w:val="single" w:sz="4" w:space="0" w:color="auto"/>
              <w:left w:val="nil"/>
              <w:bottom w:val="single" w:sz="4" w:space="0" w:color="auto"/>
              <w:right w:val="single" w:sz="4" w:space="0" w:color="auto"/>
            </w:tcBorders>
            <w:shd w:val="clear" w:color="auto" w:fill="auto"/>
            <w:noWrap/>
            <w:vAlign w:val="bottom"/>
            <w:hideMark/>
          </w:tcPr>
          <w:p w14:paraId="5C56DF8C" w14:textId="77777777" w:rsidR="00245464" w:rsidRPr="00191ACB" w:rsidRDefault="0024546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92.2</w:t>
            </w:r>
          </w:p>
        </w:tc>
        <w:tc>
          <w:tcPr>
            <w:tcW w:w="507" w:type="pct"/>
            <w:tcBorders>
              <w:top w:val="single" w:sz="4" w:space="0" w:color="auto"/>
              <w:left w:val="nil"/>
              <w:bottom w:val="single" w:sz="4" w:space="0" w:color="auto"/>
              <w:right w:val="single" w:sz="4" w:space="0" w:color="auto"/>
            </w:tcBorders>
            <w:shd w:val="clear" w:color="auto" w:fill="auto"/>
            <w:noWrap/>
            <w:vAlign w:val="bottom"/>
            <w:hideMark/>
          </w:tcPr>
          <w:p w14:paraId="0BCADA1A" w14:textId="77777777" w:rsidR="00245464" w:rsidRPr="00191ACB" w:rsidRDefault="00245464"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92.2</w:t>
            </w:r>
          </w:p>
        </w:tc>
      </w:tr>
    </w:tbl>
    <w:p w14:paraId="0FB14BEC" w14:textId="77777777" w:rsidR="00245464" w:rsidRPr="00191ACB" w:rsidRDefault="00245464" w:rsidP="005E626A">
      <w:pPr>
        <w:spacing w:after="120" w:line="240" w:lineRule="auto"/>
        <w:ind w:left="765"/>
        <w:jc w:val="both"/>
        <w:rPr>
          <w:rFonts w:ascii="Times New Roman" w:eastAsia="Calibri" w:hAnsi="Times New Roman" w:cs="Times New Roman"/>
          <w:color w:val="000000" w:themeColor="text1"/>
          <w:sz w:val="24"/>
          <w:szCs w:val="24"/>
        </w:rPr>
      </w:pPr>
    </w:p>
    <w:p w14:paraId="1FBA5097" w14:textId="33700B1F"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hydro NAMA was not added to the emissions reductions because the baseline emissions from diesel gen-sets have been replaced through grid extension. The emissions reduction from decommissioned diesel gen sets was not added to the total mitigation since the gen sets have been re-deployed in other parts of the country after decommissioning them from original installations.</w:t>
      </w:r>
      <w:r w:rsidR="005B5FDA" w:rsidRPr="00C12970" w:rsidDel="005B5FDA">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(ZESCO, 2017)</w:t>
      </w:r>
      <w:r w:rsidR="00C739FE"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Details on mitigation actions on transport NAMA is provided in </w:t>
      </w:r>
      <w:r w:rsidR="00501324" w:rsidRPr="00191ACB">
        <w:rPr>
          <w:rFonts w:ascii="Times New Roman" w:eastAsia="Calibri" w:hAnsi="Times New Roman" w:cs="Times New Roman"/>
          <w:color w:val="000000" w:themeColor="text1"/>
          <w:sz w:val="24"/>
          <w:szCs w:val="24"/>
        </w:rPr>
        <w:t>Table 4.33.</w:t>
      </w:r>
    </w:p>
    <w:p w14:paraId="49B26702" w14:textId="77777777" w:rsidR="00245464" w:rsidRPr="00191ACB" w:rsidRDefault="00245464" w:rsidP="00245464">
      <w:pPr>
        <w:autoSpaceDE w:val="0"/>
        <w:autoSpaceDN w:val="0"/>
        <w:adjustRightInd w:val="0"/>
        <w:spacing w:after="0" w:line="240" w:lineRule="auto"/>
        <w:jc w:val="both"/>
        <w:rPr>
          <w:rFonts w:ascii="Times New Roman" w:eastAsia="Calibri" w:hAnsi="Times New Roman" w:cs="Times New Roman"/>
          <w:color w:val="000000" w:themeColor="text1"/>
          <w:sz w:val="24"/>
          <w:szCs w:val="24"/>
        </w:rPr>
      </w:pPr>
    </w:p>
    <w:p w14:paraId="5C26A5F2" w14:textId="77777777" w:rsidR="00D326BE" w:rsidRPr="00191ACB" w:rsidRDefault="00D326BE" w:rsidP="00245464">
      <w:pPr>
        <w:autoSpaceDE w:val="0"/>
        <w:autoSpaceDN w:val="0"/>
        <w:adjustRightInd w:val="0"/>
        <w:spacing w:after="0" w:line="240" w:lineRule="auto"/>
        <w:jc w:val="both"/>
        <w:rPr>
          <w:rFonts w:ascii="Times New Roman" w:eastAsia="Calibri" w:hAnsi="Times New Roman" w:cs="Times New Roman"/>
          <w:color w:val="000000" w:themeColor="text1"/>
          <w:sz w:val="24"/>
          <w:szCs w:val="24"/>
        </w:rPr>
        <w:sectPr w:rsidR="00D326BE" w:rsidRPr="00191ACB" w:rsidSect="00BC40A9">
          <w:pgSz w:w="11909" w:h="16834" w:code="9"/>
          <w:pgMar w:top="862" w:right="720" w:bottom="862" w:left="1440" w:header="720" w:footer="720" w:gutter="0"/>
          <w:cols w:space="720"/>
          <w:docGrid w:linePitch="360"/>
        </w:sectPr>
      </w:pPr>
    </w:p>
    <w:p w14:paraId="51B9162C" w14:textId="3D45348D" w:rsidR="00245464" w:rsidRPr="00191ACB" w:rsidRDefault="00CA49AF" w:rsidP="00CA49AF">
      <w:pPr>
        <w:pStyle w:val="Caption"/>
        <w:rPr>
          <w:rFonts w:eastAsia="Calibri"/>
          <w:color w:val="000000" w:themeColor="text1"/>
          <w:sz w:val="24"/>
          <w:szCs w:val="24"/>
        </w:rPr>
      </w:pPr>
      <w:bookmarkStart w:id="413" w:name="_Toc56583809"/>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33</w:t>
      </w:r>
      <w:r w:rsidR="00875942">
        <w:rPr>
          <w:sz w:val="24"/>
          <w:szCs w:val="24"/>
        </w:rPr>
        <w:fldChar w:fldCharType="end"/>
      </w:r>
      <w:r w:rsidRPr="00191ACB">
        <w:rPr>
          <w:sz w:val="24"/>
          <w:szCs w:val="24"/>
        </w:rPr>
        <w:t>: Mitigation action for transport NAMA</w:t>
      </w:r>
      <w:bookmarkEnd w:id="413"/>
    </w:p>
    <w:tbl>
      <w:tblPr>
        <w:tblStyle w:val="GridTable4-Accent11"/>
        <w:tblW w:w="5091" w:type="pct"/>
        <w:tblLayout w:type="fixed"/>
        <w:tblLook w:val="04A0" w:firstRow="1" w:lastRow="0" w:firstColumn="1" w:lastColumn="0" w:noHBand="0" w:noVBand="1"/>
      </w:tblPr>
      <w:tblGrid>
        <w:gridCol w:w="1750"/>
        <w:gridCol w:w="1541"/>
        <w:gridCol w:w="2417"/>
        <w:gridCol w:w="1759"/>
        <w:gridCol w:w="1759"/>
        <w:gridCol w:w="2109"/>
        <w:gridCol w:w="2066"/>
        <w:gridCol w:w="1974"/>
      </w:tblGrid>
      <w:tr w:rsidR="00D326BE" w:rsidRPr="00191ACB" w14:paraId="6A16B67F" w14:textId="77777777" w:rsidTr="00D326BE">
        <w:trPr>
          <w:cnfStyle w:val="100000000000" w:firstRow="1" w:lastRow="0" w:firstColumn="0" w:lastColumn="0" w:oddVBand="0" w:evenVBand="0" w:oddHBand="0"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569" w:type="pct"/>
          </w:tcPr>
          <w:p w14:paraId="449466FB"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501" w:type="pct"/>
          </w:tcPr>
          <w:p w14:paraId="0C3F9297"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786" w:type="pct"/>
          </w:tcPr>
          <w:p w14:paraId="7DE75171"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572" w:type="pct"/>
          </w:tcPr>
          <w:p w14:paraId="2E2C4ACC"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572" w:type="pct"/>
          </w:tcPr>
          <w:p w14:paraId="743E3991"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tc>
        <w:tc>
          <w:tcPr>
            <w:tcW w:w="686" w:type="pct"/>
          </w:tcPr>
          <w:p w14:paraId="12335821"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672" w:type="pct"/>
          </w:tcPr>
          <w:p w14:paraId="56C8A58E"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val="x-none" w:eastAsia="x-none"/>
              </w:rPr>
              <w:t xml:space="preserve">Estimated emission reduction </w:t>
            </w:r>
            <w:r w:rsidRPr="00191ACB">
              <w:rPr>
                <w:rFonts w:ascii="Times New Roman" w:hAnsi="Times New Roman"/>
                <w:color w:val="000000" w:themeColor="text1"/>
                <w:sz w:val="24"/>
                <w:szCs w:val="24"/>
                <w:lang w:eastAsia="x-none"/>
              </w:rPr>
              <w:t>cumulative by 2050 Gg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vertAlign w:val="subscript"/>
                <w:lang w:eastAsia="x-none"/>
              </w:rPr>
              <w:t>eq</w:t>
            </w:r>
          </w:p>
        </w:tc>
        <w:tc>
          <w:tcPr>
            <w:tcW w:w="642" w:type="pct"/>
          </w:tcPr>
          <w:p w14:paraId="6A8421EF"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nternational market mechanisms</w:t>
            </w:r>
          </w:p>
        </w:tc>
      </w:tr>
      <w:tr w:rsidR="00D326BE" w:rsidRPr="00191ACB" w14:paraId="788948D0" w14:textId="77777777" w:rsidTr="00D326BE">
        <w:trPr>
          <w:cnfStyle w:val="000000100000" w:firstRow="0" w:lastRow="0" w:firstColumn="0" w:lastColumn="0" w:oddVBand="0" w:evenVBand="0" w:oddHBand="1" w:evenHBand="0" w:firstRowFirstColumn="0" w:firstRowLastColumn="0" w:lastRowFirstColumn="0" w:lastRowLastColumn="0"/>
          <w:trHeight w:val="768"/>
        </w:trPr>
        <w:tc>
          <w:tcPr>
            <w:cnfStyle w:val="001000000000" w:firstRow="0" w:lastRow="0" w:firstColumn="1" w:lastColumn="0" w:oddVBand="0" w:evenVBand="0" w:oddHBand="0" w:evenHBand="0" w:firstRowFirstColumn="0" w:firstRowLastColumn="0" w:lastRowFirstColumn="0" w:lastRowLastColumn="0"/>
            <w:tcW w:w="569" w:type="pct"/>
          </w:tcPr>
          <w:p w14:paraId="04641CD4"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Transport NAMA</w:t>
            </w:r>
          </w:p>
        </w:tc>
        <w:tc>
          <w:tcPr>
            <w:tcW w:w="501" w:type="pct"/>
          </w:tcPr>
          <w:p w14:paraId="0FB299B4" w14:textId="44E6BCFA"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Tramway development for Lusaka and Kitwe</w:t>
            </w:r>
          </w:p>
        </w:tc>
        <w:tc>
          <w:tcPr>
            <w:tcW w:w="786" w:type="pct"/>
          </w:tcPr>
          <w:p w14:paraId="51BF5A1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Algorithms provided in equations 24 and 25</w:t>
            </w:r>
          </w:p>
        </w:tc>
        <w:tc>
          <w:tcPr>
            <w:tcW w:w="572" w:type="pct"/>
          </w:tcPr>
          <w:p w14:paraId="34EF298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number of passengers carried per route</w:t>
            </w:r>
          </w:p>
        </w:tc>
        <w:tc>
          <w:tcPr>
            <w:tcW w:w="572" w:type="pct"/>
          </w:tcPr>
          <w:p w14:paraId="5619C4D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reduce GHG emissions through use for mass transit system</w:t>
            </w:r>
          </w:p>
        </w:tc>
        <w:tc>
          <w:tcPr>
            <w:tcW w:w="686" w:type="pct"/>
          </w:tcPr>
          <w:p w14:paraId="35A2266E" w14:textId="09061393" w:rsidR="00245464" w:rsidRPr="00191ACB" w:rsidRDefault="004A2C5D"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Planned </w:t>
            </w:r>
          </w:p>
        </w:tc>
        <w:tc>
          <w:tcPr>
            <w:tcW w:w="672" w:type="pct"/>
          </w:tcPr>
          <w:p w14:paraId="28A9232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92.2</w:t>
            </w:r>
          </w:p>
        </w:tc>
        <w:tc>
          <w:tcPr>
            <w:tcW w:w="642" w:type="pct"/>
          </w:tcPr>
          <w:p w14:paraId="7BB5624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bl>
    <w:p w14:paraId="45BB44C7"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p>
    <w:p w14:paraId="3C4A71D1" w14:textId="42DB0CC1"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baseline emissions for the NAMA is developed using IPCC Methodology requiring knowledge of activity data and emission factor for the mini-buses which are being replaced by the Zambian City Integrated Tramway (ZAMCIT). The activity data is the number of passenger-kilometre (pkm) and distance covered by equivalent number of mini-buses to one tramway coach (Transport NAMA, 2016)). The emission factor has been determined based on Zambia’s experience on use of mini-buses as the main model of public transport plus personal cars that will switch to the tramway mode of transport. Based on the amount of average fuel consumed per kilometre, and knowledge of average kilometres covered, and number of passengers carried per route, the emission factor has been estimated at 0.0022gCO</w:t>
      </w:r>
      <w:r w:rsidRPr="00C12970">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/pkm. This is determined from average fuel consumption of mini-bus per kilometre and the average distance covered by the mini buses. The fuel consumption thus obtained is then used to calculate the CO</w:t>
      </w:r>
      <w:r w:rsidRPr="00C12970">
        <w:rPr>
          <w:rFonts w:ascii="Times New Roman" w:eastAsia="Calibri" w:hAnsi="Times New Roman" w:cs="Times New Roman"/>
          <w:color w:val="000000" w:themeColor="text1"/>
          <w:sz w:val="24"/>
          <w:szCs w:val="24"/>
        </w:rPr>
        <w:t xml:space="preserve">2 </w:t>
      </w:r>
      <w:r w:rsidRPr="00191ACB">
        <w:rPr>
          <w:rFonts w:ascii="Times New Roman" w:eastAsia="Calibri" w:hAnsi="Times New Roman" w:cs="Times New Roman"/>
          <w:color w:val="000000" w:themeColor="text1"/>
          <w:sz w:val="24"/>
          <w:szCs w:val="24"/>
        </w:rPr>
        <w:t>and with the knowledge of the distance we obtain gCO</w:t>
      </w:r>
      <w:r w:rsidRPr="00C12970">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/pkm. In the absence of the NAMA measure, baseline emissions constitute use of fossil fuel driven mini buses for the project period up to 2030. </w:t>
      </w:r>
      <w:r w:rsidR="00BC40A9"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The mitigation scenario being employed under this NAMA is ZAMCIT that will be power driven by electricity from renewable energy sources. As a </w:t>
      </w:r>
      <w:r w:rsidR="001605E3" w:rsidRPr="00191ACB">
        <w:rPr>
          <w:rFonts w:ascii="Times New Roman" w:eastAsia="Calibri" w:hAnsi="Times New Roman" w:cs="Times New Roman"/>
          <w:color w:val="000000" w:themeColor="text1"/>
          <w:sz w:val="24"/>
          <w:szCs w:val="24"/>
        </w:rPr>
        <w:t>result,</w:t>
      </w:r>
      <w:r w:rsidRPr="00191ACB">
        <w:rPr>
          <w:rFonts w:ascii="Times New Roman" w:eastAsia="Calibri" w:hAnsi="Times New Roman" w:cs="Times New Roman"/>
          <w:color w:val="000000" w:themeColor="text1"/>
          <w:sz w:val="24"/>
          <w:szCs w:val="24"/>
        </w:rPr>
        <w:t xml:space="preserve"> will yield zero emissions since the source of electricity is renewable energy-hydropower</w:t>
      </w:r>
      <w:r w:rsidR="00BC40A9" w:rsidRPr="00191ACB">
        <w:rPr>
          <w:rFonts w:ascii="Times New Roman" w:eastAsia="Calibri" w:hAnsi="Times New Roman" w:cs="Times New Roman"/>
          <w:color w:val="000000" w:themeColor="text1"/>
          <w:sz w:val="24"/>
          <w:szCs w:val="24"/>
        </w:rPr>
        <w:t>.</w:t>
      </w:r>
    </w:p>
    <w:p w14:paraId="0EFD2B81" w14:textId="0A95877D" w:rsidR="00245464" w:rsidRPr="00191ACB" w:rsidRDefault="00245464" w:rsidP="00D21C5B">
      <w:pPr>
        <w:pStyle w:val="Heading4"/>
        <w:numPr>
          <w:ilvl w:val="3"/>
          <w:numId w:val="36"/>
        </w:numPr>
        <w:ind w:left="851" w:hanging="851"/>
      </w:pPr>
      <w:bookmarkStart w:id="414" w:name="_Toc26264945"/>
      <w:r w:rsidRPr="00191ACB">
        <w:t>Mitigation Actions from Energy under NDC</w:t>
      </w:r>
      <w:bookmarkEnd w:id="414"/>
    </w:p>
    <w:p w14:paraId="0F8208BA" w14:textId="77777777" w:rsidR="00CA49AF" w:rsidRPr="00191ACB" w:rsidRDefault="00CA49AF" w:rsidP="00CA49AF">
      <w:pPr>
        <w:pStyle w:val="ListParagraph"/>
      </w:pPr>
    </w:p>
    <w:p w14:paraId="217ABFC5" w14:textId="68850ED8" w:rsidR="00245464" w:rsidRPr="00191ACB" w:rsidRDefault="00E9026A"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Provided in Table </w:t>
      </w:r>
      <w:r w:rsidR="00501324" w:rsidRPr="00191ACB">
        <w:rPr>
          <w:rFonts w:ascii="Times New Roman" w:eastAsia="Calibri" w:hAnsi="Times New Roman" w:cs="Times New Roman"/>
          <w:color w:val="000000" w:themeColor="text1"/>
          <w:sz w:val="24"/>
          <w:szCs w:val="24"/>
        </w:rPr>
        <w:t>4.34</w:t>
      </w:r>
      <w:r w:rsidR="00245464" w:rsidRPr="00191ACB">
        <w:rPr>
          <w:rFonts w:ascii="Times New Roman" w:eastAsia="Calibri" w:hAnsi="Times New Roman" w:cs="Times New Roman"/>
          <w:color w:val="000000" w:themeColor="text1"/>
          <w:sz w:val="24"/>
          <w:szCs w:val="24"/>
        </w:rPr>
        <w:t xml:space="preserve"> are emissions reduction potential for constrained scenario. It is assumed that the original growth rates (2020-2030) are same for extended projection period 2030 to 2050. </w:t>
      </w:r>
    </w:p>
    <w:p w14:paraId="7D1B9C1D" w14:textId="4ADEAE79" w:rsidR="00245464" w:rsidRPr="00191ACB" w:rsidRDefault="00CA49AF" w:rsidP="00CA49AF">
      <w:pPr>
        <w:pStyle w:val="Caption"/>
        <w:rPr>
          <w:rFonts w:eastAsia="Calibri"/>
          <w:color w:val="000000" w:themeColor="text1"/>
          <w:sz w:val="24"/>
          <w:szCs w:val="24"/>
        </w:rPr>
      </w:pPr>
      <w:bookmarkStart w:id="415" w:name="_Toc56583810"/>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34</w:t>
      </w:r>
      <w:r w:rsidR="00875942">
        <w:rPr>
          <w:sz w:val="24"/>
          <w:szCs w:val="24"/>
        </w:rPr>
        <w:fldChar w:fldCharType="end"/>
      </w:r>
      <w:r w:rsidRPr="00191ACB">
        <w:rPr>
          <w:sz w:val="24"/>
          <w:szCs w:val="24"/>
        </w:rPr>
        <w:t>: Emissions reduction potential for constrained scenario</w:t>
      </w:r>
      <w:bookmarkEnd w:id="415"/>
    </w:p>
    <w:tbl>
      <w:tblPr>
        <w:tblW w:w="5000" w:type="pct"/>
        <w:tblLook w:val="04A0" w:firstRow="1" w:lastRow="0" w:firstColumn="1" w:lastColumn="0" w:noHBand="0" w:noVBand="1"/>
      </w:tblPr>
      <w:tblGrid>
        <w:gridCol w:w="3012"/>
        <w:gridCol w:w="983"/>
        <w:gridCol w:w="983"/>
        <w:gridCol w:w="1378"/>
        <w:gridCol w:w="1538"/>
        <w:gridCol w:w="1378"/>
        <w:gridCol w:w="1537"/>
        <w:gridCol w:w="1377"/>
        <w:gridCol w:w="1537"/>
        <w:gridCol w:w="1377"/>
      </w:tblGrid>
      <w:tr w:rsidR="00245464" w:rsidRPr="00191ACB" w14:paraId="214D73AC" w14:textId="77777777" w:rsidTr="00A91A48">
        <w:trPr>
          <w:trHeight w:val="300"/>
        </w:trPr>
        <w:tc>
          <w:tcPr>
            <w:tcW w:w="9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41038A"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w:t>
            </w:r>
          </w:p>
        </w:tc>
        <w:tc>
          <w:tcPr>
            <w:tcW w:w="325" w:type="pct"/>
            <w:tcBorders>
              <w:top w:val="single" w:sz="4" w:space="0" w:color="auto"/>
              <w:left w:val="nil"/>
              <w:bottom w:val="single" w:sz="4" w:space="0" w:color="auto"/>
              <w:right w:val="single" w:sz="4" w:space="0" w:color="auto"/>
            </w:tcBorders>
            <w:shd w:val="clear" w:color="auto" w:fill="auto"/>
            <w:noWrap/>
            <w:vAlign w:val="bottom"/>
            <w:hideMark/>
          </w:tcPr>
          <w:p w14:paraId="04319A7B"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2010</w:t>
            </w:r>
          </w:p>
        </w:tc>
        <w:tc>
          <w:tcPr>
            <w:tcW w:w="325" w:type="pct"/>
            <w:tcBorders>
              <w:top w:val="single" w:sz="4" w:space="0" w:color="auto"/>
              <w:left w:val="nil"/>
              <w:bottom w:val="single" w:sz="4" w:space="0" w:color="auto"/>
              <w:right w:val="single" w:sz="4" w:space="0" w:color="auto"/>
            </w:tcBorders>
            <w:shd w:val="clear" w:color="auto" w:fill="auto"/>
            <w:noWrap/>
            <w:vAlign w:val="bottom"/>
            <w:hideMark/>
          </w:tcPr>
          <w:p w14:paraId="7E000FE3"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2015</w:t>
            </w:r>
          </w:p>
        </w:tc>
        <w:tc>
          <w:tcPr>
            <w:tcW w:w="456" w:type="pct"/>
            <w:tcBorders>
              <w:top w:val="single" w:sz="4" w:space="0" w:color="auto"/>
              <w:left w:val="nil"/>
              <w:bottom w:val="single" w:sz="4" w:space="0" w:color="auto"/>
              <w:right w:val="single" w:sz="4" w:space="0" w:color="auto"/>
            </w:tcBorders>
            <w:shd w:val="clear" w:color="auto" w:fill="auto"/>
            <w:noWrap/>
            <w:vAlign w:val="bottom"/>
            <w:hideMark/>
          </w:tcPr>
          <w:p w14:paraId="636E61F0"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2020</w:t>
            </w:r>
          </w:p>
        </w:tc>
        <w:tc>
          <w:tcPr>
            <w:tcW w:w="509" w:type="pct"/>
            <w:tcBorders>
              <w:top w:val="single" w:sz="4" w:space="0" w:color="auto"/>
              <w:left w:val="nil"/>
              <w:bottom w:val="single" w:sz="4" w:space="0" w:color="auto"/>
              <w:right w:val="single" w:sz="4" w:space="0" w:color="auto"/>
            </w:tcBorders>
            <w:shd w:val="clear" w:color="auto" w:fill="auto"/>
            <w:noWrap/>
            <w:vAlign w:val="bottom"/>
            <w:hideMark/>
          </w:tcPr>
          <w:p w14:paraId="1CB01260"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2025</w:t>
            </w:r>
          </w:p>
        </w:tc>
        <w:tc>
          <w:tcPr>
            <w:tcW w:w="456" w:type="pct"/>
            <w:tcBorders>
              <w:top w:val="single" w:sz="4" w:space="0" w:color="auto"/>
              <w:left w:val="nil"/>
              <w:bottom w:val="single" w:sz="4" w:space="0" w:color="auto"/>
              <w:right w:val="single" w:sz="4" w:space="0" w:color="auto"/>
            </w:tcBorders>
            <w:shd w:val="clear" w:color="auto" w:fill="auto"/>
            <w:noWrap/>
            <w:vAlign w:val="bottom"/>
            <w:hideMark/>
          </w:tcPr>
          <w:p w14:paraId="29BDACB7"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2030</w:t>
            </w:r>
          </w:p>
        </w:tc>
        <w:tc>
          <w:tcPr>
            <w:tcW w:w="509" w:type="pct"/>
            <w:tcBorders>
              <w:top w:val="single" w:sz="4" w:space="0" w:color="auto"/>
              <w:left w:val="nil"/>
              <w:bottom w:val="single" w:sz="4" w:space="0" w:color="auto"/>
              <w:right w:val="single" w:sz="4" w:space="0" w:color="auto"/>
            </w:tcBorders>
            <w:shd w:val="clear" w:color="auto" w:fill="auto"/>
            <w:noWrap/>
            <w:vAlign w:val="bottom"/>
            <w:hideMark/>
          </w:tcPr>
          <w:p w14:paraId="6C97B907"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2035</w:t>
            </w:r>
          </w:p>
        </w:tc>
        <w:tc>
          <w:tcPr>
            <w:tcW w:w="456" w:type="pct"/>
            <w:tcBorders>
              <w:top w:val="single" w:sz="4" w:space="0" w:color="auto"/>
              <w:left w:val="nil"/>
              <w:bottom w:val="single" w:sz="4" w:space="0" w:color="auto"/>
              <w:right w:val="single" w:sz="4" w:space="0" w:color="auto"/>
            </w:tcBorders>
            <w:shd w:val="clear" w:color="auto" w:fill="auto"/>
            <w:noWrap/>
            <w:vAlign w:val="bottom"/>
            <w:hideMark/>
          </w:tcPr>
          <w:p w14:paraId="13A22580"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2040</w:t>
            </w:r>
          </w:p>
        </w:tc>
        <w:tc>
          <w:tcPr>
            <w:tcW w:w="509" w:type="pct"/>
            <w:tcBorders>
              <w:top w:val="single" w:sz="4" w:space="0" w:color="auto"/>
              <w:left w:val="nil"/>
              <w:bottom w:val="single" w:sz="4" w:space="0" w:color="auto"/>
              <w:right w:val="single" w:sz="4" w:space="0" w:color="auto"/>
            </w:tcBorders>
            <w:shd w:val="clear" w:color="auto" w:fill="auto"/>
            <w:noWrap/>
            <w:vAlign w:val="bottom"/>
            <w:hideMark/>
          </w:tcPr>
          <w:p w14:paraId="4E855EF7"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2045</w:t>
            </w:r>
          </w:p>
        </w:tc>
        <w:tc>
          <w:tcPr>
            <w:tcW w:w="456" w:type="pct"/>
            <w:tcBorders>
              <w:top w:val="single" w:sz="4" w:space="0" w:color="auto"/>
              <w:left w:val="nil"/>
              <w:bottom w:val="single" w:sz="4" w:space="0" w:color="auto"/>
              <w:right w:val="single" w:sz="4" w:space="0" w:color="auto"/>
            </w:tcBorders>
            <w:shd w:val="clear" w:color="auto" w:fill="auto"/>
            <w:noWrap/>
            <w:vAlign w:val="bottom"/>
            <w:hideMark/>
          </w:tcPr>
          <w:p w14:paraId="6D98FDCC"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2050</w:t>
            </w:r>
          </w:p>
        </w:tc>
      </w:tr>
      <w:tr w:rsidR="00245464" w:rsidRPr="00191ACB" w14:paraId="45114B77" w14:textId="77777777" w:rsidTr="00A91A48">
        <w:trPr>
          <w:trHeight w:val="194"/>
        </w:trPr>
        <w:tc>
          <w:tcPr>
            <w:tcW w:w="997" w:type="pct"/>
            <w:tcBorders>
              <w:top w:val="nil"/>
              <w:left w:val="single" w:sz="4" w:space="0" w:color="auto"/>
              <w:bottom w:val="single" w:sz="4" w:space="0" w:color="auto"/>
              <w:right w:val="single" w:sz="4" w:space="0" w:color="auto"/>
            </w:tcBorders>
            <w:shd w:val="clear" w:color="auto" w:fill="auto"/>
            <w:noWrap/>
            <w:vAlign w:val="bottom"/>
            <w:hideMark/>
          </w:tcPr>
          <w:p w14:paraId="335B4B00"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NDC-Energy </w:t>
            </w:r>
          </w:p>
        </w:tc>
        <w:tc>
          <w:tcPr>
            <w:tcW w:w="32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591DB5"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w:t>
            </w:r>
          </w:p>
        </w:tc>
        <w:tc>
          <w:tcPr>
            <w:tcW w:w="325" w:type="pct"/>
            <w:tcBorders>
              <w:top w:val="single" w:sz="4" w:space="0" w:color="auto"/>
              <w:left w:val="nil"/>
              <w:bottom w:val="single" w:sz="4" w:space="0" w:color="auto"/>
              <w:right w:val="single" w:sz="4" w:space="0" w:color="auto"/>
            </w:tcBorders>
            <w:shd w:val="clear" w:color="auto" w:fill="auto"/>
            <w:noWrap/>
            <w:vAlign w:val="bottom"/>
            <w:hideMark/>
          </w:tcPr>
          <w:p w14:paraId="05D59960"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0.0</w:t>
            </w:r>
          </w:p>
        </w:tc>
        <w:tc>
          <w:tcPr>
            <w:tcW w:w="456" w:type="pct"/>
            <w:tcBorders>
              <w:top w:val="single" w:sz="4" w:space="0" w:color="auto"/>
              <w:left w:val="nil"/>
              <w:bottom w:val="single" w:sz="4" w:space="0" w:color="auto"/>
              <w:right w:val="single" w:sz="4" w:space="0" w:color="auto"/>
            </w:tcBorders>
            <w:shd w:val="clear" w:color="auto" w:fill="auto"/>
            <w:noWrap/>
            <w:vAlign w:val="bottom"/>
            <w:hideMark/>
          </w:tcPr>
          <w:p w14:paraId="6E69AB93"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2562.8</w:t>
            </w:r>
          </w:p>
        </w:tc>
        <w:tc>
          <w:tcPr>
            <w:tcW w:w="509" w:type="pct"/>
            <w:tcBorders>
              <w:top w:val="single" w:sz="4" w:space="0" w:color="auto"/>
              <w:left w:val="nil"/>
              <w:bottom w:val="single" w:sz="4" w:space="0" w:color="auto"/>
              <w:right w:val="single" w:sz="4" w:space="0" w:color="auto"/>
            </w:tcBorders>
            <w:shd w:val="clear" w:color="auto" w:fill="auto"/>
            <w:noWrap/>
            <w:vAlign w:val="bottom"/>
            <w:hideMark/>
          </w:tcPr>
          <w:p w14:paraId="66E80CFA"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3122.3</w:t>
            </w:r>
          </w:p>
        </w:tc>
        <w:tc>
          <w:tcPr>
            <w:tcW w:w="456" w:type="pct"/>
            <w:tcBorders>
              <w:top w:val="single" w:sz="4" w:space="0" w:color="auto"/>
              <w:left w:val="nil"/>
              <w:bottom w:val="single" w:sz="4" w:space="0" w:color="auto"/>
              <w:right w:val="single" w:sz="4" w:space="0" w:color="auto"/>
            </w:tcBorders>
            <w:shd w:val="clear" w:color="auto" w:fill="auto"/>
            <w:noWrap/>
            <w:vAlign w:val="bottom"/>
            <w:hideMark/>
          </w:tcPr>
          <w:p w14:paraId="6F46C648"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3681.8</w:t>
            </w:r>
          </w:p>
        </w:tc>
        <w:tc>
          <w:tcPr>
            <w:tcW w:w="509" w:type="pct"/>
            <w:tcBorders>
              <w:top w:val="single" w:sz="4" w:space="0" w:color="auto"/>
              <w:left w:val="nil"/>
              <w:bottom w:val="single" w:sz="4" w:space="0" w:color="auto"/>
              <w:right w:val="single" w:sz="4" w:space="0" w:color="auto"/>
            </w:tcBorders>
            <w:shd w:val="clear" w:color="auto" w:fill="auto"/>
            <w:noWrap/>
            <w:vAlign w:val="bottom"/>
            <w:hideMark/>
          </w:tcPr>
          <w:p w14:paraId="0931B4D7"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4241.2</w:t>
            </w:r>
          </w:p>
        </w:tc>
        <w:tc>
          <w:tcPr>
            <w:tcW w:w="456" w:type="pct"/>
            <w:tcBorders>
              <w:top w:val="single" w:sz="4" w:space="0" w:color="auto"/>
              <w:left w:val="nil"/>
              <w:bottom w:val="single" w:sz="4" w:space="0" w:color="auto"/>
              <w:right w:val="single" w:sz="4" w:space="0" w:color="auto"/>
            </w:tcBorders>
            <w:shd w:val="clear" w:color="auto" w:fill="auto"/>
            <w:noWrap/>
            <w:vAlign w:val="bottom"/>
            <w:hideMark/>
          </w:tcPr>
          <w:p w14:paraId="52F3592C"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4800.7</w:t>
            </w:r>
          </w:p>
        </w:tc>
        <w:tc>
          <w:tcPr>
            <w:tcW w:w="509" w:type="pct"/>
            <w:tcBorders>
              <w:top w:val="single" w:sz="4" w:space="0" w:color="auto"/>
              <w:left w:val="nil"/>
              <w:bottom w:val="single" w:sz="4" w:space="0" w:color="auto"/>
              <w:right w:val="single" w:sz="4" w:space="0" w:color="auto"/>
            </w:tcBorders>
            <w:shd w:val="clear" w:color="auto" w:fill="auto"/>
            <w:noWrap/>
            <w:vAlign w:val="bottom"/>
            <w:hideMark/>
          </w:tcPr>
          <w:p w14:paraId="5CB0C83F"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5360.2</w:t>
            </w:r>
          </w:p>
        </w:tc>
        <w:tc>
          <w:tcPr>
            <w:tcW w:w="456" w:type="pct"/>
            <w:tcBorders>
              <w:top w:val="single" w:sz="4" w:space="0" w:color="auto"/>
              <w:left w:val="nil"/>
              <w:bottom w:val="single" w:sz="4" w:space="0" w:color="auto"/>
              <w:right w:val="single" w:sz="4" w:space="0" w:color="auto"/>
            </w:tcBorders>
            <w:shd w:val="clear" w:color="auto" w:fill="auto"/>
            <w:noWrap/>
            <w:vAlign w:val="bottom"/>
            <w:hideMark/>
          </w:tcPr>
          <w:p w14:paraId="04FEFBDF"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5919.7</w:t>
            </w:r>
          </w:p>
        </w:tc>
      </w:tr>
    </w:tbl>
    <w:p w14:paraId="4388E993" w14:textId="77777777" w:rsidR="00245464" w:rsidRPr="00191ACB" w:rsidRDefault="00245464" w:rsidP="00245464">
      <w:pPr>
        <w:autoSpaceDE w:val="0"/>
        <w:autoSpaceDN w:val="0"/>
        <w:adjustRightInd w:val="0"/>
        <w:spacing w:after="0" w:line="240" w:lineRule="auto"/>
        <w:jc w:val="both"/>
        <w:rPr>
          <w:rFonts w:ascii="Times New Roman" w:eastAsia="Calibri" w:hAnsi="Times New Roman" w:cs="Times New Roman"/>
          <w:color w:val="000000" w:themeColor="text1"/>
          <w:sz w:val="24"/>
          <w:szCs w:val="24"/>
        </w:rPr>
      </w:pPr>
    </w:p>
    <w:p w14:paraId="767581F8" w14:textId="7C175262"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Provided in Table </w:t>
      </w:r>
      <w:r w:rsidR="00501324" w:rsidRPr="00191ACB">
        <w:rPr>
          <w:rFonts w:ascii="Times New Roman" w:eastAsia="Calibri" w:hAnsi="Times New Roman" w:cs="Times New Roman"/>
          <w:color w:val="000000" w:themeColor="text1"/>
          <w:sz w:val="24"/>
          <w:szCs w:val="24"/>
        </w:rPr>
        <w:t>4.35</w:t>
      </w:r>
      <w:r w:rsidRPr="00191ACB">
        <w:rPr>
          <w:rFonts w:ascii="Times New Roman" w:eastAsia="Calibri" w:hAnsi="Times New Roman" w:cs="Times New Roman"/>
          <w:color w:val="000000" w:themeColor="text1"/>
          <w:sz w:val="24"/>
          <w:szCs w:val="24"/>
        </w:rPr>
        <w:t xml:space="preserve"> are emissions reduction potential for enhanced support scenario</w:t>
      </w:r>
    </w:p>
    <w:p w14:paraId="1507F192" w14:textId="23C55EB9" w:rsidR="00245464" w:rsidRPr="00191ACB" w:rsidRDefault="00CA49AF" w:rsidP="00CA49AF">
      <w:pPr>
        <w:pStyle w:val="Caption"/>
        <w:rPr>
          <w:rFonts w:eastAsia="Calibri"/>
          <w:color w:val="000000" w:themeColor="text1"/>
          <w:sz w:val="24"/>
          <w:szCs w:val="24"/>
        </w:rPr>
      </w:pPr>
      <w:bookmarkStart w:id="416" w:name="_Toc56583811"/>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35</w:t>
      </w:r>
      <w:r w:rsidR="00875942">
        <w:rPr>
          <w:sz w:val="24"/>
          <w:szCs w:val="24"/>
        </w:rPr>
        <w:fldChar w:fldCharType="end"/>
      </w:r>
      <w:r w:rsidRPr="00191ACB">
        <w:rPr>
          <w:sz w:val="24"/>
          <w:szCs w:val="24"/>
        </w:rPr>
        <w:t>: Emissions reduction potential for enhanced support scenario</w:t>
      </w:r>
      <w:bookmarkEnd w:id="4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5"/>
        <w:gridCol w:w="1365"/>
        <w:gridCol w:w="1365"/>
        <w:gridCol w:w="1365"/>
        <w:gridCol w:w="1365"/>
        <w:gridCol w:w="1365"/>
        <w:gridCol w:w="1365"/>
        <w:gridCol w:w="1365"/>
        <w:gridCol w:w="1365"/>
        <w:gridCol w:w="1365"/>
      </w:tblGrid>
      <w:tr w:rsidR="00245464" w:rsidRPr="00191ACB" w14:paraId="7412D089" w14:textId="77777777" w:rsidTr="00A91A48">
        <w:trPr>
          <w:trHeight w:val="300"/>
        </w:trPr>
        <w:tc>
          <w:tcPr>
            <w:tcW w:w="932" w:type="pct"/>
            <w:shd w:val="clear" w:color="auto" w:fill="auto"/>
            <w:noWrap/>
            <w:vAlign w:val="bottom"/>
            <w:hideMark/>
          </w:tcPr>
          <w:p w14:paraId="6CCB25DC"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452" w:type="pct"/>
            <w:shd w:val="clear" w:color="auto" w:fill="auto"/>
            <w:noWrap/>
            <w:vAlign w:val="bottom"/>
            <w:hideMark/>
          </w:tcPr>
          <w:p w14:paraId="48784F20"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452" w:type="pct"/>
            <w:shd w:val="clear" w:color="auto" w:fill="auto"/>
            <w:noWrap/>
            <w:vAlign w:val="bottom"/>
            <w:hideMark/>
          </w:tcPr>
          <w:p w14:paraId="4A804F2C"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452" w:type="pct"/>
            <w:shd w:val="clear" w:color="auto" w:fill="auto"/>
            <w:noWrap/>
            <w:vAlign w:val="bottom"/>
            <w:hideMark/>
          </w:tcPr>
          <w:p w14:paraId="376A2EF1"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2020</w:t>
            </w:r>
          </w:p>
        </w:tc>
        <w:tc>
          <w:tcPr>
            <w:tcW w:w="452" w:type="pct"/>
            <w:shd w:val="clear" w:color="auto" w:fill="auto"/>
            <w:noWrap/>
            <w:vAlign w:val="bottom"/>
            <w:hideMark/>
          </w:tcPr>
          <w:p w14:paraId="7F9792DD"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2025</w:t>
            </w:r>
          </w:p>
        </w:tc>
        <w:tc>
          <w:tcPr>
            <w:tcW w:w="452" w:type="pct"/>
            <w:shd w:val="clear" w:color="auto" w:fill="auto"/>
            <w:noWrap/>
            <w:vAlign w:val="bottom"/>
            <w:hideMark/>
          </w:tcPr>
          <w:p w14:paraId="74EA14C7"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2030</w:t>
            </w:r>
          </w:p>
        </w:tc>
        <w:tc>
          <w:tcPr>
            <w:tcW w:w="452" w:type="pct"/>
            <w:shd w:val="clear" w:color="auto" w:fill="auto"/>
            <w:noWrap/>
            <w:vAlign w:val="bottom"/>
            <w:hideMark/>
          </w:tcPr>
          <w:p w14:paraId="532C1718"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2035</w:t>
            </w:r>
          </w:p>
        </w:tc>
        <w:tc>
          <w:tcPr>
            <w:tcW w:w="452" w:type="pct"/>
            <w:shd w:val="clear" w:color="auto" w:fill="auto"/>
            <w:noWrap/>
            <w:vAlign w:val="bottom"/>
            <w:hideMark/>
          </w:tcPr>
          <w:p w14:paraId="5D7ED6D9"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2040</w:t>
            </w:r>
          </w:p>
        </w:tc>
        <w:tc>
          <w:tcPr>
            <w:tcW w:w="452" w:type="pct"/>
            <w:shd w:val="clear" w:color="auto" w:fill="auto"/>
            <w:noWrap/>
            <w:vAlign w:val="bottom"/>
            <w:hideMark/>
          </w:tcPr>
          <w:p w14:paraId="66052895"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2045</w:t>
            </w:r>
          </w:p>
        </w:tc>
        <w:tc>
          <w:tcPr>
            <w:tcW w:w="452" w:type="pct"/>
            <w:shd w:val="clear" w:color="auto" w:fill="auto"/>
            <w:noWrap/>
            <w:vAlign w:val="bottom"/>
            <w:hideMark/>
          </w:tcPr>
          <w:p w14:paraId="6EF2CF97"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2050</w:t>
            </w:r>
          </w:p>
        </w:tc>
      </w:tr>
      <w:tr w:rsidR="00245464" w:rsidRPr="00191ACB" w14:paraId="024BC516" w14:textId="77777777" w:rsidTr="00A91A48">
        <w:trPr>
          <w:trHeight w:val="300"/>
        </w:trPr>
        <w:tc>
          <w:tcPr>
            <w:tcW w:w="932" w:type="pct"/>
            <w:shd w:val="clear" w:color="auto" w:fill="auto"/>
            <w:noWrap/>
            <w:vAlign w:val="bottom"/>
            <w:hideMark/>
          </w:tcPr>
          <w:p w14:paraId="10D6FB34"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NDC-Energy </w:t>
            </w:r>
          </w:p>
        </w:tc>
        <w:tc>
          <w:tcPr>
            <w:tcW w:w="452" w:type="pct"/>
            <w:shd w:val="clear" w:color="auto" w:fill="auto"/>
            <w:noWrap/>
            <w:vAlign w:val="bottom"/>
            <w:hideMark/>
          </w:tcPr>
          <w:p w14:paraId="226FAEDE"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452" w:type="pct"/>
            <w:shd w:val="clear" w:color="auto" w:fill="auto"/>
            <w:noWrap/>
            <w:vAlign w:val="bottom"/>
            <w:hideMark/>
          </w:tcPr>
          <w:p w14:paraId="31943E3C"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0.0</w:t>
            </w:r>
          </w:p>
        </w:tc>
        <w:tc>
          <w:tcPr>
            <w:tcW w:w="452" w:type="pct"/>
            <w:shd w:val="clear" w:color="auto" w:fill="auto"/>
            <w:noWrap/>
            <w:vAlign w:val="bottom"/>
            <w:hideMark/>
          </w:tcPr>
          <w:p w14:paraId="1F24577E"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4483.6</w:t>
            </w:r>
          </w:p>
        </w:tc>
        <w:tc>
          <w:tcPr>
            <w:tcW w:w="452" w:type="pct"/>
            <w:shd w:val="clear" w:color="auto" w:fill="auto"/>
            <w:noWrap/>
            <w:vAlign w:val="bottom"/>
            <w:hideMark/>
          </w:tcPr>
          <w:p w14:paraId="503D527E"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5566.5</w:t>
            </w:r>
          </w:p>
        </w:tc>
        <w:tc>
          <w:tcPr>
            <w:tcW w:w="452" w:type="pct"/>
            <w:shd w:val="clear" w:color="auto" w:fill="auto"/>
            <w:noWrap/>
            <w:vAlign w:val="bottom"/>
            <w:hideMark/>
          </w:tcPr>
          <w:p w14:paraId="5B927DD2"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6649.4</w:t>
            </w:r>
          </w:p>
        </w:tc>
        <w:tc>
          <w:tcPr>
            <w:tcW w:w="452" w:type="pct"/>
            <w:shd w:val="clear" w:color="auto" w:fill="auto"/>
            <w:noWrap/>
            <w:vAlign w:val="bottom"/>
            <w:hideMark/>
          </w:tcPr>
          <w:p w14:paraId="1DF1B729"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7732.3</w:t>
            </w:r>
          </w:p>
        </w:tc>
        <w:tc>
          <w:tcPr>
            <w:tcW w:w="452" w:type="pct"/>
            <w:shd w:val="clear" w:color="auto" w:fill="auto"/>
            <w:noWrap/>
            <w:vAlign w:val="bottom"/>
            <w:hideMark/>
          </w:tcPr>
          <w:p w14:paraId="5D0C5983"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8815.3</w:t>
            </w:r>
          </w:p>
        </w:tc>
        <w:tc>
          <w:tcPr>
            <w:tcW w:w="452" w:type="pct"/>
            <w:shd w:val="clear" w:color="auto" w:fill="auto"/>
            <w:noWrap/>
            <w:vAlign w:val="bottom"/>
            <w:hideMark/>
          </w:tcPr>
          <w:p w14:paraId="3DD2EA94"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9898.2</w:t>
            </w:r>
          </w:p>
        </w:tc>
        <w:tc>
          <w:tcPr>
            <w:tcW w:w="452" w:type="pct"/>
            <w:shd w:val="clear" w:color="auto" w:fill="auto"/>
            <w:noWrap/>
            <w:vAlign w:val="bottom"/>
            <w:hideMark/>
          </w:tcPr>
          <w:p w14:paraId="5F7E107F"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10981.1</w:t>
            </w:r>
          </w:p>
        </w:tc>
      </w:tr>
    </w:tbl>
    <w:p w14:paraId="2FD49484" w14:textId="77777777" w:rsidR="00E9026A" w:rsidRPr="00191ACB" w:rsidRDefault="00E9026A" w:rsidP="00245464">
      <w:pPr>
        <w:jc w:val="both"/>
        <w:rPr>
          <w:rFonts w:ascii="Times New Roman" w:eastAsia="Calibri" w:hAnsi="Times New Roman" w:cs="Times New Roman"/>
          <w:color w:val="000000" w:themeColor="text1"/>
          <w:sz w:val="24"/>
          <w:szCs w:val="24"/>
        </w:rPr>
      </w:pPr>
    </w:p>
    <w:p w14:paraId="0952564A" w14:textId="3C985DAA"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Details on mitigation actions for NDC are provided in table </w:t>
      </w:r>
      <w:r w:rsidR="00501324" w:rsidRPr="00191ACB">
        <w:rPr>
          <w:rFonts w:ascii="Times New Roman" w:eastAsia="Calibri" w:hAnsi="Times New Roman" w:cs="Times New Roman"/>
          <w:color w:val="000000" w:themeColor="text1"/>
          <w:sz w:val="24"/>
          <w:szCs w:val="24"/>
        </w:rPr>
        <w:t>4.36</w:t>
      </w:r>
      <w:r w:rsidRPr="00191ACB">
        <w:rPr>
          <w:rFonts w:ascii="Times New Roman" w:eastAsia="Calibri" w:hAnsi="Times New Roman" w:cs="Times New Roman"/>
          <w:color w:val="000000" w:themeColor="text1"/>
          <w:sz w:val="24"/>
          <w:szCs w:val="24"/>
        </w:rPr>
        <w:t>.</w:t>
      </w:r>
    </w:p>
    <w:p w14:paraId="36C50031" w14:textId="77777777" w:rsidR="00245464" w:rsidRPr="00191ACB" w:rsidRDefault="00245464" w:rsidP="00245464">
      <w:pPr>
        <w:jc w:val="both"/>
        <w:rPr>
          <w:rFonts w:ascii="Times New Roman" w:eastAsia="Calibri" w:hAnsi="Times New Roman" w:cs="Times New Roman"/>
          <w:color w:val="000000" w:themeColor="text1"/>
          <w:sz w:val="24"/>
          <w:szCs w:val="24"/>
        </w:rPr>
        <w:sectPr w:rsidR="00245464" w:rsidRPr="00191ACB" w:rsidSect="00D326BE">
          <w:pgSz w:w="16834" w:h="11909" w:orient="landscape" w:code="9"/>
          <w:pgMar w:top="720" w:right="862" w:bottom="1440" w:left="862" w:header="720" w:footer="720" w:gutter="0"/>
          <w:cols w:space="720"/>
          <w:titlePg/>
          <w:docGrid w:linePitch="360"/>
        </w:sectPr>
      </w:pPr>
    </w:p>
    <w:p w14:paraId="3EA53131" w14:textId="2CDFB12A" w:rsidR="00245464" w:rsidRPr="00191ACB" w:rsidRDefault="00CA49AF" w:rsidP="00CA49AF">
      <w:pPr>
        <w:pStyle w:val="Caption"/>
        <w:rPr>
          <w:rFonts w:eastAsia="Calibri"/>
          <w:color w:val="000000" w:themeColor="text1"/>
          <w:sz w:val="24"/>
          <w:szCs w:val="24"/>
        </w:rPr>
      </w:pPr>
      <w:bookmarkStart w:id="417" w:name="_Toc56583812"/>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36</w:t>
      </w:r>
      <w:r w:rsidR="00875942">
        <w:rPr>
          <w:sz w:val="24"/>
          <w:szCs w:val="24"/>
        </w:rPr>
        <w:fldChar w:fldCharType="end"/>
      </w:r>
      <w:r w:rsidRPr="00191ACB">
        <w:rPr>
          <w:sz w:val="24"/>
          <w:szCs w:val="24"/>
        </w:rPr>
        <w:t>:Mitigation Action-Biomass combustion</w:t>
      </w:r>
      <w:bookmarkEnd w:id="417"/>
    </w:p>
    <w:tbl>
      <w:tblPr>
        <w:tblStyle w:val="GridTable4-Accent11"/>
        <w:tblW w:w="5141" w:type="pct"/>
        <w:tblLayout w:type="fixed"/>
        <w:tblLook w:val="04A0" w:firstRow="1" w:lastRow="0" w:firstColumn="1" w:lastColumn="0" w:noHBand="0" w:noVBand="1"/>
      </w:tblPr>
      <w:tblGrid>
        <w:gridCol w:w="2122"/>
        <w:gridCol w:w="2268"/>
        <w:gridCol w:w="1842"/>
        <w:gridCol w:w="1844"/>
        <w:gridCol w:w="2410"/>
        <w:gridCol w:w="1984"/>
        <w:gridCol w:w="1702"/>
        <w:gridCol w:w="1354"/>
      </w:tblGrid>
      <w:tr w:rsidR="00D326BE" w:rsidRPr="00191ACB" w14:paraId="642626E6" w14:textId="77777777" w:rsidTr="00D326BE">
        <w:trPr>
          <w:cnfStyle w:val="100000000000" w:firstRow="1" w:lastRow="0" w:firstColumn="0" w:lastColumn="0" w:oddVBand="0" w:evenVBand="0" w:oddHBand="0" w:evenHBand="0" w:firstRowFirstColumn="0" w:firstRowLastColumn="0" w:lastRowFirstColumn="0" w:lastRowLastColumn="0"/>
          <w:trHeight w:val="489"/>
          <w:tblHeader/>
        </w:trPr>
        <w:tc>
          <w:tcPr>
            <w:cnfStyle w:val="001000000000" w:firstRow="0" w:lastRow="0" w:firstColumn="1" w:lastColumn="0" w:oddVBand="0" w:evenVBand="0" w:oddHBand="0" w:evenHBand="0" w:firstRowFirstColumn="0" w:firstRowLastColumn="0" w:lastRowFirstColumn="0" w:lastRowLastColumn="0"/>
            <w:tcW w:w="683" w:type="pct"/>
          </w:tcPr>
          <w:p w14:paraId="625CF306"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730" w:type="pct"/>
          </w:tcPr>
          <w:p w14:paraId="22E41F4C"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593" w:type="pct"/>
          </w:tcPr>
          <w:p w14:paraId="24917297"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594" w:type="pct"/>
          </w:tcPr>
          <w:p w14:paraId="7AE5C55F"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776" w:type="pct"/>
          </w:tcPr>
          <w:p w14:paraId="5BD1C865"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tc>
        <w:tc>
          <w:tcPr>
            <w:tcW w:w="639" w:type="pct"/>
          </w:tcPr>
          <w:p w14:paraId="1A01A056"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548" w:type="pct"/>
          </w:tcPr>
          <w:p w14:paraId="4B70CE5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val="x-none" w:eastAsia="x-none"/>
              </w:rPr>
              <w:t xml:space="preserve">Estimated emission reduction </w:t>
            </w:r>
            <w:r w:rsidRPr="00191ACB">
              <w:rPr>
                <w:rFonts w:ascii="Times New Roman" w:hAnsi="Times New Roman"/>
                <w:color w:val="000000" w:themeColor="text1"/>
                <w:sz w:val="24"/>
                <w:szCs w:val="24"/>
                <w:lang w:eastAsia="x-none"/>
              </w:rPr>
              <w:t>cumulative by 2030 Gg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vertAlign w:val="subscript"/>
                <w:lang w:eastAsia="x-none"/>
              </w:rPr>
              <w:t>eq</w:t>
            </w:r>
          </w:p>
        </w:tc>
        <w:tc>
          <w:tcPr>
            <w:tcW w:w="436" w:type="pct"/>
          </w:tcPr>
          <w:p w14:paraId="41A7F9C7"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nternational market mechanisms</w:t>
            </w:r>
          </w:p>
        </w:tc>
      </w:tr>
      <w:tr w:rsidR="00D326BE" w:rsidRPr="00191ACB" w14:paraId="5CEDAB41" w14:textId="77777777" w:rsidTr="00D326BE">
        <w:trPr>
          <w:cnfStyle w:val="000000100000" w:firstRow="0" w:lastRow="0" w:firstColumn="0" w:lastColumn="0" w:oddVBand="0" w:evenVBand="0" w:oddHBand="1" w:evenHBand="0" w:firstRowFirstColumn="0" w:firstRowLastColumn="0" w:lastRowFirstColumn="0" w:lastRowLastColumn="0"/>
          <w:trHeight w:val="768"/>
        </w:trPr>
        <w:tc>
          <w:tcPr>
            <w:cnfStyle w:val="001000000000" w:firstRow="0" w:lastRow="0" w:firstColumn="1" w:lastColumn="0" w:oddVBand="0" w:evenVBand="0" w:oddHBand="0" w:evenHBand="0" w:firstRowFirstColumn="0" w:firstRowLastColumn="0" w:lastRowFirstColumn="0" w:lastRowLastColumn="0"/>
            <w:tcW w:w="683" w:type="pct"/>
          </w:tcPr>
          <w:p w14:paraId="26AF3D11"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Fuel switch diesel/HFO to biodiesel (No of boilers)</w:t>
            </w:r>
          </w:p>
        </w:tc>
        <w:tc>
          <w:tcPr>
            <w:tcW w:w="730" w:type="pct"/>
          </w:tcPr>
          <w:p w14:paraId="2BC6842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To be implemented in industries in Zambia </w:t>
            </w:r>
          </w:p>
        </w:tc>
        <w:tc>
          <w:tcPr>
            <w:tcW w:w="593" w:type="pct"/>
          </w:tcPr>
          <w:p w14:paraId="79C890E0" w14:textId="5397604A" w:rsidR="00245464" w:rsidRPr="00191ACB" w:rsidRDefault="00D61DBC" w:rsidP="008A136F">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Methodologies and assumptions for </w:t>
            </w:r>
            <w:r w:rsidR="00245464" w:rsidRPr="00191ACB">
              <w:rPr>
                <w:rFonts w:ascii="Times New Roman" w:hAnsi="Times New Roman"/>
                <w:color w:val="000000" w:themeColor="text1"/>
                <w:sz w:val="24"/>
                <w:szCs w:val="24"/>
                <w:lang w:eastAsia="x-none"/>
              </w:rPr>
              <w:t>Zambia INDC,</w:t>
            </w:r>
            <w:r w:rsidRPr="00191ACB">
              <w:rPr>
                <w:rFonts w:ascii="Times New Roman" w:hAnsi="Times New Roman"/>
                <w:color w:val="000000" w:themeColor="text1"/>
                <w:sz w:val="24"/>
                <w:szCs w:val="24"/>
                <w:lang w:eastAsia="x-none"/>
              </w:rPr>
              <w:t xml:space="preserve"> </w:t>
            </w:r>
            <w:r w:rsidR="00245464" w:rsidRPr="00191ACB">
              <w:rPr>
                <w:rFonts w:ascii="Times New Roman" w:hAnsi="Times New Roman"/>
                <w:color w:val="000000" w:themeColor="text1"/>
                <w:sz w:val="24"/>
                <w:szCs w:val="24"/>
                <w:lang w:eastAsia="x-none"/>
              </w:rPr>
              <w:t>2016</w:t>
            </w:r>
            <w:r w:rsidRPr="00191ACB">
              <w:rPr>
                <w:rFonts w:ascii="Times New Roman" w:hAnsi="Times New Roman"/>
                <w:color w:val="000000" w:themeColor="text1"/>
                <w:sz w:val="24"/>
                <w:szCs w:val="24"/>
                <w:lang w:eastAsia="x-none"/>
              </w:rPr>
              <w:t xml:space="preserve"> provided in Table</w:t>
            </w:r>
            <w:r w:rsidR="005B5FDA" w:rsidRPr="00191ACB">
              <w:rPr>
                <w:rFonts w:ascii="Times New Roman" w:hAnsi="Times New Roman"/>
                <w:color w:val="000000" w:themeColor="text1"/>
                <w:sz w:val="24"/>
                <w:szCs w:val="24"/>
                <w:lang w:eastAsia="x-none"/>
              </w:rPr>
              <w:t xml:space="preserve"> 58</w:t>
            </w:r>
          </w:p>
        </w:tc>
        <w:tc>
          <w:tcPr>
            <w:tcW w:w="594" w:type="pct"/>
          </w:tcPr>
          <w:p w14:paraId="1E6AD0D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Annual fuel consumption</w:t>
            </w:r>
          </w:p>
        </w:tc>
        <w:tc>
          <w:tcPr>
            <w:tcW w:w="776" w:type="pct"/>
          </w:tcPr>
          <w:p w14:paraId="02DBB948"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Reduce GHG emissions through fuel switch</w:t>
            </w:r>
          </w:p>
        </w:tc>
        <w:tc>
          <w:tcPr>
            <w:tcW w:w="639" w:type="pct"/>
          </w:tcPr>
          <w:p w14:paraId="425FB076" w14:textId="4C3271E4" w:rsidR="00245464" w:rsidRPr="00191ACB" w:rsidRDefault="004A2C5D"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Planned </w:t>
            </w:r>
          </w:p>
        </w:tc>
        <w:tc>
          <w:tcPr>
            <w:tcW w:w="548" w:type="pct"/>
          </w:tcPr>
          <w:p w14:paraId="6C01664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184</w:t>
            </w:r>
          </w:p>
        </w:tc>
        <w:tc>
          <w:tcPr>
            <w:tcW w:w="436" w:type="pct"/>
          </w:tcPr>
          <w:p w14:paraId="0CBD803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D326BE" w:rsidRPr="00191ACB" w14:paraId="1C13EA3B" w14:textId="77777777" w:rsidTr="00D326BE">
        <w:trPr>
          <w:trHeight w:val="768"/>
        </w:trPr>
        <w:tc>
          <w:tcPr>
            <w:cnfStyle w:val="001000000000" w:firstRow="0" w:lastRow="0" w:firstColumn="1" w:lastColumn="0" w:oddVBand="0" w:evenVBand="0" w:oddHBand="0" w:evenHBand="0" w:firstRowFirstColumn="0" w:firstRowLastColumn="0" w:lastRowFirstColumn="0" w:lastRowLastColumn="0"/>
            <w:tcW w:w="683" w:type="pct"/>
          </w:tcPr>
          <w:p w14:paraId="24CFC990" w14:textId="4227C1F0"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Fuel switch coal to biomass</w:t>
            </w:r>
            <w:r w:rsidR="008A136F" w:rsidRPr="00191ACB">
              <w:rPr>
                <w:rFonts w:ascii="Times New Roman" w:hAnsi="Times New Roman"/>
                <w:color w:val="000000" w:themeColor="text1"/>
                <w:sz w:val="24"/>
                <w:szCs w:val="24"/>
              </w:rPr>
              <w:t xml:space="preserve"> </w:t>
            </w:r>
            <w:r w:rsidRPr="00191ACB">
              <w:rPr>
                <w:rFonts w:ascii="Times New Roman" w:hAnsi="Times New Roman"/>
                <w:color w:val="000000" w:themeColor="text1"/>
                <w:sz w:val="24"/>
                <w:szCs w:val="24"/>
              </w:rPr>
              <w:t>(No of boilers)</w:t>
            </w:r>
          </w:p>
        </w:tc>
        <w:tc>
          <w:tcPr>
            <w:tcW w:w="730" w:type="pct"/>
          </w:tcPr>
          <w:p w14:paraId="527450D5"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To be implemented in industries in Zambia </w:t>
            </w:r>
          </w:p>
        </w:tc>
        <w:tc>
          <w:tcPr>
            <w:tcW w:w="593" w:type="pct"/>
          </w:tcPr>
          <w:p w14:paraId="534DEC12" w14:textId="67D2BE65" w:rsidR="00245464" w:rsidRPr="00191ACB" w:rsidRDefault="00D61DBC"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Methodologies and assumptions for Refer to Zambia INDC, 2016 provided in Table </w:t>
            </w:r>
            <w:r w:rsidR="005B5FDA" w:rsidRPr="00191ACB">
              <w:rPr>
                <w:rFonts w:ascii="Times New Roman" w:hAnsi="Times New Roman"/>
                <w:color w:val="000000" w:themeColor="text1"/>
                <w:sz w:val="24"/>
                <w:szCs w:val="24"/>
                <w:lang w:eastAsia="x-none"/>
              </w:rPr>
              <w:t>58</w:t>
            </w:r>
          </w:p>
        </w:tc>
        <w:tc>
          <w:tcPr>
            <w:tcW w:w="594" w:type="pct"/>
          </w:tcPr>
          <w:p w14:paraId="6F664F92"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Annual fuel consumption</w:t>
            </w:r>
          </w:p>
        </w:tc>
        <w:tc>
          <w:tcPr>
            <w:tcW w:w="776" w:type="pct"/>
          </w:tcPr>
          <w:p w14:paraId="4307767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Reduce GHG emissions through fuel switch</w:t>
            </w:r>
          </w:p>
        </w:tc>
        <w:tc>
          <w:tcPr>
            <w:tcW w:w="639" w:type="pct"/>
          </w:tcPr>
          <w:p w14:paraId="1059B3B1" w14:textId="42DECE17" w:rsidR="00245464" w:rsidRPr="00191ACB" w:rsidRDefault="004A2C5D"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Planned</w:t>
            </w:r>
          </w:p>
        </w:tc>
        <w:tc>
          <w:tcPr>
            <w:tcW w:w="548" w:type="pct"/>
          </w:tcPr>
          <w:p w14:paraId="5C4F40B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231</w:t>
            </w:r>
          </w:p>
        </w:tc>
        <w:tc>
          <w:tcPr>
            <w:tcW w:w="436" w:type="pct"/>
          </w:tcPr>
          <w:p w14:paraId="6772041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D326BE" w:rsidRPr="00191ACB" w14:paraId="049836B5" w14:textId="77777777" w:rsidTr="00D326BE">
        <w:trPr>
          <w:cnfStyle w:val="000000100000" w:firstRow="0" w:lastRow="0" w:firstColumn="0" w:lastColumn="0" w:oddVBand="0" w:evenVBand="0" w:oddHBand="1" w:evenHBand="0" w:firstRowFirstColumn="0" w:firstRowLastColumn="0" w:lastRowFirstColumn="0" w:lastRowLastColumn="0"/>
          <w:trHeight w:val="768"/>
        </w:trPr>
        <w:tc>
          <w:tcPr>
            <w:cnfStyle w:val="001000000000" w:firstRow="0" w:lastRow="0" w:firstColumn="1" w:lastColumn="0" w:oddVBand="0" w:evenVBand="0" w:oddHBand="0" w:evenHBand="0" w:firstRowFirstColumn="0" w:firstRowLastColumn="0" w:lastRowFirstColumn="0" w:lastRowLastColumn="0"/>
            <w:tcW w:w="683" w:type="pct"/>
          </w:tcPr>
          <w:p w14:paraId="430DA749"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Switch from existing isolated diesel to mini-hydro </w:t>
            </w:r>
          </w:p>
        </w:tc>
        <w:tc>
          <w:tcPr>
            <w:tcW w:w="730" w:type="pct"/>
          </w:tcPr>
          <w:p w14:paraId="7DD76AC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Six diesel power stations have been decommissioned </w:t>
            </w:r>
          </w:p>
        </w:tc>
        <w:tc>
          <w:tcPr>
            <w:tcW w:w="593" w:type="pct"/>
          </w:tcPr>
          <w:p w14:paraId="4C28CE54" w14:textId="1ADF096D" w:rsidR="00245464" w:rsidRPr="00191ACB" w:rsidRDefault="00D61DBC"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Methodologies and assumptions for Refer to Zambia INDC, 2016 provided in Table </w:t>
            </w:r>
            <w:r w:rsidR="005B5FDA" w:rsidRPr="00191ACB">
              <w:rPr>
                <w:rFonts w:ascii="Times New Roman" w:hAnsi="Times New Roman"/>
                <w:color w:val="000000" w:themeColor="text1"/>
                <w:sz w:val="24"/>
                <w:szCs w:val="24"/>
                <w:lang w:eastAsia="x-none"/>
              </w:rPr>
              <w:t>58</w:t>
            </w:r>
          </w:p>
        </w:tc>
        <w:tc>
          <w:tcPr>
            <w:tcW w:w="594" w:type="pct"/>
          </w:tcPr>
          <w:p w14:paraId="54804B9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Annual fuel consumption</w:t>
            </w:r>
          </w:p>
        </w:tc>
        <w:tc>
          <w:tcPr>
            <w:tcW w:w="776" w:type="pct"/>
          </w:tcPr>
          <w:p w14:paraId="58E119A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Reduce GHG emissions through fuel switch</w:t>
            </w:r>
          </w:p>
        </w:tc>
        <w:tc>
          <w:tcPr>
            <w:tcW w:w="639" w:type="pct"/>
          </w:tcPr>
          <w:p w14:paraId="4EA2EDAB" w14:textId="31EF9989" w:rsidR="00245464" w:rsidRPr="00191ACB" w:rsidRDefault="004A2C5D"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On-going </w:t>
            </w:r>
          </w:p>
        </w:tc>
        <w:tc>
          <w:tcPr>
            <w:tcW w:w="548" w:type="pct"/>
          </w:tcPr>
          <w:p w14:paraId="5B84A19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232.6</w:t>
            </w:r>
          </w:p>
        </w:tc>
        <w:tc>
          <w:tcPr>
            <w:tcW w:w="436" w:type="pct"/>
          </w:tcPr>
          <w:p w14:paraId="0A373FD3"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D326BE" w:rsidRPr="00191ACB" w14:paraId="3A7AF3FA" w14:textId="77777777" w:rsidTr="00D326BE">
        <w:trPr>
          <w:trHeight w:val="768"/>
        </w:trPr>
        <w:tc>
          <w:tcPr>
            <w:cnfStyle w:val="001000000000" w:firstRow="0" w:lastRow="0" w:firstColumn="1" w:lastColumn="0" w:oddVBand="0" w:evenVBand="0" w:oddHBand="0" w:evenHBand="0" w:firstRowFirstColumn="0" w:firstRowLastColumn="0" w:lastRowFirstColumn="0" w:lastRowLastColumn="0"/>
            <w:tcW w:w="683" w:type="pct"/>
          </w:tcPr>
          <w:p w14:paraId="5E7761F1" w14:textId="02BFFFA3"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Switch from petrol to ethanol</w:t>
            </w:r>
            <w:r w:rsidR="00CF5899" w:rsidRPr="00191ACB">
              <w:rPr>
                <w:rFonts w:ascii="Times New Roman" w:hAnsi="Times New Roman"/>
                <w:color w:val="000000" w:themeColor="text1"/>
                <w:sz w:val="24"/>
                <w:szCs w:val="24"/>
              </w:rPr>
              <w:t xml:space="preserve"> </w:t>
            </w:r>
            <w:r w:rsidRPr="00191ACB">
              <w:rPr>
                <w:rFonts w:ascii="Times New Roman" w:hAnsi="Times New Roman"/>
                <w:color w:val="000000" w:themeColor="text1"/>
                <w:sz w:val="24"/>
                <w:szCs w:val="24"/>
              </w:rPr>
              <w:t>(million liters)</w:t>
            </w:r>
          </w:p>
        </w:tc>
        <w:tc>
          <w:tcPr>
            <w:tcW w:w="730" w:type="pct"/>
          </w:tcPr>
          <w:p w14:paraId="24F5507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be implemented in suitable sites in Zambia</w:t>
            </w:r>
          </w:p>
        </w:tc>
        <w:tc>
          <w:tcPr>
            <w:tcW w:w="593" w:type="pct"/>
          </w:tcPr>
          <w:p w14:paraId="721DA180" w14:textId="4091FF99" w:rsidR="00245464" w:rsidRPr="00191ACB" w:rsidRDefault="00D61DBC"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Methodologies and assumptions for Refer to Zambia INDC, 2016 provided in Table </w:t>
            </w:r>
            <w:r w:rsidR="005B5FDA" w:rsidRPr="00191ACB">
              <w:rPr>
                <w:rFonts w:ascii="Times New Roman" w:hAnsi="Times New Roman"/>
                <w:color w:val="000000" w:themeColor="text1"/>
                <w:sz w:val="24"/>
                <w:szCs w:val="24"/>
                <w:lang w:eastAsia="x-none"/>
              </w:rPr>
              <w:t>58</w:t>
            </w:r>
          </w:p>
        </w:tc>
        <w:tc>
          <w:tcPr>
            <w:tcW w:w="594" w:type="pct"/>
          </w:tcPr>
          <w:p w14:paraId="75C9A06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Annual fuel consumption</w:t>
            </w:r>
          </w:p>
        </w:tc>
        <w:tc>
          <w:tcPr>
            <w:tcW w:w="776" w:type="pct"/>
          </w:tcPr>
          <w:p w14:paraId="531ADD9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Reduce GHG emissions through fuel switch</w:t>
            </w:r>
          </w:p>
        </w:tc>
        <w:tc>
          <w:tcPr>
            <w:tcW w:w="639" w:type="pct"/>
          </w:tcPr>
          <w:p w14:paraId="48B3CBC9" w14:textId="3100AC45" w:rsidR="00245464" w:rsidRPr="00191ACB" w:rsidRDefault="004A2C5D"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Planned</w:t>
            </w:r>
          </w:p>
        </w:tc>
        <w:tc>
          <w:tcPr>
            <w:tcW w:w="548" w:type="pct"/>
          </w:tcPr>
          <w:p w14:paraId="349DC75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236</w:t>
            </w:r>
          </w:p>
        </w:tc>
        <w:tc>
          <w:tcPr>
            <w:tcW w:w="436" w:type="pct"/>
          </w:tcPr>
          <w:p w14:paraId="23F649D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D326BE" w:rsidRPr="00191ACB" w14:paraId="51F4BDBA" w14:textId="77777777" w:rsidTr="00D326BE">
        <w:trPr>
          <w:cnfStyle w:val="000000100000" w:firstRow="0" w:lastRow="0" w:firstColumn="0" w:lastColumn="0" w:oddVBand="0" w:evenVBand="0" w:oddHBand="1" w:evenHBand="0" w:firstRowFirstColumn="0" w:firstRowLastColumn="0" w:lastRowFirstColumn="0" w:lastRowLastColumn="0"/>
          <w:trHeight w:val="768"/>
        </w:trPr>
        <w:tc>
          <w:tcPr>
            <w:cnfStyle w:val="001000000000" w:firstRow="0" w:lastRow="0" w:firstColumn="1" w:lastColumn="0" w:oddVBand="0" w:evenVBand="0" w:oddHBand="0" w:evenHBand="0" w:firstRowFirstColumn="0" w:firstRowLastColumn="0" w:lastRowFirstColumn="0" w:lastRowLastColumn="0"/>
            <w:tcW w:w="683" w:type="pct"/>
          </w:tcPr>
          <w:p w14:paraId="19EE8CDF"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Switch from diesel to biodiesel (million liters) </w:t>
            </w:r>
          </w:p>
        </w:tc>
        <w:tc>
          <w:tcPr>
            <w:tcW w:w="730" w:type="pct"/>
          </w:tcPr>
          <w:p w14:paraId="6F9F12B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be implemented in suitable sites in Zambia</w:t>
            </w:r>
          </w:p>
        </w:tc>
        <w:tc>
          <w:tcPr>
            <w:tcW w:w="593" w:type="pct"/>
          </w:tcPr>
          <w:p w14:paraId="449CD54F" w14:textId="6E18082B" w:rsidR="00245464" w:rsidRPr="00191ACB" w:rsidRDefault="00D61DBC"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Methodologies and assumptions for Refer to </w:t>
            </w:r>
            <w:r w:rsidRPr="00191ACB">
              <w:rPr>
                <w:rFonts w:ascii="Times New Roman" w:hAnsi="Times New Roman"/>
                <w:color w:val="000000" w:themeColor="text1"/>
                <w:sz w:val="24"/>
                <w:szCs w:val="24"/>
                <w:lang w:eastAsia="x-none"/>
              </w:rPr>
              <w:lastRenderedPageBreak/>
              <w:t>Zambia INDC, 2016 provided in Table</w:t>
            </w:r>
            <w:r w:rsidR="00F11900" w:rsidRPr="00191ACB">
              <w:rPr>
                <w:rFonts w:ascii="Times New Roman" w:hAnsi="Times New Roman"/>
                <w:color w:val="000000" w:themeColor="text1"/>
                <w:sz w:val="24"/>
                <w:szCs w:val="24"/>
                <w:lang w:eastAsia="x-none"/>
              </w:rPr>
              <w:t xml:space="preserve"> 4.37</w:t>
            </w:r>
          </w:p>
        </w:tc>
        <w:tc>
          <w:tcPr>
            <w:tcW w:w="594" w:type="pct"/>
          </w:tcPr>
          <w:p w14:paraId="4FB01CC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lastRenderedPageBreak/>
              <w:t>Annual fuel consumption</w:t>
            </w:r>
          </w:p>
        </w:tc>
        <w:tc>
          <w:tcPr>
            <w:tcW w:w="776" w:type="pct"/>
          </w:tcPr>
          <w:p w14:paraId="324CD968"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Reduce GHG emissions through fuel switch</w:t>
            </w:r>
          </w:p>
        </w:tc>
        <w:tc>
          <w:tcPr>
            <w:tcW w:w="639" w:type="pct"/>
          </w:tcPr>
          <w:p w14:paraId="493D3FD3" w14:textId="26F2FC0F" w:rsidR="00245464" w:rsidRPr="00191ACB" w:rsidRDefault="004A2C5D"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Planned</w:t>
            </w:r>
          </w:p>
        </w:tc>
        <w:tc>
          <w:tcPr>
            <w:tcW w:w="548" w:type="pct"/>
          </w:tcPr>
          <w:p w14:paraId="4DC661B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793</w:t>
            </w:r>
          </w:p>
        </w:tc>
        <w:tc>
          <w:tcPr>
            <w:tcW w:w="436" w:type="pct"/>
          </w:tcPr>
          <w:p w14:paraId="4E9F57B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D326BE" w:rsidRPr="00191ACB" w14:paraId="7DAAA3E4" w14:textId="77777777" w:rsidTr="00D326BE">
        <w:trPr>
          <w:trHeight w:val="467"/>
        </w:trPr>
        <w:tc>
          <w:tcPr>
            <w:cnfStyle w:val="001000000000" w:firstRow="0" w:lastRow="0" w:firstColumn="1" w:lastColumn="0" w:oddVBand="0" w:evenVBand="0" w:oddHBand="0" w:evenHBand="0" w:firstRowFirstColumn="0" w:firstRowLastColumn="0" w:lastRowFirstColumn="0" w:lastRowLastColumn="0"/>
            <w:tcW w:w="683" w:type="pct"/>
          </w:tcPr>
          <w:p w14:paraId="351F75E4"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Off grid RE to non-electrified rural – P.V (MW)</w:t>
            </w:r>
          </w:p>
        </w:tc>
        <w:tc>
          <w:tcPr>
            <w:tcW w:w="730" w:type="pct"/>
          </w:tcPr>
          <w:p w14:paraId="12FA8632"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be implemented in suitable sites in Zambia</w:t>
            </w:r>
          </w:p>
        </w:tc>
        <w:tc>
          <w:tcPr>
            <w:tcW w:w="593" w:type="pct"/>
          </w:tcPr>
          <w:p w14:paraId="2FFAE1E4" w14:textId="79E94311" w:rsidR="00245464" w:rsidRPr="00191ACB" w:rsidRDefault="00D61DBC"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Methodologies and assumptions for Refer to Zambia INDC, 2016 provided in </w:t>
            </w:r>
            <w:r w:rsidR="00F11900" w:rsidRPr="00191ACB">
              <w:rPr>
                <w:rFonts w:ascii="Times New Roman" w:hAnsi="Times New Roman"/>
                <w:color w:val="000000" w:themeColor="text1"/>
                <w:sz w:val="24"/>
                <w:szCs w:val="24"/>
                <w:lang w:eastAsia="x-none"/>
              </w:rPr>
              <w:t>Table 4.37</w:t>
            </w:r>
          </w:p>
        </w:tc>
        <w:tc>
          <w:tcPr>
            <w:tcW w:w="594" w:type="pct"/>
          </w:tcPr>
          <w:p w14:paraId="46B8A45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Units of electricity generated and consumed (MWh)</w:t>
            </w:r>
          </w:p>
        </w:tc>
        <w:tc>
          <w:tcPr>
            <w:tcW w:w="776" w:type="pct"/>
          </w:tcPr>
          <w:p w14:paraId="3486A15C"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increase energy access and reduce GHG emissions</w:t>
            </w:r>
          </w:p>
        </w:tc>
        <w:tc>
          <w:tcPr>
            <w:tcW w:w="639" w:type="pct"/>
          </w:tcPr>
          <w:p w14:paraId="2BE91FE3" w14:textId="2613081D" w:rsidR="00245464" w:rsidRPr="00191ACB" w:rsidRDefault="004A2C5D"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Planned</w:t>
            </w:r>
          </w:p>
        </w:tc>
        <w:tc>
          <w:tcPr>
            <w:tcW w:w="548" w:type="pct"/>
          </w:tcPr>
          <w:p w14:paraId="29791CA9"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44.8</w:t>
            </w:r>
          </w:p>
        </w:tc>
        <w:tc>
          <w:tcPr>
            <w:tcW w:w="436" w:type="pct"/>
          </w:tcPr>
          <w:p w14:paraId="264D470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D326BE" w:rsidRPr="00191ACB" w14:paraId="3E12B5CD" w14:textId="77777777" w:rsidTr="00D326BE">
        <w:trPr>
          <w:cnfStyle w:val="000000100000" w:firstRow="0" w:lastRow="0" w:firstColumn="0" w:lastColumn="0" w:oddVBand="0" w:evenVBand="0" w:oddHBand="1" w:evenHBand="0" w:firstRowFirstColumn="0" w:firstRowLastColumn="0" w:lastRowFirstColumn="0" w:lastRowLastColumn="0"/>
          <w:trHeight w:val="768"/>
        </w:trPr>
        <w:tc>
          <w:tcPr>
            <w:cnfStyle w:val="001000000000" w:firstRow="0" w:lastRow="0" w:firstColumn="1" w:lastColumn="0" w:oddVBand="0" w:evenVBand="0" w:oddHBand="0" w:evenHBand="0" w:firstRowFirstColumn="0" w:firstRowLastColumn="0" w:lastRowFirstColumn="0" w:lastRowLastColumn="0"/>
            <w:tcW w:w="683" w:type="pct"/>
          </w:tcPr>
          <w:p w14:paraId="165E658E" w14:textId="1ABED30E"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Off grid RE to non-electrified rural – Wind</w:t>
            </w:r>
            <w:r w:rsidR="00CF5899" w:rsidRPr="00191ACB">
              <w:rPr>
                <w:rFonts w:ascii="Times New Roman" w:hAnsi="Times New Roman"/>
                <w:color w:val="000000" w:themeColor="text1"/>
                <w:sz w:val="24"/>
                <w:szCs w:val="24"/>
              </w:rPr>
              <w:t xml:space="preserve"> </w:t>
            </w:r>
            <w:r w:rsidRPr="00191ACB">
              <w:rPr>
                <w:rFonts w:ascii="Times New Roman" w:hAnsi="Times New Roman"/>
                <w:color w:val="000000" w:themeColor="text1"/>
                <w:sz w:val="24"/>
                <w:szCs w:val="24"/>
              </w:rPr>
              <w:t xml:space="preserve">(MW) </w:t>
            </w:r>
          </w:p>
        </w:tc>
        <w:tc>
          <w:tcPr>
            <w:tcW w:w="730" w:type="pct"/>
          </w:tcPr>
          <w:p w14:paraId="3E6AB8A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be implemented in suitable sites in Zambia</w:t>
            </w:r>
          </w:p>
        </w:tc>
        <w:tc>
          <w:tcPr>
            <w:tcW w:w="593" w:type="pct"/>
          </w:tcPr>
          <w:p w14:paraId="1F3A9DC3" w14:textId="2AAFCBC7" w:rsidR="00245464" w:rsidRPr="00191ACB" w:rsidRDefault="00D61DBC"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Methodologies and assumptions Refer to Zambia INDC, 2016 provided in </w:t>
            </w:r>
            <w:r w:rsidR="00F11900" w:rsidRPr="00191ACB">
              <w:rPr>
                <w:rFonts w:ascii="Times New Roman" w:hAnsi="Times New Roman"/>
                <w:color w:val="000000" w:themeColor="text1"/>
                <w:sz w:val="24"/>
                <w:szCs w:val="24"/>
                <w:lang w:eastAsia="x-none"/>
              </w:rPr>
              <w:t>Table 4.37</w:t>
            </w:r>
          </w:p>
        </w:tc>
        <w:tc>
          <w:tcPr>
            <w:tcW w:w="594" w:type="pct"/>
          </w:tcPr>
          <w:p w14:paraId="26C2F31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Units of electricity generated and consumed (MWh)</w:t>
            </w:r>
          </w:p>
        </w:tc>
        <w:tc>
          <w:tcPr>
            <w:tcW w:w="776" w:type="pct"/>
          </w:tcPr>
          <w:p w14:paraId="1FF3B9F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increase energy access and reduce GHG emissions</w:t>
            </w:r>
          </w:p>
        </w:tc>
        <w:tc>
          <w:tcPr>
            <w:tcW w:w="639" w:type="pct"/>
          </w:tcPr>
          <w:p w14:paraId="64328DC0" w14:textId="65AB7D0C" w:rsidR="00245464" w:rsidRPr="00191ACB" w:rsidRDefault="004A2C5D"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Planned</w:t>
            </w:r>
          </w:p>
        </w:tc>
        <w:tc>
          <w:tcPr>
            <w:tcW w:w="548" w:type="pct"/>
          </w:tcPr>
          <w:p w14:paraId="0274E81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22.4</w:t>
            </w:r>
          </w:p>
        </w:tc>
        <w:tc>
          <w:tcPr>
            <w:tcW w:w="436" w:type="pct"/>
          </w:tcPr>
          <w:p w14:paraId="59F8EFC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D326BE" w:rsidRPr="00191ACB" w14:paraId="458ABAF0" w14:textId="77777777" w:rsidTr="00D326BE">
        <w:trPr>
          <w:trHeight w:val="768"/>
        </w:trPr>
        <w:tc>
          <w:tcPr>
            <w:cnfStyle w:val="001000000000" w:firstRow="0" w:lastRow="0" w:firstColumn="1" w:lastColumn="0" w:oddVBand="0" w:evenVBand="0" w:oddHBand="0" w:evenHBand="0" w:firstRowFirstColumn="0" w:firstRowLastColumn="0" w:lastRowFirstColumn="0" w:lastRowLastColumn="0"/>
            <w:tcW w:w="683" w:type="pct"/>
          </w:tcPr>
          <w:p w14:paraId="6ED55F86"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Grid extension to non-electrified rural (MW)</w:t>
            </w:r>
          </w:p>
        </w:tc>
        <w:tc>
          <w:tcPr>
            <w:tcW w:w="730" w:type="pct"/>
          </w:tcPr>
          <w:p w14:paraId="0ABE80A8"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To be implemented in suitable sites in Zambia</w:t>
            </w:r>
          </w:p>
        </w:tc>
        <w:tc>
          <w:tcPr>
            <w:tcW w:w="593" w:type="pct"/>
          </w:tcPr>
          <w:p w14:paraId="495A72F0" w14:textId="1113E81F" w:rsidR="00245464" w:rsidRPr="00191ACB" w:rsidRDefault="00D61DBC"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Methodologies and assumptions for Refer to Zambia INDC, 2016 provided in </w:t>
            </w:r>
            <w:r w:rsidR="00F11900" w:rsidRPr="00191ACB">
              <w:rPr>
                <w:rFonts w:ascii="Times New Roman" w:hAnsi="Times New Roman"/>
                <w:color w:val="000000" w:themeColor="text1"/>
                <w:sz w:val="24"/>
                <w:szCs w:val="24"/>
                <w:lang w:eastAsia="x-none"/>
              </w:rPr>
              <w:t>Table 4.37</w:t>
            </w:r>
          </w:p>
        </w:tc>
        <w:tc>
          <w:tcPr>
            <w:tcW w:w="594" w:type="pct"/>
          </w:tcPr>
          <w:p w14:paraId="2DF84D16"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Units of electricity generated and consumed (MWh)</w:t>
            </w:r>
          </w:p>
        </w:tc>
        <w:tc>
          <w:tcPr>
            <w:tcW w:w="776" w:type="pct"/>
          </w:tcPr>
          <w:p w14:paraId="29B20E0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increase energy security and reduce GHG emissions</w:t>
            </w:r>
          </w:p>
        </w:tc>
        <w:tc>
          <w:tcPr>
            <w:tcW w:w="639" w:type="pct"/>
          </w:tcPr>
          <w:p w14:paraId="2ED1C005" w14:textId="51E13C31" w:rsidR="00245464" w:rsidRPr="00191ACB" w:rsidRDefault="004A2C5D"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Planned</w:t>
            </w:r>
          </w:p>
        </w:tc>
        <w:tc>
          <w:tcPr>
            <w:tcW w:w="548" w:type="pct"/>
          </w:tcPr>
          <w:p w14:paraId="3FC05B9B"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4,905.6</w:t>
            </w:r>
          </w:p>
        </w:tc>
        <w:tc>
          <w:tcPr>
            <w:tcW w:w="436" w:type="pct"/>
          </w:tcPr>
          <w:p w14:paraId="51871057"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bl>
    <w:p w14:paraId="24014CD7" w14:textId="08B8B00A" w:rsidR="00AE7A03" w:rsidRPr="00191ACB" w:rsidRDefault="00AE7A03" w:rsidP="00245464">
      <w:pPr>
        <w:jc w:val="both"/>
        <w:rPr>
          <w:rFonts w:ascii="Times New Roman" w:eastAsia="Calibri" w:hAnsi="Times New Roman" w:cs="Times New Roman"/>
          <w:color w:val="000000" w:themeColor="text1"/>
          <w:sz w:val="24"/>
          <w:szCs w:val="24"/>
        </w:rPr>
      </w:pPr>
    </w:p>
    <w:p w14:paraId="304613C0" w14:textId="0B70755C" w:rsidR="00CA49AF" w:rsidRPr="00191ACB" w:rsidRDefault="00CA49AF" w:rsidP="00245464">
      <w:pPr>
        <w:jc w:val="both"/>
        <w:rPr>
          <w:rFonts w:ascii="Times New Roman" w:eastAsia="Calibri" w:hAnsi="Times New Roman" w:cs="Times New Roman"/>
          <w:color w:val="000000" w:themeColor="text1"/>
          <w:sz w:val="24"/>
          <w:szCs w:val="24"/>
        </w:rPr>
      </w:pPr>
    </w:p>
    <w:p w14:paraId="7452FE45" w14:textId="0F3A51FB" w:rsidR="00CA49AF" w:rsidRPr="00191ACB" w:rsidRDefault="00CA49AF" w:rsidP="00245464">
      <w:pPr>
        <w:jc w:val="both"/>
        <w:rPr>
          <w:rFonts w:ascii="Times New Roman" w:eastAsia="Calibri" w:hAnsi="Times New Roman" w:cs="Times New Roman"/>
          <w:color w:val="000000" w:themeColor="text1"/>
          <w:sz w:val="24"/>
          <w:szCs w:val="24"/>
        </w:rPr>
      </w:pPr>
    </w:p>
    <w:p w14:paraId="4B67C035" w14:textId="09CD9ECC" w:rsidR="00CA49AF" w:rsidRPr="00191ACB" w:rsidRDefault="00CA49AF" w:rsidP="00245464">
      <w:pPr>
        <w:jc w:val="both"/>
        <w:rPr>
          <w:rFonts w:ascii="Times New Roman" w:eastAsia="Calibri" w:hAnsi="Times New Roman" w:cs="Times New Roman"/>
          <w:color w:val="000000" w:themeColor="text1"/>
          <w:sz w:val="24"/>
          <w:szCs w:val="24"/>
        </w:rPr>
      </w:pPr>
    </w:p>
    <w:p w14:paraId="3051BF38" w14:textId="77777777" w:rsidR="00CA49AF" w:rsidRPr="00191ACB" w:rsidRDefault="00CA49AF" w:rsidP="00245464">
      <w:pPr>
        <w:jc w:val="both"/>
        <w:rPr>
          <w:rFonts w:ascii="Times New Roman" w:eastAsia="Calibri" w:hAnsi="Times New Roman" w:cs="Times New Roman"/>
          <w:color w:val="000000" w:themeColor="text1"/>
          <w:sz w:val="24"/>
          <w:szCs w:val="24"/>
        </w:rPr>
      </w:pPr>
    </w:p>
    <w:p w14:paraId="5CC2FFAF" w14:textId="62A93891" w:rsidR="005B5FDA" w:rsidRPr="00191ACB" w:rsidRDefault="00CA49AF" w:rsidP="00CA49AF">
      <w:pPr>
        <w:pStyle w:val="Caption"/>
        <w:rPr>
          <w:rFonts w:eastAsia="Calibri"/>
          <w:color w:val="000000" w:themeColor="text1"/>
          <w:sz w:val="24"/>
          <w:szCs w:val="24"/>
        </w:rPr>
      </w:pPr>
      <w:bookmarkStart w:id="418" w:name="_Toc56583813"/>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37</w:t>
      </w:r>
      <w:r w:rsidR="00875942">
        <w:rPr>
          <w:sz w:val="24"/>
          <w:szCs w:val="24"/>
        </w:rPr>
        <w:fldChar w:fldCharType="end"/>
      </w:r>
      <w:r w:rsidRPr="00191ACB">
        <w:rPr>
          <w:sz w:val="24"/>
          <w:szCs w:val="24"/>
        </w:rPr>
        <w:t>: Assumptions and Methodological Approaches used in the Zambia INDC, 2016</w:t>
      </w:r>
      <w:bookmarkEnd w:id="418"/>
    </w:p>
    <w:tbl>
      <w:tblPr>
        <w:tblStyle w:val="GridTable2-Accent51"/>
        <w:tblW w:w="15480" w:type="dxa"/>
        <w:tblLook w:val="04A0" w:firstRow="1" w:lastRow="0" w:firstColumn="1" w:lastColumn="0" w:noHBand="0" w:noVBand="1"/>
      </w:tblPr>
      <w:tblGrid>
        <w:gridCol w:w="3055"/>
        <w:gridCol w:w="12425"/>
      </w:tblGrid>
      <w:tr w:rsidR="005B5FDA" w:rsidRPr="00191ACB" w14:paraId="54ABE2CC" w14:textId="77777777" w:rsidTr="005E62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3FD7CA7F" w14:textId="77777777" w:rsidR="005B5FDA" w:rsidRPr="00191ACB" w:rsidRDefault="005B5FDA" w:rsidP="00BC6CFF">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Time Frame </w:t>
            </w:r>
          </w:p>
        </w:tc>
        <w:tc>
          <w:tcPr>
            <w:tcW w:w="12425" w:type="dxa"/>
          </w:tcPr>
          <w:p w14:paraId="54802F85" w14:textId="77777777" w:rsidR="005B5FDA" w:rsidRPr="00191ACB" w:rsidRDefault="005B5FDA" w:rsidP="00BC6CFF">
            <w:pPr>
              <w:jc w:val="both"/>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time for implementation of the INDC is up to 2030</w:t>
            </w:r>
          </w:p>
        </w:tc>
      </w:tr>
      <w:tr w:rsidR="005B5FDA" w:rsidRPr="00191ACB" w14:paraId="131FB811" w14:textId="77777777" w:rsidTr="005E62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61289203" w14:textId="77777777" w:rsidR="005B5FDA" w:rsidRPr="00191ACB" w:rsidRDefault="005B5FDA" w:rsidP="00BC6CFF">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Gases Covered </w:t>
            </w:r>
          </w:p>
        </w:tc>
        <w:tc>
          <w:tcPr>
            <w:tcW w:w="12425" w:type="dxa"/>
          </w:tcPr>
          <w:p w14:paraId="6C765820" w14:textId="77777777" w:rsidR="005B5FDA" w:rsidRPr="00191ACB" w:rsidRDefault="005B5FDA" w:rsidP="00BC6CFF">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Carbon dioxide (CO2), methane (CH4) and nitrous oxide (N2O)</w:t>
            </w:r>
          </w:p>
        </w:tc>
      </w:tr>
      <w:tr w:rsidR="005B5FDA" w:rsidRPr="00191ACB" w14:paraId="09867F68" w14:textId="77777777" w:rsidTr="005E626A">
        <w:trPr>
          <w:trHeight w:val="1993"/>
        </w:trPr>
        <w:tc>
          <w:tcPr>
            <w:cnfStyle w:val="001000000000" w:firstRow="0" w:lastRow="0" w:firstColumn="1" w:lastColumn="0" w:oddVBand="0" w:evenVBand="0" w:oddHBand="0" w:evenHBand="0" w:firstRowFirstColumn="0" w:firstRowLastColumn="0" w:lastRowFirstColumn="0" w:lastRowLastColumn="0"/>
            <w:tcW w:w="3055" w:type="dxa"/>
          </w:tcPr>
          <w:p w14:paraId="42E52224" w14:textId="77777777" w:rsidR="005B5FDA" w:rsidRPr="00191ACB" w:rsidRDefault="005B5FDA" w:rsidP="00BC6CFF">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Sectors covered</w:t>
            </w:r>
          </w:p>
        </w:tc>
        <w:tc>
          <w:tcPr>
            <w:tcW w:w="12425" w:type="dxa"/>
          </w:tcPr>
          <w:p w14:paraId="6B5BA13B" w14:textId="77777777" w:rsidR="005B5FDA" w:rsidRPr="00191ACB" w:rsidRDefault="005B5FDA" w:rsidP="00BC6CFF">
            <w:pPr>
              <w:spacing w:after="12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Energy (i.e. manufacturing, commercial, residential, agriculture, transport, mining and electricity)</w:t>
            </w:r>
          </w:p>
          <w:p w14:paraId="354552B0" w14:textId="77777777" w:rsidR="005B5FDA" w:rsidRPr="00191ACB" w:rsidRDefault="005B5FDA" w:rsidP="00BC6CFF">
            <w:pPr>
              <w:spacing w:after="12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Agriculture (i.e. Enteric Fermentation and Manure Management, Rice Methane, Agriculture Soils, Burning of Savanna and Agriculture waste)</w:t>
            </w:r>
          </w:p>
          <w:p w14:paraId="3F820653" w14:textId="77777777" w:rsidR="005B5FDA" w:rsidRPr="00191ACB" w:rsidRDefault="005B5FDA" w:rsidP="00BC6CFF">
            <w:pPr>
              <w:spacing w:after="12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Waste (i.e. Solid waste disposal, Solid waste open burning, Domestic wastewater handling, Industrial wastewater handling and Human sewage)</w:t>
            </w:r>
          </w:p>
          <w:p w14:paraId="7A397691" w14:textId="77777777" w:rsidR="005B5FDA" w:rsidRPr="00191ACB" w:rsidRDefault="005B5FDA" w:rsidP="00BC6CFF">
            <w:pPr>
              <w:spacing w:after="12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Land-use, Land-Use Change and Forestry (LULUCF): Sources- (i.e. Deforestation and forest degradation through land clearing for agriculture, uncontrolled fires, infrastructure, timber harvesting, and charcoal production. Sinks-Regeneration from abandoned land from disturbed forests (firewood collection, charcoal production and timber harvesting), agriculture farrow and plantations, afforestation and reforestation)</w:t>
            </w:r>
          </w:p>
        </w:tc>
      </w:tr>
      <w:tr w:rsidR="005B5FDA" w:rsidRPr="00191ACB" w14:paraId="479CE4F2" w14:textId="77777777" w:rsidTr="005E62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07D26D76" w14:textId="77777777" w:rsidR="005B5FDA" w:rsidRPr="00191ACB" w:rsidRDefault="005B5FDA" w:rsidP="00BC6CFF">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BAU Scenario </w:t>
            </w:r>
          </w:p>
        </w:tc>
        <w:tc>
          <w:tcPr>
            <w:tcW w:w="12425" w:type="dxa"/>
          </w:tcPr>
          <w:p w14:paraId="2EBDEF95" w14:textId="77777777" w:rsidR="005B5FDA" w:rsidRPr="00191ACB" w:rsidRDefault="005B5FDA" w:rsidP="00BC6CFF">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GHG emission projection for 2030, starting in 2010, and 2016 as the first year of implementation of the programs recommended. </w:t>
            </w:r>
          </w:p>
        </w:tc>
      </w:tr>
      <w:tr w:rsidR="005B5FDA" w:rsidRPr="00191ACB" w14:paraId="7FEAD49B" w14:textId="77777777" w:rsidTr="005E626A">
        <w:tc>
          <w:tcPr>
            <w:cnfStyle w:val="001000000000" w:firstRow="0" w:lastRow="0" w:firstColumn="1" w:lastColumn="0" w:oddVBand="0" w:evenVBand="0" w:oddHBand="0" w:evenHBand="0" w:firstRowFirstColumn="0" w:firstRowLastColumn="0" w:lastRowFirstColumn="0" w:lastRowLastColumn="0"/>
            <w:tcW w:w="3055" w:type="dxa"/>
          </w:tcPr>
          <w:p w14:paraId="6907EC22" w14:textId="77777777" w:rsidR="005B5FDA" w:rsidRPr="00191ACB" w:rsidRDefault="005B5FDA" w:rsidP="00BC6CFF">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Mitigation Scenarios </w:t>
            </w:r>
          </w:p>
        </w:tc>
        <w:tc>
          <w:tcPr>
            <w:tcW w:w="12425" w:type="dxa"/>
          </w:tcPr>
          <w:p w14:paraId="6FFAB47B" w14:textId="77777777" w:rsidR="005B5FDA" w:rsidRPr="00191ACB" w:rsidRDefault="005B5FDA" w:rsidP="00BC6CFF">
            <w:pPr>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GHG emission projections for 2030, starting in 2016. The baseline and mitigation scenarios were developed for Energy Sector using the "Long-range Energy Alternatives Planning System" (LEAP) software. Scenarios for the agriculture, land use, land use change and forestry, and waste sectors were developed using standard analysis spreadsheets. Both scenarios in Figure (1) are based on data from the National and Sector Statistics, which included economic, demographic and sectoral information.</w:t>
            </w:r>
          </w:p>
        </w:tc>
      </w:tr>
      <w:tr w:rsidR="005B5FDA" w:rsidRPr="00191ACB" w14:paraId="68089A6C" w14:textId="77777777" w:rsidTr="005E62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6EEB3D4F" w14:textId="77777777" w:rsidR="005B5FDA" w:rsidRPr="00191ACB" w:rsidRDefault="005B5FDA" w:rsidP="00BC6CFF">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Global Warming Potential (GWP)</w:t>
            </w:r>
          </w:p>
        </w:tc>
        <w:tc>
          <w:tcPr>
            <w:tcW w:w="12425" w:type="dxa"/>
          </w:tcPr>
          <w:p w14:paraId="519BFB68" w14:textId="77777777" w:rsidR="005B5FDA" w:rsidRPr="00191ACB" w:rsidRDefault="005B5FDA" w:rsidP="00BC6CFF">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GWP values used were: GWP CO2 = 1 (by convention), GWP CH4 = 21 and GWP N2O = 310</w:t>
            </w:r>
          </w:p>
        </w:tc>
      </w:tr>
      <w:tr w:rsidR="005B5FDA" w:rsidRPr="00191ACB" w14:paraId="12A0015B" w14:textId="77777777" w:rsidTr="005E626A">
        <w:tc>
          <w:tcPr>
            <w:cnfStyle w:val="001000000000" w:firstRow="0" w:lastRow="0" w:firstColumn="1" w:lastColumn="0" w:oddVBand="0" w:evenVBand="0" w:oddHBand="0" w:evenHBand="0" w:firstRowFirstColumn="0" w:firstRowLastColumn="0" w:lastRowFirstColumn="0" w:lastRowLastColumn="0"/>
            <w:tcW w:w="3055" w:type="dxa"/>
          </w:tcPr>
          <w:p w14:paraId="2D1912AD" w14:textId="77777777" w:rsidR="005B5FDA" w:rsidRPr="00191ACB" w:rsidRDefault="005B5FDA" w:rsidP="00BC6CFF">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Methodology for Estimating Emissions</w:t>
            </w:r>
          </w:p>
        </w:tc>
        <w:tc>
          <w:tcPr>
            <w:tcW w:w="12425" w:type="dxa"/>
          </w:tcPr>
          <w:p w14:paraId="35EE50D6" w14:textId="77777777" w:rsidR="005B5FDA" w:rsidRPr="00191ACB" w:rsidRDefault="005B5FDA" w:rsidP="00BC6CFF">
            <w:pPr>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methodology used is Revised 1996 IPCC Guidelines and 2000 Good Practice Guidance.</w:t>
            </w:r>
          </w:p>
        </w:tc>
      </w:tr>
      <w:tr w:rsidR="005B5FDA" w:rsidRPr="00191ACB" w14:paraId="059CAD21" w14:textId="77777777" w:rsidTr="005E626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Pr>
          <w:p w14:paraId="1F60AAD8" w14:textId="77777777" w:rsidR="005B5FDA" w:rsidRPr="00191ACB" w:rsidRDefault="005B5FDA" w:rsidP="00BC6CFF">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Contribution of International Market Based Mechanisms</w:t>
            </w:r>
          </w:p>
        </w:tc>
        <w:tc>
          <w:tcPr>
            <w:tcW w:w="12425" w:type="dxa"/>
          </w:tcPr>
          <w:p w14:paraId="5A86EF71" w14:textId="77777777" w:rsidR="005B5FDA" w:rsidRPr="00191ACB" w:rsidRDefault="005B5FDA" w:rsidP="00BC6CFF">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Zambia does not rule out the possibility of using market based mechanisms in meeting emission reduction target.</w:t>
            </w:r>
          </w:p>
        </w:tc>
      </w:tr>
    </w:tbl>
    <w:p w14:paraId="66AA6DC1" w14:textId="77777777" w:rsidR="005B5FDA" w:rsidRPr="00191ACB" w:rsidRDefault="005B5FDA" w:rsidP="005B5FDA">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Source: Zambia INDC, 2016</w:t>
      </w:r>
    </w:p>
    <w:p w14:paraId="267F7721" w14:textId="77777777" w:rsidR="005B5FDA" w:rsidRPr="00191ACB" w:rsidRDefault="005B5FDA" w:rsidP="00245464">
      <w:pPr>
        <w:jc w:val="both"/>
        <w:rPr>
          <w:rFonts w:ascii="Times New Roman" w:eastAsia="Calibri" w:hAnsi="Times New Roman" w:cs="Times New Roman"/>
          <w:color w:val="000000" w:themeColor="text1"/>
          <w:sz w:val="24"/>
          <w:szCs w:val="24"/>
        </w:rPr>
      </w:pPr>
    </w:p>
    <w:p w14:paraId="0DC164D0" w14:textId="416DA5D3" w:rsidR="005B5FDA" w:rsidRPr="00191ACB" w:rsidRDefault="005B5FDA" w:rsidP="00245464">
      <w:pPr>
        <w:jc w:val="both"/>
        <w:rPr>
          <w:rFonts w:ascii="Times New Roman" w:eastAsia="Calibri" w:hAnsi="Times New Roman" w:cs="Times New Roman"/>
          <w:color w:val="000000" w:themeColor="text1"/>
          <w:sz w:val="24"/>
          <w:szCs w:val="24"/>
        </w:rPr>
        <w:sectPr w:rsidR="005B5FDA" w:rsidRPr="00191ACB" w:rsidSect="00D326BE">
          <w:pgSz w:w="16834" w:h="11909" w:orient="landscape" w:code="9"/>
          <w:pgMar w:top="720" w:right="862" w:bottom="1440" w:left="862" w:header="720" w:footer="720" w:gutter="0"/>
          <w:cols w:space="720"/>
          <w:docGrid w:linePitch="360"/>
        </w:sectPr>
      </w:pPr>
    </w:p>
    <w:p w14:paraId="05C5F874" w14:textId="2A3B7063" w:rsidR="00245464" w:rsidRPr="00191ACB" w:rsidRDefault="00245464" w:rsidP="00D21C5B">
      <w:pPr>
        <w:pStyle w:val="Heading3"/>
        <w:numPr>
          <w:ilvl w:val="2"/>
          <w:numId w:val="36"/>
        </w:numPr>
        <w:ind w:left="851" w:hanging="851"/>
      </w:pPr>
      <w:bookmarkStart w:id="419" w:name="_Toc54622026"/>
      <w:bookmarkStart w:id="420" w:name="_Toc54622358"/>
      <w:bookmarkStart w:id="421" w:name="_Toc26264946"/>
      <w:bookmarkStart w:id="422" w:name="_Toc57902875"/>
      <w:bookmarkEnd w:id="419"/>
      <w:bookmarkEnd w:id="420"/>
      <w:r w:rsidRPr="00191ACB">
        <w:lastRenderedPageBreak/>
        <w:t xml:space="preserve">Industrial Processes </w:t>
      </w:r>
      <w:r w:rsidR="003772F2" w:rsidRPr="00191ACB">
        <w:t xml:space="preserve">and </w:t>
      </w:r>
      <w:r w:rsidRPr="00191ACB">
        <w:t>Product Use</w:t>
      </w:r>
      <w:bookmarkEnd w:id="421"/>
      <w:r w:rsidR="00D57ABF" w:rsidRPr="00191ACB">
        <w:t xml:space="preserve"> </w:t>
      </w:r>
      <w:r w:rsidR="003772F2" w:rsidRPr="00191ACB">
        <w:t>Mitigation Actions</w:t>
      </w:r>
      <w:bookmarkEnd w:id="422"/>
    </w:p>
    <w:p w14:paraId="16D9212E" w14:textId="3BC5BD38" w:rsidR="00245464" w:rsidRPr="00191ACB" w:rsidRDefault="00D57ABF" w:rsidP="00D21C5B">
      <w:pPr>
        <w:pStyle w:val="Heading4"/>
        <w:numPr>
          <w:ilvl w:val="3"/>
          <w:numId w:val="36"/>
        </w:numPr>
        <w:ind w:left="851" w:hanging="851"/>
      </w:pPr>
      <w:bookmarkStart w:id="423" w:name="_Toc11669337"/>
      <w:bookmarkStart w:id="424" w:name="_Toc26264947"/>
      <w:r w:rsidRPr="00191ACB">
        <w:t xml:space="preserve">IPPU </w:t>
      </w:r>
      <w:r w:rsidR="003772F2" w:rsidRPr="00191ACB">
        <w:t xml:space="preserve">Projected Baseline Emissions </w:t>
      </w:r>
      <w:bookmarkEnd w:id="423"/>
      <w:bookmarkEnd w:id="424"/>
      <w:r w:rsidR="003772F2" w:rsidRPr="00191ACB">
        <w:t xml:space="preserve"> </w:t>
      </w:r>
    </w:p>
    <w:p w14:paraId="3128D9C4" w14:textId="77777777" w:rsidR="003772F2" w:rsidRDefault="003772F2" w:rsidP="005E626A">
      <w:pPr>
        <w:spacing w:after="120" w:line="240" w:lineRule="auto"/>
        <w:jc w:val="both"/>
        <w:rPr>
          <w:rFonts w:ascii="Times New Roman" w:eastAsia="Calibri" w:hAnsi="Times New Roman" w:cs="Times New Roman"/>
          <w:color w:val="000000" w:themeColor="text1"/>
          <w:sz w:val="24"/>
          <w:szCs w:val="24"/>
        </w:rPr>
      </w:pPr>
    </w:p>
    <w:p w14:paraId="22DAAD8A" w14:textId="6B36D226"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Industrial Processes and Product Use (IPPU), covers GHG emissions occurring from industrial processes, product use and from non-energy uses of fossil fuel carbon. The main sources of emissions from industrial processes include; mineral, chemical, electronic and metal industries. Emissions from product use are mainly substitutes of ozone depleting substances from refrigeration and stationery air conditioning units, use of electrical equipment and other product manufacture and use. Other emissions from non-energy products include fuels and solvent use.</w:t>
      </w:r>
    </w:p>
    <w:p w14:paraId="3A405A14" w14:textId="77777777" w:rsidR="00245464" w:rsidRPr="003772F2" w:rsidRDefault="00245464" w:rsidP="00D21C5B">
      <w:pPr>
        <w:pStyle w:val="Heading4"/>
        <w:numPr>
          <w:ilvl w:val="3"/>
          <w:numId w:val="36"/>
        </w:numPr>
        <w:ind w:left="851" w:hanging="851"/>
      </w:pPr>
      <w:bookmarkStart w:id="425" w:name="_Toc19284580"/>
      <w:bookmarkStart w:id="426" w:name="_Toc26264948"/>
      <w:r w:rsidRPr="003772F2">
        <w:t>Assumptions and key parameters</w:t>
      </w:r>
      <w:bookmarkEnd w:id="425"/>
      <w:bookmarkEnd w:id="426"/>
    </w:p>
    <w:p w14:paraId="51CC8E07" w14:textId="22255FA6"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baseline for IPPU was assumed to be increased production of cement and lime, chemicals and iron and steel.  It should be pointed out that data and information acquisition from the industries on their expected future production, and consumption of products with implications on GHG emissions was challenging due to reasons that included confidential information, market and production conditions are unpredictable. With regard to process emissions, the projections were based on Carbon Intensity 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vertAlign w:val="subscript"/>
        </w:rPr>
        <w:t>eq</w:t>
      </w:r>
      <w:r w:rsidRPr="00191ACB">
        <w:rPr>
          <w:rFonts w:ascii="Times New Roman" w:eastAsia="Calibri" w:hAnsi="Times New Roman" w:cs="Times New Roman"/>
          <w:color w:val="000000" w:themeColor="text1"/>
          <w:sz w:val="24"/>
          <w:szCs w:val="24"/>
        </w:rPr>
        <w:t xml:space="preserve"> per 2011 PPP million $ GDP and GDP constant prices. These parameters together with historical emissions were used to project future emissions extended to 2050 based on project GDP constant prices and carbon intensity.  Carbon emissions intensity is the level of GHG emissions per unit of economic activity, usually measured at the national level as GDP. The baseline emissions are projected to increase from </w:t>
      </w:r>
      <w:r w:rsidR="00E55469" w:rsidRPr="00191ACB">
        <w:rPr>
          <w:rFonts w:ascii="Times New Roman" w:eastAsia="Calibri" w:hAnsi="Times New Roman" w:cs="Times New Roman"/>
          <w:color w:val="000000" w:themeColor="text1"/>
          <w:sz w:val="24"/>
          <w:szCs w:val="24"/>
        </w:rPr>
        <w:t>1559.4</w:t>
      </w:r>
      <w:r w:rsidRPr="00191ACB">
        <w:rPr>
          <w:rFonts w:ascii="Times New Roman" w:eastAsia="Times New Roman" w:hAnsi="Times New Roman" w:cs="Times New Roman"/>
          <w:color w:val="000000" w:themeColor="text1"/>
          <w:sz w:val="24"/>
          <w:szCs w:val="24"/>
        </w:rPr>
        <w:t xml:space="preserve"> Gg CO</w:t>
      </w:r>
      <w:r w:rsidRPr="00191ACB">
        <w:rPr>
          <w:rFonts w:ascii="Times New Roman" w:eastAsia="Times New Roman" w:hAnsi="Times New Roman" w:cs="Times New Roman"/>
          <w:color w:val="000000" w:themeColor="text1"/>
          <w:sz w:val="24"/>
          <w:szCs w:val="24"/>
          <w:vertAlign w:val="subscript"/>
        </w:rPr>
        <w:t>2 eq</w:t>
      </w:r>
      <w:r w:rsidRPr="00191ACB">
        <w:rPr>
          <w:rFonts w:ascii="Times New Roman" w:eastAsia="Times New Roman" w:hAnsi="Times New Roman" w:cs="Times New Roman"/>
          <w:color w:val="000000" w:themeColor="text1"/>
          <w:sz w:val="24"/>
          <w:szCs w:val="24"/>
        </w:rPr>
        <w:t>. in 201</w:t>
      </w:r>
      <w:r w:rsidR="00E55469" w:rsidRPr="00191ACB">
        <w:rPr>
          <w:rFonts w:ascii="Times New Roman" w:eastAsia="Times New Roman" w:hAnsi="Times New Roman" w:cs="Times New Roman"/>
          <w:color w:val="000000" w:themeColor="text1"/>
          <w:sz w:val="24"/>
          <w:szCs w:val="24"/>
        </w:rPr>
        <w:t>0</w:t>
      </w:r>
      <w:r w:rsidRPr="00191ACB">
        <w:rPr>
          <w:rFonts w:ascii="Times New Roman" w:eastAsia="Times New Roman" w:hAnsi="Times New Roman" w:cs="Times New Roman"/>
          <w:color w:val="000000" w:themeColor="text1"/>
          <w:sz w:val="24"/>
          <w:szCs w:val="24"/>
        </w:rPr>
        <w:t xml:space="preserve"> to </w:t>
      </w:r>
      <w:r w:rsidR="00E55469" w:rsidRPr="00191ACB">
        <w:rPr>
          <w:rFonts w:ascii="Times New Roman" w:eastAsia="Times New Roman" w:hAnsi="Times New Roman" w:cs="Times New Roman"/>
          <w:color w:val="000000" w:themeColor="text1"/>
          <w:sz w:val="24"/>
          <w:szCs w:val="24"/>
        </w:rPr>
        <w:t>6379.4</w:t>
      </w:r>
      <w:r w:rsidRPr="00191ACB">
        <w:rPr>
          <w:rFonts w:ascii="Times New Roman" w:eastAsia="Times New Roman" w:hAnsi="Times New Roman" w:cs="Times New Roman"/>
          <w:color w:val="000000" w:themeColor="text1"/>
          <w:sz w:val="24"/>
          <w:szCs w:val="24"/>
        </w:rPr>
        <w:t xml:space="preserve"> Gg CO</w:t>
      </w:r>
      <w:r w:rsidRPr="00191ACB">
        <w:rPr>
          <w:rFonts w:ascii="Times New Roman" w:eastAsia="Times New Roman" w:hAnsi="Times New Roman" w:cs="Times New Roman"/>
          <w:color w:val="000000" w:themeColor="text1"/>
          <w:sz w:val="24"/>
          <w:szCs w:val="24"/>
          <w:vertAlign w:val="subscript"/>
        </w:rPr>
        <w:t>2 eq</w:t>
      </w:r>
      <w:r w:rsidRPr="00191ACB">
        <w:rPr>
          <w:rFonts w:ascii="Times New Roman" w:eastAsia="Times New Roman" w:hAnsi="Times New Roman" w:cs="Times New Roman"/>
          <w:color w:val="000000" w:themeColor="text1"/>
          <w:sz w:val="24"/>
          <w:szCs w:val="24"/>
        </w:rPr>
        <w:t>. in 2050 with main contribution coming from cement and lime production (</w:t>
      </w:r>
      <w:r w:rsidRPr="00191ACB">
        <w:rPr>
          <w:rFonts w:ascii="Times New Roman" w:eastAsia="Calibri" w:hAnsi="Times New Roman" w:cs="Times New Roman"/>
          <w:color w:val="000000" w:themeColor="text1"/>
          <w:sz w:val="24"/>
          <w:szCs w:val="24"/>
        </w:rPr>
        <w:t xml:space="preserve">Table </w:t>
      </w:r>
      <w:r w:rsidR="00F11900" w:rsidRPr="00191ACB">
        <w:rPr>
          <w:rFonts w:ascii="Times New Roman" w:eastAsia="Calibri" w:hAnsi="Times New Roman" w:cs="Times New Roman"/>
          <w:color w:val="000000" w:themeColor="text1"/>
          <w:sz w:val="24"/>
          <w:szCs w:val="24"/>
        </w:rPr>
        <w:t>4.38</w:t>
      </w:r>
      <w:r w:rsidRPr="00191ACB">
        <w:rPr>
          <w:rFonts w:ascii="Times New Roman" w:eastAsia="Calibri" w:hAnsi="Times New Roman" w:cs="Times New Roman"/>
          <w:color w:val="000000" w:themeColor="text1"/>
          <w:sz w:val="24"/>
          <w:szCs w:val="24"/>
        </w:rPr>
        <w:t>).</w:t>
      </w:r>
    </w:p>
    <w:p w14:paraId="2EFFD5CF" w14:textId="09202EFA" w:rsidR="00245464" w:rsidRPr="00191ACB" w:rsidRDefault="00245464" w:rsidP="00721DAB">
      <w:pPr>
        <w:spacing w:after="120" w:line="240" w:lineRule="auto"/>
        <w:jc w:val="both"/>
        <w:rPr>
          <w:rFonts w:ascii="Times New Roman" w:eastAsia="Calibri" w:hAnsi="Times New Roman" w:cs="Times New Roman"/>
          <w:color w:val="000000" w:themeColor="text1"/>
          <w:sz w:val="24"/>
          <w:szCs w:val="24"/>
        </w:rPr>
      </w:pPr>
    </w:p>
    <w:p w14:paraId="32B6E7F1" w14:textId="454C2F0D" w:rsidR="00CA49AF" w:rsidRPr="00191ACB" w:rsidRDefault="00CA49AF" w:rsidP="00CA49AF">
      <w:pPr>
        <w:pStyle w:val="Caption"/>
        <w:rPr>
          <w:rFonts w:eastAsia="Calibri"/>
          <w:color w:val="000000" w:themeColor="text1"/>
          <w:sz w:val="24"/>
          <w:szCs w:val="24"/>
        </w:rPr>
      </w:pPr>
      <w:bookmarkStart w:id="427" w:name="_Toc56583814"/>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38</w:t>
      </w:r>
      <w:r w:rsidR="00875942">
        <w:rPr>
          <w:sz w:val="24"/>
          <w:szCs w:val="24"/>
        </w:rPr>
        <w:fldChar w:fldCharType="end"/>
      </w:r>
      <w:r w:rsidRPr="00191ACB">
        <w:rPr>
          <w:sz w:val="24"/>
          <w:szCs w:val="24"/>
        </w:rPr>
        <w:t>: Baseline emissions projections for Industrial Processes and Product Use (Gg CO2 eq.)</w:t>
      </w:r>
      <w:bookmarkEnd w:id="427"/>
    </w:p>
    <w:tbl>
      <w:tblPr>
        <w:tblW w:w="960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60"/>
        <w:gridCol w:w="960"/>
        <w:gridCol w:w="960"/>
        <w:gridCol w:w="960"/>
        <w:gridCol w:w="960"/>
        <w:gridCol w:w="960"/>
        <w:gridCol w:w="960"/>
        <w:gridCol w:w="960"/>
        <w:gridCol w:w="960"/>
      </w:tblGrid>
      <w:tr w:rsidR="00325FAF" w:rsidRPr="00191ACB" w14:paraId="4C0B83CB" w14:textId="77777777" w:rsidTr="00325FAF">
        <w:trPr>
          <w:trHeight w:val="300"/>
        </w:trPr>
        <w:tc>
          <w:tcPr>
            <w:tcW w:w="960" w:type="dxa"/>
            <w:shd w:val="clear" w:color="auto" w:fill="auto"/>
            <w:noWrap/>
            <w:vAlign w:val="center"/>
            <w:hideMark/>
          </w:tcPr>
          <w:p w14:paraId="27BA430A" w14:textId="77777777" w:rsidR="00325FAF" w:rsidRPr="00191ACB" w:rsidRDefault="00325FAF" w:rsidP="00721DAB">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Year</w:t>
            </w:r>
          </w:p>
        </w:tc>
        <w:tc>
          <w:tcPr>
            <w:tcW w:w="960" w:type="dxa"/>
            <w:shd w:val="clear" w:color="auto" w:fill="auto"/>
            <w:noWrap/>
            <w:vAlign w:val="center"/>
            <w:hideMark/>
          </w:tcPr>
          <w:p w14:paraId="2FAA8C22" w14:textId="77777777" w:rsidR="00325FAF" w:rsidRPr="00191ACB" w:rsidRDefault="00325FAF" w:rsidP="00721DAB">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960" w:type="dxa"/>
            <w:shd w:val="clear" w:color="auto" w:fill="auto"/>
            <w:noWrap/>
            <w:vAlign w:val="center"/>
            <w:hideMark/>
          </w:tcPr>
          <w:p w14:paraId="3CCEC25A" w14:textId="77777777" w:rsidR="00325FAF" w:rsidRPr="00191ACB" w:rsidRDefault="00325FAF" w:rsidP="00721DAB">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960" w:type="dxa"/>
            <w:shd w:val="clear" w:color="auto" w:fill="auto"/>
            <w:noWrap/>
            <w:vAlign w:val="center"/>
            <w:hideMark/>
          </w:tcPr>
          <w:p w14:paraId="6302D3E7" w14:textId="77777777" w:rsidR="00325FAF" w:rsidRPr="00191ACB" w:rsidRDefault="00325FAF" w:rsidP="00721DAB">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2020</w:t>
            </w:r>
          </w:p>
        </w:tc>
        <w:tc>
          <w:tcPr>
            <w:tcW w:w="960" w:type="dxa"/>
            <w:shd w:val="clear" w:color="auto" w:fill="auto"/>
            <w:noWrap/>
            <w:vAlign w:val="center"/>
            <w:hideMark/>
          </w:tcPr>
          <w:p w14:paraId="7E88439E" w14:textId="77777777" w:rsidR="00325FAF" w:rsidRPr="00191ACB" w:rsidRDefault="00325FAF" w:rsidP="00721DAB">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2025</w:t>
            </w:r>
          </w:p>
        </w:tc>
        <w:tc>
          <w:tcPr>
            <w:tcW w:w="960" w:type="dxa"/>
            <w:shd w:val="clear" w:color="auto" w:fill="auto"/>
            <w:noWrap/>
            <w:vAlign w:val="center"/>
            <w:hideMark/>
          </w:tcPr>
          <w:p w14:paraId="4C970A85" w14:textId="77777777" w:rsidR="00325FAF" w:rsidRPr="00191ACB" w:rsidRDefault="00325FAF" w:rsidP="00721DAB">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2030</w:t>
            </w:r>
          </w:p>
        </w:tc>
        <w:tc>
          <w:tcPr>
            <w:tcW w:w="960" w:type="dxa"/>
            <w:shd w:val="clear" w:color="auto" w:fill="auto"/>
            <w:noWrap/>
            <w:vAlign w:val="center"/>
            <w:hideMark/>
          </w:tcPr>
          <w:p w14:paraId="597B6F8D" w14:textId="77777777" w:rsidR="00325FAF" w:rsidRPr="00191ACB" w:rsidRDefault="00325FAF" w:rsidP="00721DAB">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2035</w:t>
            </w:r>
          </w:p>
        </w:tc>
        <w:tc>
          <w:tcPr>
            <w:tcW w:w="960" w:type="dxa"/>
            <w:shd w:val="clear" w:color="auto" w:fill="auto"/>
            <w:noWrap/>
            <w:vAlign w:val="center"/>
            <w:hideMark/>
          </w:tcPr>
          <w:p w14:paraId="6F7348E4" w14:textId="77777777" w:rsidR="00325FAF" w:rsidRPr="00191ACB" w:rsidRDefault="00325FAF" w:rsidP="00721DAB">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2040</w:t>
            </w:r>
          </w:p>
        </w:tc>
        <w:tc>
          <w:tcPr>
            <w:tcW w:w="960" w:type="dxa"/>
            <w:shd w:val="clear" w:color="auto" w:fill="auto"/>
            <w:noWrap/>
            <w:vAlign w:val="center"/>
            <w:hideMark/>
          </w:tcPr>
          <w:p w14:paraId="34C03669" w14:textId="77777777" w:rsidR="00325FAF" w:rsidRPr="00191ACB" w:rsidRDefault="00325FAF" w:rsidP="00721DAB">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2045</w:t>
            </w:r>
          </w:p>
        </w:tc>
        <w:tc>
          <w:tcPr>
            <w:tcW w:w="960" w:type="dxa"/>
            <w:shd w:val="clear" w:color="auto" w:fill="auto"/>
            <w:noWrap/>
            <w:vAlign w:val="center"/>
            <w:hideMark/>
          </w:tcPr>
          <w:p w14:paraId="4CF41D0E" w14:textId="77777777" w:rsidR="00325FAF" w:rsidRPr="00191ACB" w:rsidRDefault="00325FAF" w:rsidP="00721DAB">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2050</w:t>
            </w:r>
          </w:p>
        </w:tc>
      </w:tr>
      <w:tr w:rsidR="00325FAF" w:rsidRPr="00191ACB" w14:paraId="7FFBE983" w14:textId="77777777" w:rsidTr="00325FAF">
        <w:trPr>
          <w:trHeight w:val="300"/>
        </w:trPr>
        <w:tc>
          <w:tcPr>
            <w:tcW w:w="960" w:type="dxa"/>
            <w:shd w:val="clear" w:color="auto" w:fill="auto"/>
            <w:noWrap/>
            <w:vAlign w:val="center"/>
            <w:hideMark/>
          </w:tcPr>
          <w:p w14:paraId="70CBD730" w14:textId="77777777" w:rsidR="00325FAF" w:rsidRPr="00191ACB" w:rsidRDefault="00325FAF"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IPPU</w:t>
            </w:r>
          </w:p>
        </w:tc>
        <w:tc>
          <w:tcPr>
            <w:tcW w:w="960" w:type="dxa"/>
            <w:shd w:val="clear" w:color="auto" w:fill="auto"/>
            <w:noWrap/>
            <w:vAlign w:val="center"/>
            <w:hideMark/>
          </w:tcPr>
          <w:p w14:paraId="570B4179"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1559.4</w:t>
            </w:r>
          </w:p>
        </w:tc>
        <w:tc>
          <w:tcPr>
            <w:tcW w:w="960" w:type="dxa"/>
            <w:shd w:val="clear" w:color="auto" w:fill="auto"/>
            <w:noWrap/>
            <w:vAlign w:val="center"/>
            <w:hideMark/>
          </w:tcPr>
          <w:p w14:paraId="65DBB4AB"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1904.8</w:t>
            </w:r>
          </w:p>
        </w:tc>
        <w:tc>
          <w:tcPr>
            <w:tcW w:w="960" w:type="dxa"/>
            <w:shd w:val="clear" w:color="auto" w:fill="auto"/>
            <w:noWrap/>
            <w:vAlign w:val="center"/>
            <w:hideMark/>
          </w:tcPr>
          <w:p w14:paraId="38AEEBAC"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2387.7</w:t>
            </w:r>
          </w:p>
        </w:tc>
        <w:tc>
          <w:tcPr>
            <w:tcW w:w="960" w:type="dxa"/>
            <w:shd w:val="clear" w:color="auto" w:fill="auto"/>
            <w:noWrap/>
            <w:vAlign w:val="center"/>
            <w:hideMark/>
          </w:tcPr>
          <w:p w14:paraId="29940060"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2812.7</w:t>
            </w:r>
          </w:p>
        </w:tc>
        <w:tc>
          <w:tcPr>
            <w:tcW w:w="960" w:type="dxa"/>
            <w:shd w:val="clear" w:color="auto" w:fill="auto"/>
            <w:noWrap/>
            <w:vAlign w:val="center"/>
            <w:hideMark/>
          </w:tcPr>
          <w:p w14:paraId="2DDF2304"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3313.2</w:t>
            </w:r>
          </w:p>
        </w:tc>
        <w:tc>
          <w:tcPr>
            <w:tcW w:w="960" w:type="dxa"/>
            <w:shd w:val="clear" w:color="auto" w:fill="auto"/>
            <w:noWrap/>
            <w:vAlign w:val="center"/>
            <w:hideMark/>
          </w:tcPr>
          <w:p w14:paraId="644F1682"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3902.9</w:t>
            </w:r>
          </w:p>
        </w:tc>
        <w:tc>
          <w:tcPr>
            <w:tcW w:w="960" w:type="dxa"/>
            <w:shd w:val="clear" w:color="auto" w:fill="auto"/>
            <w:noWrap/>
            <w:vAlign w:val="center"/>
            <w:hideMark/>
          </w:tcPr>
          <w:p w14:paraId="491F730F"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4597.4</w:t>
            </w:r>
          </w:p>
        </w:tc>
        <w:tc>
          <w:tcPr>
            <w:tcW w:w="960" w:type="dxa"/>
            <w:shd w:val="clear" w:color="auto" w:fill="auto"/>
            <w:noWrap/>
            <w:vAlign w:val="center"/>
            <w:hideMark/>
          </w:tcPr>
          <w:p w14:paraId="568DEDA0"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5415.6</w:t>
            </w:r>
          </w:p>
        </w:tc>
        <w:tc>
          <w:tcPr>
            <w:tcW w:w="960" w:type="dxa"/>
            <w:shd w:val="clear" w:color="auto" w:fill="auto"/>
            <w:noWrap/>
            <w:vAlign w:val="center"/>
            <w:hideMark/>
          </w:tcPr>
          <w:p w14:paraId="1DE1F189"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6379.4</w:t>
            </w:r>
          </w:p>
        </w:tc>
      </w:tr>
    </w:tbl>
    <w:p w14:paraId="7E3A3122" w14:textId="77777777" w:rsidR="00325FAF" w:rsidRPr="00191ACB" w:rsidRDefault="00325FAF" w:rsidP="005E626A">
      <w:pPr>
        <w:spacing w:after="120" w:line="240" w:lineRule="auto"/>
        <w:jc w:val="both"/>
        <w:rPr>
          <w:rFonts w:ascii="Times New Roman" w:eastAsia="Calibri" w:hAnsi="Times New Roman" w:cs="Times New Roman"/>
          <w:color w:val="000000" w:themeColor="text1"/>
          <w:sz w:val="24"/>
          <w:szCs w:val="24"/>
        </w:rPr>
      </w:pPr>
    </w:p>
    <w:p w14:paraId="778AD3C9" w14:textId="77777777" w:rsidR="00D10127" w:rsidRPr="00191ACB" w:rsidRDefault="00D10127" w:rsidP="005E626A">
      <w:pPr>
        <w:spacing w:after="120" w:line="240" w:lineRule="auto"/>
        <w:jc w:val="both"/>
        <w:rPr>
          <w:rFonts w:ascii="Times New Roman" w:eastAsia="Calibri" w:hAnsi="Times New Roman" w:cs="Times New Roman"/>
          <w:color w:val="000000" w:themeColor="text1"/>
          <w:sz w:val="24"/>
          <w:szCs w:val="24"/>
        </w:rPr>
      </w:pPr>
    </w:p>
    <w:p w14:paraId="197BF0F2" w14:textId="23E0FEE8" w:rsidR="00245464" w:rsidRPr="003772F2" w:rsidRDefault="00245464" w:rsidP="00D21C5B">
      <w:pPr>
        <w:pStyle w:val="Heading4"/>
        <w:numPr>
          <w:ilvl w:val="3"/>
          <w:numId w:val="36"/>
        </w:numPr>
        <w:ind w:left="851" w:hanging="851"/>
      </w:pPr>
      <w:bookmarkStart w:id="428" w:name="_Toc26264949"/>
      <w:bookmarkStart w:id="429" w:name="_Toc11666687"/>
      <w:r w:rsidRPr="003772F2">
        <w:t>Emissions reduction from IPPU Mitigations Actions</w:t>
      </w:r>
      <w:bookmarkEnd w:id="428"/>
    </w:p>
    <w:p w14:paraId="42D736AD" w14:textId="0B9B3B57"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This section of the report provides some initiatives that could potentially contribute to emissions reduction in the IPPU sector</w:t>
      </w:r>
      <w:r w:rsidR="00B34576" w:rsidRPr="00191ACB">
        <w:rPr>
          <w:rFonts w:ascii="Times New Roman" w:eastAsia="Calibri" w:hAnsi="Times New Roman" w:cs="Times New Roman"/>
          <w:color w:val="000000" w:themeColor="text1"/>
          <w:sz w:val="24"/>
          <w:szCs w:val="24"/>
        </w:rPr>
        <w:t xml:space="preserve"> (Table </w:t>
      </w:r>
      <w:r w:rsidR="00F11900" w:rsidRPr="00191ACB">
        <w:rPr>
          <w:rFonts w:ascii="Times New Roman" w:eastAsia="Calibri" w:hAnsi="Times New Roman" w:cs="Times New Roman"/>
          <w:color w:val="000000" w:themeColor="text1"/>
          <w:sz w:val="24"/>
          <w:szCs w:val="24"/>
        </w:rPr>
        <w:t>4.39</w:t>
      </w:r>
      <w:r w:rsidR="00B34576"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w:t>
      </w:r>
      <w:r w:rsidR="00B34576" w:rsidRPr="00191ACB">
        <w:rPr>
          <w:rFonts w:ascii="Times New Roman" w:eastAsia="Calibri" w:hAnsi="Times New Roman" w:cs="Times New Roman"/>
          <w:color w:val="000000" w:themeColor="text1"/>
          <w:sz w:val="24"/>
          <w:szCs w:val="24"/>
        </w:rPr>
        <w:t xml:space="preserve">In summary, these initiatives are: (i) </w:t>
      </w:r>
      <w:r w:rsidRPr="00191ACB">
        <w:rPr>
          <w:rFonts w:ascii="Times New Roman" w:eastAsia="Calibri" w:hAnsi="Times New Roman" w:cs="Times New Roman"/>
          <w:color w:val="000000" w:themeColor="text1"/>
          <w:sz w:val="24"/>
          <w:szCs w:val="24"/>
        </w:rPr>
        <w:t>Cement and lime factories are implementing some energy efficiency measures and initiating efforts to reduce emissions from cement production</w:t>
      </w:r>
      <w:r w:rsidR="00B34576" w:rsidRPr="00191ACB">
        <w:rPr>
          <w:rFonts w:ascii="Times New Roman" w:eastAsia="Calibri" w:hAnsi="Times New Roman" w:cs="Times New Roman"/>
          <w:color w:val="000000" w:themeColor="text1"/>
          <w:sz w:val="24"/>
          <w:szCs w:val="24"/>
        </w:rPr>
        <w:t>; (ii) Most of the steel factories are currently using electric furnaces which relatively emit less GHGs compared to other furnaces used in steel recycling factories; and (iii) Some industries are also making efforts to reduce emissions from refrigeration and air conditions by putting up measures for green procurement policy on eco-friendly refrigerators</w:t>
      </w:r>
      <w:r w:rsidRPr="00191ACB">
        <w:rPr>
          <w:rFonts w:ascii="Times New Roman" w:eastAsia="Calibri" w:hAnsi="Times New Roman" w:cs="Times New Roman"/>
          <w:color w:val="000000" w:themeColor="text1"/>
          <w:sz w:val="24"/>
          <w:szCs w:val="24"/>
        </w:rPr>
        <w:t>.</w:t>
      </w:r>
      <w:r w:rsidR="00C12970">
        <w:rPr>
          <w:rFonts w:ascii="Times New Roman" w:eastAsia="Calibri" w:hAnsi="Times New Roman" w:cs="Times New Roman"/>
          <w:color w:val="000000" w:themeColor="text1"/>
          <w:sz w:val="24"/>
          <w:szCs w:val="24"/>
        </w:rPr>
        <w:t xml:space="preserve"> </w:t>
      </w:r>
    </w:p>
    <w:p w14:paraId="76737978" w14:textId="77777777" w:rsidR="00CA49AF" w:rsidRPr="00191ACB" w:rsidRDefault="00CA49AF" w:rsidP="00E24A3E">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030A463E" w14:textId="77777777" w:rsidR="00C12970" w:rsidRDefault="00C12970" w:rsidP="00CA49AF">
      <w:pPr>
        <w:pStyle w:val="Caption"/>
        <w:rPr>
          <w:sz w:val="24"/>
          <w:szCs w:val="24"/>
        </w:rPr>
      </w:pPr>
      <w:bookmarkStart w:id="430" w:name="_Toc56583815"/>
    </w:p>
    <w:p w14:paraId="6949247D" w14:textId="77777777" w:rsidR="00C12970" w:rsidRDefault="00C12970" w:rsidP="00CA49AF">
      <w:pPr>
        <w:pStyle w:val="Caption"/>
        <w:rPr>
          <w:sz w:val="24"/>
          <w:szCs w:val="24"/>
        </w:rPr>
      </w:pPr>
    </w:p>
    <w:p w14:paraId="608FB015" w14:textId="62ACAB8A" w:rsidR="00245464" w:rsidRPr="00191ACB" w:rsidRDefault="00CA49AF" w:rsidP="00CA49AF">
      <w:pPr>
        <w:pStyle w:val="Caption"/>
        <w:rPr>
          <w:rFonts w:eastAsia="Calibri"/>
          <w:color w:val="000000" w:themeColor="text1"/>
          <w:sz w:val="24"/>
          <w:szCs w:val="24"/>
        </w:rPr>
      </w:pPr>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39</w:t>
      </w:r>
      <w:r w:rsidR="00875942">
        <w:rPr>
          <w:sz w:val="24"/>
          <w:szCs w:val="24"/>
        </w:rPr>
        <w:fldChar w:fldCharType="end"/>
      </w:r>
      <w:r w:rsidRPr="00191ACB">
        <w:rPr>
          <w:sz w:val="24"/>
          <w:szCs w:val="24"/>
        </w:rPr>
        <w:t>: Initiatives to reduce GHG emissions in the IPPU sector</w:t>
      </w:r>
      <w:bookmarkEnd w:id="430"/>
    </w:p>
    <w:tbl>
      <w:tblPr>
        <w:tblStyle w:val="TableGrid9"/>
        <w:tblW w:w="0" w:type="auto"/>
        <w:tblLook w:val="04A0" w:firstRow="1" w:lastRow="0" w:firstColumn="1" w:lastColumn="0" w:noHBand="0" w:noVBand="1"/>
      </w:tblPr>
      <w:tblGrid>
        <w:gridCol w:w="1496"/>
        <w:gridCol w:w="336"/>
        <w:gridCol w:w="1890"/>
        <w:gridCol w:w="6017"/>
      </w:tblGrid>
      <w:tr w:rsidR="003829BD" w:rsidRPr="00191ACB" w14:paraId="3E544085" w14:textId="77777777" w:rsidTr="005E626A">
        <w:tc>
          <w:tcPr>
            <w:tcW w:w="236" w:type="dxa"/>
          </w:tcPr>
          <w:p w14:paraId="36A5B8F4" w14:textId="651A9501" w:rsidR="003829BD" w:rsidRPr="00191ACB" w:rsidRDefault="003829BD" w:rsidP="00E24A3E">
            <w:pPr>
              <w:autoSpaceDE w:val="0"/>
              <w:autoSpaceDN w:val="0"/>
              <w:adjustRightInd w:val="0"/>
              <w:spacing w:after="120"/>
              <w:jc w:val="both"/>
              <w:rPr>
                <w:rFonts w:ascii="Times New Roman" w:hAnsi="Times New Roman"/>
                <w:b/>
                <w:bCs/>
                <w:color w:val="000000" w:themeColor="text1"/>
                <w:sz w:val="24"/>
                <w:szCs w:val="24"/>
              </w:rPr>
            </w:pPr>
            <w:r w:rsidRPr="00191ACB">
              <w:rPr>
                <w:rFonts w:ascii="Times New Roman" w:hAnsi="Times New Roman"/>
                <w:b/>
                <w:bCs/>
                <w:color w:val="000000" w:themeColor="text1"/>
                <w:sz w:val="24"/>
                <w:szCs w:val="24"/>
              </w:rPr>
              <w:t>Type of industry</w:t>
            </w:r>
          </w:p>
        </w:tc>
        <w:tc>
          <w:tcPr>
            <w:tcW w:w="329" w:type="dxa"/>
          </w:tcPr>
          <w:p w14:paraId="036309EC" w14:textId="672FFA64" w:rsidR="003829BD" w:rsidRPr="00191ACB" w:rsidRDefault="003829BD" w:rsidP="00E24A3E">
            <w:pPr>
              <w:autoSpaceDE w:val="0"/>
              <w:autoSpaceDN w:val="0"/>
              <w:adjustRightInd w:val="0"/>
              <w:spacing w:after="120"/>
              <w:jc w:val="both"/>
              <w:rPr>
                <w:rFonts w:ascii="Times New Roman" w:hAnsi="Times New Roman"/>
                <w:b/>
                <w:bCs/>
                <w:color w:val="000000" w:themeColor="text1"/>
                <w:sz w:val="24"/>
                <w:szCs w:val="24"/>
              </w:rPr>
            </w:pPr>
          </w:p>
        </w:tc>
        <w:tc>
          <w:tcPr>
            <w:tcW w:w="0" w:type="auto"/>
          </w:tcPr>
          <w:p w14:paraId="0980529E" w14:textId="77777777" w:rsidR="003829BD" w:rsidRPr="00191ACB" w:rsidRDefault="003829BD" w:rsidP="00E24A3E">
            <w:pPr>
              <w:autoSpaceDE w:val="0"/>
              <w:autoSpaceDN w:val="0"/>
              <w:adjustRightInd w:val="0"/>
              <w:spacing w:after="120"/>
              <w:jc w:val="both"/>
              <w:rPr>
                <w:rFonts w:ascii="Times New Roman" w:hAnsi="Times New Roman"/>
                <w:b/>
                <w:bCs/>
                <w:color w:val="000000" w:themeColor="text1"/>
                <w:sz w:val="24"/>
                <w:szCs w:val="24"/>
              </w:rPr>
            </w:pPr>
            <w:r w:rsidRPr="00191ACB">
              <w:rPr>
                <w:rFonts w:ascii="Times New Roman" w:hAnsi="Times New Roman"/>
                <w:b/>
                <w:bCs/>
                <w:color w:val="000000" w:themeColor="text1"/>
                <w:sz w:val="24"/>
                <w:szCs w:val="24"/>
              </w:rPr>
              <w:t>Industry</w:t>
            </w:r>
          </w:p>
        </w:tc>
        <w:tc>
          <w:tcPr>
            <w:tcW w:w="0" w:type="auto"/>
          </w:tcPr>
          <w:p w14:paraId="1AEE2D80" w14:textId="6C212C27" w:rsidR="003829BD" w:rsidRPr="00191ACB" w:rsidRDefault="003829BD" w:rsidP="00E24A3E">
            <w:pPr>
              <w:autoSpaceDE w:val="0"/>
              <w:autoSpaceDN w:val="0"/>
              <w:adjustRightInd w:val="0"/>
              <w:spacing w:after="120"/>
              <w:jc w:val="both"/>
              <w:rPr>
                <w:rFonts w:ascii="Times New Roman" w:hAnsi="Times New Roman"/>
                <w:b/>
                <w:bCs/>
                <w:color w:val="000000" w:themeColor="text1"/>
                <w:sz w:val="24"/>
                <w:szCs w:val="24"/>
              </w:rPr>
            </w:pPr>
            <w:r w:rsidRPr="00191ACB">
              <w:rPr>
                <w:rFonts w:ascii="Times New Roman" w:hAnsi="Times New Roman"/>
                <w:b/>
                <w:bCs/>
                <w:color w:val="000000" w:themeColor="text1"/>
                <w:sz w:val="24"/>
                <w:szCs w:val="24"/>
              </w:rPr>
              <w:t>Planned/ongoing Potential Mitigation Initiatives</w:t>
            </w:r>
          </w:p>
        </w:tc>
      </w:tr>
      <w:tr w:rsidR="003829BD" w:rsidRPr="00191ACB" w14:paraId="1D914C1C" w14:textId="77777777" w:rsidTr="003829BD">
        <w:tc>
          <w:tcPr>
            <w:tcW w:w="236" w:type="dxa"/>
            <w:vMerge w:val="restart"/>
          </w:tcPr>
          <w:p w14:paraId="57BEFD25" w14:textId="75DEA749"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Cement and Lime production</w:t>
            </w:r>
          </w:p>
        </w:tc>
        <w:tc>
          <w:tcPr>
            <w:tcW w:w="329" w:type="dxa"/>
            <w:vMerge w:val="restart"/>
          </w:tcPr>
          <w:p w14:paraId="413C10EC" w14:textId="0EB52E54"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1</w:t>
            </w:r>
          </w:p>
        </w:tc>
        <w:tc>
          <w:tcPr>
            <w:tcW w:w="0" w:type="auto"/>
            <w:vMerge w:val="restart"/>
          </w:tcPr>
          <w:p w14:paraId="38620913" w14:textId="77777777"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Lafarge Cement</w:t>
            </w:r>
          </w:p>
        </w:tc>
        <w:tc>
          <w:tcPr>
            <w:tcW w:w="0" w:type="auto"/>
          </w:tcPr>
          <w:p w14:paraId="2402E17D" w14:textId="72210DFC"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Energy efficiency which also include monitoring how energy is being used on a monthly basis.</w:t>
            </w:r>
          </w:p>
        </w:tc>
      </w:tr>
      <w:tr w:rsidR="003829BD" w:rsidRPr="00191ACB" w14:paraId="048B38B2" w14:textId="77777777" w:rsidTr="003829BD">
        <w:tc>
          <w:tcPr>
            <w:tcW w:w="236" w:type="dxa"/>
            <w:vMerge/>
          </w:tcPr>
          <w:p w14:paraId="53D85975" w14:textId="77777777"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p>
        </w:tc>
        <w:tc>
          <w:tcPr>
            <w:tcW w:w="329" w:type="dxa"/>
            <w:vMerge/>
          </w:tcPr>
          <w:p w14:paraId="6A217D86" w14:textId="550249DC"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p>
        </w:tc>
        <w:tc>
          <w:tcPr>
            <w:tcW w:w="0" w:type="auto"/>
            <w:vMerge/>
          </w:tcPr>
          <w:p w14:paraId="21D97617" w14:textId="77777777"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p>
        </w:tc>
        <w:tc>
          <w:tcPr>
            <w:tcW w:w="0" w:type="auto"/>
          </w:tcPr>
          <w:p w14:paraId="2E94263A" w14:textId="3B943E03"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advocating for policy that should encourage cement production that emits less Carbon dioxide (i.e. use of less clinker so as to reduce the amount of carbon dioxide produced)</w:t>
            </w:r>
          </w:p>
        </w:tc>
      </w:tr>
      <w:tr w:rsidR="003829BD" w:rsidRPr="00191ACB" w14:paraId="2E56C333" w14:textId="77777777" w:rsidTr="003829BD">
        <w:tc>
          <w:tcPr>
            <w:tcW w:w="236" w:type="dxa"/>
            <w:vMerge/>
          </w:tcPr>
          <w:p w14:paraId="6F22870A" w14:textId="77777777"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p>
        </w:tc>
        <w:tc>
          <w:tcPr>
            <w:tcW w:w="329" w:type="dxa"/>
          </w:tcPr>
          <w:p w14:paraId="6C0AABED" w14:textId="2DECC3DB"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2</w:t>
            </w:r>
          </w:p>
        </w:tc>
        <w:tc>
          <w:tcPr>
            <w:tcW w:w="0" w:type="auto"/>
          </w:tcPr>
          <w:p w14:paraId="707283D4" w14:textId="77777777"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Zambezi Portland</w:t>
            </w:r>
          </w:p>
        </w:tc>
        <w:tc>
          <w:tcPr>
            <w:tcW w:w="0" w:type="auto"/>
          </w:tcPr>
          <w:p w14:paraId="74384909" w14:textId="61F0D7B8"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Planning to substitute the use of clinker with limestone so as to reduce the amount of carbon dioxide emissions.</w:t>
            </w:r>
          </w:p>
        </w:tc>
      </w:tr>
      <w:tr w:rsidR="003829BD" w:rsidRPr="00191ACB" w14:paraId="22C74D32" w14:textId="77777777" w:rsidTr="005E626A">
        <w:tc>
          <w:tcPr>
            <w:tcW w:w="236" w:type="dxa"/>
          </w:tcPr>
          <w:p w14:paraId="0F59E22F" w14:textId="17669CC5"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Iron and Steel</w:t>
            </w:r>
          </w:p>
        </w:tc>
        <w:tc>
          <w:tcPr>
            <w:tcW w:w="329" w:type="dxa"/>
          </w:tcPr>
          <w:p w14:paraId="291242B4" w14:textId="1AA38CB6"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3</w:t>
            </w:r>
          </w:p>
        </w:tc>
        <w:tc>
          <w:tcPr>
            <w:tcW w:w="0" w:type="auto"/>
          </w:tcPr>
          <w:p w14:paraId="3C95C3A4" w14:textId="34E4E4B6"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Scaw Limited</w:t>
            </w:r>
          </w:p>
        </w:tc>
        <w:tc>
          <w:tcPr>
            <w:tcW w:w="0" w:type="auto"/>
          </w:tcPr>
          <w:p w14:paraId="587F32A8" w14:textId="1A21AEAD"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Introduce use of electric Induction furnaces in the steel production process that thereby reducing on emission.  </w:t>
            </w:r>
          </w:p>
        </w:tc>
      </w:tr>
      <w:tr w:rsidR="003829BD" w:rsidRPr="00191ACB" w14:paraId="280155A2" w14:textId="77777777" w:rsidTr="005E626A">
        <w:tc>
          <w:tcPr>
            <w:tcW w:w="236" w:type="dxa"/>
          </w:tcPr>
          <w:p w14:paraId="68ABF6D9" w14:textId="734F7F23"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Refrigeration and air condition</w:t>
            </w:r>
          </w:p>
        </w:tc>
        <w:tc>
          <w:tcPr>
            <w:tcW w:w="329" w:type="dxa"/>
          </w:tcPr>
          <w:p w14:paraId="667AEF3C" w14:textId="0646E42B"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4</w:t>
            </w:r>
          </w:p>
        </w:tc>
        <w:tc>
          <w:tcPr>
            <w:tcW w:w="0" w:type="auto"/>
          </w:tcPr>
          <w:p w14:paraId="1538C217" w14:textId="69AE7512"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pacing w:val="-10"/>
                <w:kern w:val="28"/>
                <w:sz w:val="24"/>
                <w:szCs w:val="24"/>
              </w:rPr>
              <w:t>Copperbelt energy Corporation (CEC)</w:t>
            </w:r>
          </w:p>
        </w:tc>
        <w:tc>
          <w:tcPr>
            <w:tcW w:w="0" w:type="auto"/>
          </w:tcPr>
          <w:p w14:paraId="3D7AB868" w14:textId="68757810" w:rsidR="003829BD" w:rsidRPr="00191ACB" w:rsidRDefault="003829BD" w:rsidP="005E626A">
            <w:pPr>
              <w:autoSpaceDE w:val="0"/>
              <w:autoSpaceDN w:val="0"/>
              <w:adjustRightInd w:val="0"/>
              <w:spacing w:after="120"/>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Green procurement policy on eco-friendly refrigerators etc.)</w:t>
            </w:r>
          </w:p>
        </w:tc>
      </w:tr>
    </w:tbl>
    <w:p w14:paraId="518B48C7"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112E3FCA" w14:textId="0665A1AA"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emissions reduction potential could not be quantified for the </w:t>
      </w:r>
      <w:r w:rsidR="001605E3" w:rsidRPr="00191ACB">
        <w:rPr>
          <w:rFonts w:ascii="Times New Roman" w:eastAsia="Calibri" w:hAnsi="Times New Roman" w:cs="Times New Roman"/>
          <w:color w:val="000000" w:themeColor="text1"/>
          <w:sz w:val="24"/>
          <w:szCs w:val="24"/>
        </w:rPr>
        <w:t>above-mentioned</w:t>
      </w:r>
      <w:r w:rsidRPr="00191ACB">
        <w:rPr>
          <w:rFonts w:ascii="Times New Roman" w:eastAsia="Calibri" w:hAnsi="Times New Roman" w:cs="Times New Roman"/>
          <w:color w:val="000000" w:themeColor="text1"/>
          <w:sz w:val="24"/>
          <w:szCs w:val="24"/>
        </w:rPr>
        <w:t xml:space="preserve"> actions for IPPU due </w:t>
      </w:r>
      <w:r w:rsidR="00CD2EFA" w:rsidRPr="00191ACB">
        <w:rPr>
          <w:rFonts w:ascii="Times New Roman" w:eastAsia="Calibri" w:hAnsi="Times New Roman" w:cs="Times New Roman"/>
          <w:color w:val="000000" w:themeColor="text1"/>
          <w:sz w:val="24"/>
          <w:szCs w:val="24"/>
        </w:rPr>
        <w:t xml:space="preserve">to </w:t>
      </w:r>
      <w:r w:rsidRPr="00191ACB">
        <w:rPr>
          <w:rFonts w:ascii="Times New Roman" w:eastAsia="Calibri" w:hAnsi="Times New Roman" w:cs="Times New Roman"/>
          <w:color w:val="000000" w:themeColor="text1"/>
          <w:sz w:val="24"/>
          <w:szCs w:val="24"/>
        </w:rPr>
        <w:t xml:space="preserve">data limitations. </w:t>
      </w:r>
    </w:p>
    <w:p w14:paraId="3651F20A" w14:textId="77777777" w:rsidR="00E9026A" w:rsidRPr="00191ACB" w:rsidRDefault="00E9026A" w:rsidP="005E626A">
      <w:pPr>
        <w:spacing w:after="120" w:line="240" w:lineRule="auto"/>
        <w:jc w:val="both"/>
        <w:rPr>
          <w:rFonts w:ascii="Times New Roman" w:eastAsia="Calibri" w:hAnsi="Times New Roman" w:cs="Times New Roman"/>
          <w:color w:val="000000" w:themeColor="text1"/>
          <w:sz w:val="24"/>
          <w:szCs w:val="24"/>
        </w:rPr>
      </w:pPr>
    </w:p>
    <w:p w14:paraId="00BF3251" w14:textId="099FC2EE" w:rsidR="00245464" w:rsidRPr="003772F2" w:rsidRDefault="00245464" w:rsidP="00D21C5B">
      <w:pPr>
        <w:pStyle w:val="Heading3"/>
        <w:numPr>
          <w:ilvl w:val="2"/>
          <w:numId w:val="36"/>
        </w:numPr>
        <w:ind w:left="851" w:hanging="851"/>
        <w:rPr>
          <w:color w:val="auto"/>
        </w:rPr>
      </w:pPr>
      <w:bookmarkStart w:id="431" w:name="_Toc26264950"/>
      <w:bookmarkStart w:id="432" w:name="_Toc57902876"/>
      <w:bookmarkEnd w:id="429"/>
      <w:r w:rsidRPr="003772F2">
        <w:rPr>
          <w:color w:val="auto"/>
        </w:rPr>
        <w:t>Agriculture Forestry and Other Land Use</w:t>
      </w:r>
      <w:bookmarkEnd w:id="431"/>
      <w:bookmarkEnd w:id="432"/>
      <w:r w:rsidRPr="003772F2">
        <w:rPr>
          <w:color w:val="auto"/>
        </w:rPr>
        <w:t xml:space="preserve"> </w:t>
      </w:r>
    </w:p>
    <w:p w14:paraId="41FA083F" w14:textId="77777777" w:rsidR="00245464" w:rsidRPr="00191ACB" w:rsidRDefault="00245464" w:rsidP="00C12970">
      <w:pPr>
        <w:spacing w:after="120" w:line="276" w:lineRule="auto"/>
        <w:jc w:val="both"/>
        <w:rPr>
          <w:rFonts w:ascii="Times New Roman" w:eastAsia="Calibri" w:hAnsi="Times New Roman" w:cs="Times New Roman"/>
          <w:b/>
          <w:bCs/>
          <w:iCs/>
          <w:color w:val="000000" w:themeColor="text1"/>
          <w:sz w:val="24"/>
          <w:szCs w:val="24"/>
          <w:lang w:eastAsia="x-none"/>
        </w:rPr>
      </w:pPr>
      <w:r w:rsidRPr="00191ACB">
        <w:rPr>
          <w:rFonts w:ascii="Times New Roman" w:eastAsia="Calibri" w:hAnsi="Times New Roman" w:cs="Times New Roman"/>
          <w:color w:val="000000" w:themeColor="text1"/>
          <w:sz w:val="24"/>
          <w:szCs w:val="24"/>
        </w:rPr>
        <w:t>This section of the report provides an elaboration of baseline and mitigation emissions under AFOLU.</w:t>
      </w:r>
      <w:r w:rsidRPr="00191ACB">
        <w:rPr>
          <w:rFonts w:ascii="Times New Roman" w:eastAsia="Calibri" w:hAnsi="Times New Roman" w:cs="Times New Roman"/>
          <w:color w:val="000000" w:themeColor="text1"/>
          <w:sz w:val="24"/>
          <w:szCs w:val="24"/>
          <w:lang w:eastAsia="x-none"/>
        </w:rPr>
        <w:t xml:space="preserve"> </w:t>
      </w:r>
    </w:p>
    <w:p w14:paraId="301B22EB" w14:textId="77777777" w:rsidR="00D57ABF" w:rsidRPr="00191ACB" w:rsidRDefault="00D57ABF" w:rsidP="005E626A">
      <w:pPr>
        <w:pStyle w:val="Heading2"/>
        <w:spacing w:after="120" w:line="240" w:lineRule="auto"/>
        <w:rPr>
          <w:rFonts w:ascii="Times New Roman" w:eastAsia="Times New Roman" w:hAnsi="Times New Roman" w:cs="Times New Roman"/>
          <w:color w:val="000000" w:themeColor="text1"/>
          <w:sz w:val="24"/>
          <w:szCs w:val="24"/>
        </w:rPr>
      </w:pPr>
      <w:bookmarkStart w:id="433" w:name="_Toc26264951"/>
    </w:p>
    <w:p w14:paraId="1C1761FF" w14:textId="588E2255" w:rsidR="00245464" w:rsidRPr="00191ACB" w:rsidRDefault="00F11900" w:rsidP="00D21C5B">
      <w:pPr>
        <w:pStyle w:val="Heading4"/>
        <w:numPr>
          <w:ilvl w:val="3"/>
          <w:numId w:val="36"/>
        </w:numPr>
        <w:ind w:left="851" w:hanging="851"/>
      </w:pPr>
      <w:r w:rsidRPr="00191ACB">
        <w:t>Baseline</w:t>
      </w:r>
      <w:r w:rsidR="00245464" w:rsidRPr="00191ACB">
        <w:t xml:space="preserve"> emissions for AFOLU</w:t>
      </w:r>
      <w:bookmarkEnd w:id="433"/>
    </w:p>
    <w:p w14:paraId="48173832" w14:textId="48CF1504"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AFOLU emissions are mainly from Livestock, Land and Aggregate Sources and Non-CO</w:t>
      </w:r>
      <w:r w:rsidRPr="00C12970">
        <w:rPr>
          <w:rFonts w:ascii="Times New Roman" w:eastAsia="Calibri" w:hAnsi="Times New Roman" w:cs="Times New Roman"/>
          <w:color w:val="000000" w:themeColor="text1"/>
          <w:sz w:val="24"/>
          <w:szCs w:val="24"/>
        </w:rPr>
        <w:t xml:space="preserve">2. </w:t>
      </w:r>
      <w:r w:rsidRPr="00191ACB">
        <w:rPr>
          <w:rFonts w:ascii="Times New Roman" w:eastAsia="Calibri" w:hAnsi="Times New Roman" w:cs="Times New Roman"/>
          <w:color w:val="000000" w:themeColor="text1"/>
          <w:sz w:val="24"/>
          <w:szCs w:val="24"/>
        </w:rPr>
        <w:t>Livestock is a subcategory of the AFOLU sector and GHG emissions from this source arise from enteric fermentation and manure management. Carbon dioxide emissions from livestock are not estimated because annual net CO</w:t>
      </w:r>
      <w:r w:rsidRPr="00C12970">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emissions are assumed to be zero as the CO</w:t>
      </w:r>
      <w:r w:rsidRPr="00C12970">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photosynthesized by plants is returned to the atmosphere as respired CO</w:t>
      </w:r>
      <w:r w:rsidRPr="00C12970">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w:t>
      </w:r>
    </w:p>
    <w:p w14:paraId="3DD3B7B9" w14:textId="77777777"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Land is a subcategory of the AFOLU sector and GHG emission from land conversion occur in six land-use categories namely: Forest land, cropland, grassland, wetlands, settlements, and other land. Each land-use category is further subdivided into land remaining in that category and converted from one category to another (e.g. Forest Land converted to Cropland). </w:t>
      </w:r>
    </w:p>
    <w:p w14:paraId="7E3BFAB6" w14:textId="77777777"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Aggregate Sources and Non-CO</w:t>
      </w:r>
      <w:r w:rsidRPr="00C12970">
        <w:rPr>
          <w:rFonts w:ascii="Times New Roman" w:eastAsia="Calibri" w:hAnsi="Times New Roman" w:cs="Times New Roman"/>
          <w:color w:val="000000" w:themeColor="text1"/>
          <w:sz w:val="24"/>
          <w:szCs w:val="24"/>
        </w:rPr>
        <w:t xml:space="preserve">2 </w:t>
      </w:r>
      <w:r w:rsidRPr="00191ACB">
        <w:rPr>
          <w:rFonts w:ascii="Times New Roman" w:eastAsia="Calibri" w:hAnsi="Times New Roman" w:cs="Times New Roman"/>
          <w:color w:val="000000" w:themeColor="text1"/>
          <w:sz w:val="24"/>
          <w:szCs w:val="24"/>
        </w:rPr>
        <w:t>Emissions on Land occur in managed soils, including indirect N2O emissions from additions of N to land due to deposition and leaching, and emissions of CO</w:t>
      </w:r>
      <w:r w:rsidRPr="00C12970">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following additions of liming materials and urea-containing fertiliser. Managed soils are all soils on land, including Forest Land, which is managed. The baseline scenario assumes that there will be a continued inefficient use of inorganic fertilizers and a limited use of organic fertilizers in the absence of the intervention on sustainable agriculture through sustainable crop management and livestock farming.</w:t>
      </w:r>
    </w:p>
    <w:p w14:paraId="5E0E1565" w14:textId="77777777" w:rsidR="00245464" w:rsidRPr="00191ACB" w:rsidRDefault="00245464"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baseline further assumes Land use and/or emissions profile for an area prior to mitigation intervention, which serves as a benchmark to measure the impact of future actions and this include; </w:t>
      </w:r>
      <w:r w:rsidRPr="00191ACB">
        <w:rPr>
          <w:rFonts w:ascii="Times New Roman" w:eastAsia="Calibri" w:hAnsi="Times New Roman" w:cs="Times New Roman"/>
          <w:color w:val="000000" w:themeColor="text1"/>
          <w:sz w:val="24"/>
          <w:szCs w:val="24"/>
        </w:rPr>
        <w:lastRenderedPageBreak/>
        <w:t>forest areas which have been exploited by logging operations, agriculture expansion, settlements and fuelwood collection and charcoal production. The respective areas would either regenerate at a slower pace, most probably with lower productivity and biodiversity, or remain bare due to lack of protection. This will result in reduced carbon in the forest. Further, the charcoal which is produced and to lesser extent is combusted in traditional stoves which are inefficient thereby releasing GHG emissions.</w:t>
      </w:r>
    </w:p>
    <w:p w14:paraId="5D57B881" w14:textId="415521EB" w:rsidR="00245464" w:rsidRPr="00C12970" w:rsidRDefault="00E55469" w:rsidP="00C1297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Emissions </w:t>
      </w:r>
      <w:r w:rsidR="00245464" w:rsidRPr="00191ACB">
        <w:rPr>
          <w:rFonts w:ascii="Times New Roman" w:eastAsia="Calibri" w:hAnsi="Times New Roman" w:cs="Times New Roman"/>
          <w:color w:val="000000" w:themeColor="text1"/>
          <w:sz w:val="24"/>
          <w:szCs w:val="24"/>
        </w:rPr>
        <w:t xml:space="preserve">from AFOLU is projected to increase from </w:t>
      </w:r>
      <w:r w:rsidRPr="00C12970">
        <w:rPr>
          <w:rFonts w:ascii="Times New Roman" w:eastAsia="Calibri" w:hAnsi="Times New Roman" w:cs="Times New Roman"/>
          <w:color w:val="000000" w:themeColor="text1"/>
          <w:sz w:val="24"/>
          <w:szCs w:val="24"/>
        </w:rPr>
        <w:t xml:space="preserve">115,425 </w:t>
      </w:r>
      <w:r w:rsidR="00245464" w:rsidRPr="00C12970">
        <w:rPr>
          <w:rFonts w:ascii="Times New Roman" w:eastAsia="Calibri" w:hAnsi="Times New Roman" w:cs="Times New Roman"/>
          <w:color w:val="000000" w:themeColor="text1"/>
          <w:sz w:val="24"/>
          <w:szCs w:val="24"/>
        </w:rPr>
        <w:t xml:space="preserve">Gg CO2 eq. in 2010 to </w:t>
      </w:r>
      <w:r w:rsidRPr="00C12970">
        <w:rPr>
          <w:rFonts w:ascii="Times New Roman" w:eastAsia="Calibri" w:hAnsi="Times New Roman" w:cs="Times New Roman"/>
          <w:color w:val="000000" w:themeColor="text1"/>
          <w:sz w:val="24"/>
          <w:szCs w:val="24"/>
        </w:rPr>
        <w:t>149,441.1</w:t>
      </w:r>
      <w:r w:rsidR="00245464" w:rsidRPr="00C12970">
        <w:rPr>
          <w:rFonts w:ascii="Times New Roman" w:eastAsia="Calibri" w:hAnsi="Times New Roman" w:cs="Times New Roman"/>
          <w:color w:val="000000" w:themeColor="text1"/>
          <w:sz w:val="24"/>
          <w:szCs w:val="24"/>
        </w:rPr>
        <w:t>Gg CO2 eq. in 2050 (Table</w:t>
      </w:r>
      <w:r w:rsidR="00F11900" w:rsidRPr="00C12970">
        <w:rPr>
          <w:rFonts w:ascii="Times New Roman" w:eastAsia="Calibri" w:hAnsi="Times New Roman" w:cs="Times New Roman"/>
          <w:color w:val="000000" w:themeColor="text1"/>
          <w:sz w:val="24"/>
          <w:szCs w:val="24"/>
        </w:rPr>
        <w:t xml:space="preserve"> 4.40</w:t>
      </w:r>
      <w:r w:rsidR="00245464" w:rsidRPr="00C12970">
        <w:rPr>
          <w:rFonts w:ascii="Times New Roman" w:eastAsia="Calibri" w:hAnsi="Times New Roman" w:cs="Times New Roman"/>
          <w:color w:val="000000" w:themeColor="text1"/>
          <w:sz w:val="24"/>
          <w:szCs w:val="24"/>
        </w:rPr>
        <w:t xml:space="preserve">). The main emissions sources will be wood removal for commercial wood, wood removal for fuel wood, cropland, settlements, and aggregate sources and non-CO2 emissions sources on land. </w:t>
      </w:r>
    </w:p>
    <w:p w14:paraId="094E0D86" w14:textId="46C303E9" w:rsidR="00245464" w:rsidRPr="00191ACB" w:rsidRDefault="00CA49AF" w:rsidP="00CA49AF">
      <w:pPr>
        <w:pStyle w:val="Caption"/>
        <w:rPr>
          <w:rFonts w:eastAsia="Calibri"/>
          <w:color w:val="000000" w:themeColor="text1"/>
          <w:sz w:val="24"/>
          <w:szCs w:val="24"/>
        </w:rPr>
      </w:pPr>
      <w:bookmarkStart w:id="434" w:name="_Toc56583816"/>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40</w:t>
      </w:r>
      <w:r w:rsidR="00875942">
        <w:rPr>
          <w:sz w:val="24"/>
          <w:szCs w:val="24"/>
        </w:rPr>
        <w:fldChar w:fldCharType="end"/>
      </w:r>
      <w:r w:rsidRPr="00191ACB">
        <w:rPr>
          <w:sz w:val="24"/>
          <w:szCs w:val="24"/>
        </w:rPr>
        <w:t>:Projected Baseline AFOLU emissions by category (Gg CO2 eq.)</w:t>
      </w:r>
      <w:bookmarkEnd w:id="434"/>
    </w:p>
    <w:tbl>
      <w:tblPr>
        <w:tblW w:w="9600" w:type="dxa"/>
        <w:tblInd w:w="-5" w:type="dxa"/>
        <w:tblLook w:val="04A0" w:firstRow="1" w:lastRow="0" w:firstColumn="1" w:lastColumn="0" w:noHBand="0" w:noVBand="1"/>
      </w:tblPr>
      <w:tblGrid>
        <w:gridCol w:w="922"/>
        <w:gridCol w:w="872"/>
        <w:gridCol w:w="873"/>
        <w:gridCol w:w="1011"/>
        <w:gridCol w:w="1011"/>
        <w:gridCol w:w="1011"/>
        <w:gridCol w:w="1011"/>
        <w:gridCol w:w="1011"/>
        <w:gridCol w:w="1011"/>
        <w:gridCol w:w="1011"/>
      </w:tblGrid>
      <w:tr w:rsidR="00325FAF" w:rsidRPr="00191ACB" w14:paraId="70D5FBF9" w14:textId="77777777" w:rsidTr="00325FAF">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98D4C" w14:textId="77777777" w:rsidR="00325FAF" w:rsidRPr="00191ACB" w:rsidRDefault="00325FAF" w:rsidP="00E24A3E">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Year</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65E5840" w14:textId="77777777" w:rsidR="00325FAF" w:rsidRPr="00191ACB" w:rsidRDefault="00325FAF" w:rsidP="00E24A3E">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C6C7F92" w14:textId="77777777" w:rsidR="00325FAF" w:rsidRPr="00191ACB" w:rsidRDefault="00325FAF" w:rsidP="00E24A3E">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966C24F" w14:textId="77777777" w:rsidR="00325FAF" w:rsidRPr="00191ACB" w:rsidRDefault="00325FAF" w:rsidP="00E24A3E">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6390201" w14:textId="77777777" w:rsidR="00325FAF" w:rsidRPr="00191ACB" w:rsidRDefault="00325FAF" w:rsidP="00E24A3E">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40EA7C6" w14:textId="77777777" w:rsidR="00325FAF" w:rsidRPr="00191ACB" w:rsidRDefault="00325FAF" w:rsidP="00E24A3E">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1470E61" w14:textId="77777777" w:rsidR="00325FAF" w:rsidRPr="00191ACB" w:rsidRDefault="00325FAF" w:rsidP="00E24A3E">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DFF6299" w14:textId="77777777" w:rsidR="00325FAF" w:rsidRPr="00191ACB" w:rsidRDefault="00325FAF" w:rsidP="00E24A3E">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9766CBB" w14:textId="77777777" w:rsidR="00325FAF" w:rsidRPr="00191ACB" w:rsidRDefault="00325FAF" w:rsidP="00E24A3E">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F364A87" w14:textId="77777777" w:rsidR="00325FAF" w:rsidRPr="00191ACB" w:rsidRDefault="00325FAF" w:rsidP="00E24A3E">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2050</w:t>
            </w:r>
          </w:p>
        </w:tc>
      </w:tr>
      <w:tr w:rsidR="00325FAF" w:rsidRPr="00191ACB" w14:paraId="78025A89" w14:textId="77777777" w:rsidTr="00325FAF">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3084FA" w14:textId="77777777" w:rsidR="00325FAF" w:rsidRPr="00191ACB" w:rsidRDefault="00325FAF" w:rsidP="005E626A">
            <w:pPr>
              <w:spacing w:after="12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AFOLU </w:t>
            </w:r>
          </w:p>
        </w:tc>
        <w:tc>
          <w:tcPr>
            <w:tcW w:w="960" w:type="dxa"/>
            <w:tcBorders>
              <w:top w:val="nil"/>
              <w:left w:val="nil"/>
              <w:bottom w:val="single" w:sz="4" w:space="0" w:color="auto"/>
              <w:right w:val="single" w:sz="4" w:space="0" w:color="auto"/>
            </w:tcBorders>
            <w:shd w:val="clear" w:color="auto" w:fill="auto"/>
            <w:noWrap/>
            <w:vAlign w:val="center"/>
            <w:hideMark/>
          </w:tcPr>
          <w:p w14:paraId="4C6A5F09"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115425</w:t>
            </w:r>
          </w:p>
        </w:tc>
        <w:tc>
          <w:tcPr>
            <w:tcW w:w="960" w:type="dxa"/>
            <w:tcBorders>
              <w:top w:val="nil"/>
              <w:left w:val="nil"/>
              <w:bottom w:val="single" w:sz="4" w:space="0" w:color="auto"/>
              <w:right w:val="single" w:sz="4" w:space="0" w:color="auto"/>
            </w:tcBorders>
            <w:shd w:val="clear" w:color="auto" w:fill="auto"/>
            <w:noWrap/>
            <w:vAlign w:val="center"/>
            <w:hideMark/>
          </w:tcPr>
          <w:p w14:paraId="27CCAB8C"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117141</w:t>
            </w:r>
          </w:p>
        </w:tc>
        <w:tc>
          <w:tcPr>
            <w:tcW w:w="960" w:type="dxa"/>
            <w:tcBorders>
              <w:top w:val="nil"/>
              <w:left w:val="nil"/>
              <w:bottom w:val="single" w:sz="4" w:space="0" w:color="auto"/>
              <w:right w:val="single" w:sz="4" w:space="0" w:color="auto"/>
            </w:tcBorders>
            <w:shd w:val="clear" w:color="auto" w:fill="auto"/>
            <w:noWrap/>
            <w:vAlign w:val="center"/>
            <w:hideMark/>
          </w:tcPr>
          <w:p w14:paraId="71DDD413"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121223.2</w:t>
            </w:r>
          </w:p>
        </w:tc>
        <w:tc>
          <w:tcPr>
            <w:tcW w:w="960" w:type="dxa"/>
            <w:tcBorders>
              <w:top w:val="nil"/>
              <w:left w:val="nil"/>
              <w:bottom w:val="single" w:sz="4" w:space="0" w:color="auto"/>
              <w:right w:val="single" w:sz="4" w:space="0" w:color="auto"/>
            </w:tcBorders>
            <w:shd w:val="clear" w:color="auto" w:fill="auto"/>
            <w:noWrap/>
            <w:vAlign w:val="center"/>
            <w:hideMark/>
          </w:tcPr>
          <w:p w14:paraId="661DE246"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125525.8</w:t>
            </w:r>
          </w:p>
        </w:tc>
        <w:tc>
          <w:tcPr>
            <w:tcW w:w="960" w:type="dxa"/>
            <w:tcBorders>
              <w:top w:val="nil"/>
              <w:left w:val="nil"/>
              <w:bottom w:val="single" w:sz="4" w:space="0" w:color="auto"/>
              <w:right w:val="single" w:sz="4" w:space="0" w:color="auto"/>
            </w:tcBorders>
            <w:shd w:val="clear" w:color="auto" w:fill="auto"/>
            <w:noWrap/>
            <w:vAlign w:val="center"/>
            <w:hideMark/>
          </w:tcPr>
          <w:p w14:paraId="237E7D8F"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129981.2</w:t>
            </w:r>
          </w:p>
        </w:tc>
        <w:tc>
          <w:tcPr>
            <w:tcW w:w="960" w:type="dxa"/>
            <w:tcBorders>
              <w:top w:val="nil"/>
              <w:left w:val="nil"/>
              <w:bottom w:val="single" w:sz="4" w:space="0" w:color="auto"/>
              <w:right w:val="single" w:sz="4" w:space="0" w:color="auto"/>
            </w:tcBorders>
            <w:shd w:val="clear" w:color="auto" w:fill="auto"/>
            <w:noWrap/>
            <w:vAlign w:val="center"/>
            <w:hideMark/>
          </w:tcPr>
          <w:p w14:paraId="46A3A087"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134594.7</w:t>
            </w:r>
          </w:p>
        </w:tc>
        <w:tc>
          <w:tcPr>
            <w:tcW w:w="960" w:type="dxa"/>
            <w:tcBorders>
              <w:top w:val="nil"/>
              <w:left w:val="nil"/>
              <w:bottom w:val="single" w:sz="4" w:space="0" w:color="auto"/>
              <w:right w:val="single" w:sz="4" w:space="0" w:color="auto"/>
            </w:tcBorders>
            <w:shd w:val="clear" w:color="auto" w:fill="auto"/>
            <w:noWrap/>
            <w:vAlign w:val="center"/>
            <w:hideMark/>
          </w:tcPr>
          <w:p w14:paraId="0E52431F"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139371.9</w:t>
            </w:r>
          </w:p>
        </w:tc>
        <w:tc>
          <w:tcPr>
            <w:tcW w:w="960" w:type="dxa"/>
            <w:tcBorders>
              <w:top w:val="nil"/>
              <w:left w:val="nil"/>
              <w:bottom w:val="single" w:sz="4" w:space="0" w:color="auto"/>
              <w:right w:val="single" w:sz="4" w:space="0" w:color="auto"/>
            </w:tcBorders>
            <w:shd w:val="clear" w:color="auto" w:fill="auto"/>
            <w:noWrap/>
            <w:vAlign w:val="center"/>
            <w:hideMark/>
          </w:tcPr>
          <w:p w14:paraId="04E5BB35"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144318.7</w:t>
            </w:r>
          </w:p>
        </w:tc>
        <w:tc>
          <w:tcPr>
            <w:tcW w:w="960" w:type="dxa"/>
            <w:tcBorders>
              <w:top w:val="nil"/>
              <w:left w:val="nil"/>
              <w:bottom w:val="single" w:sz="4" w:space="0" w:color="auto"/>
              <w:right w:val="single" w:sz="4" w:space="0" w:color="auto"/>
            </w:tcBorders>
            <w:shd w:val="clear" w:color="auto" w:fill="auto"/>
            <w:noWrap/>
            <w:vAlign w:val="center"/>
            <w:hideMark/>
          </w:tcPr>
          <w:p w14:paraId="7C4B838B" w14:textId="77777777" w:rsidR="00325FAF" w:rsidRPr="00191ACB" w:rsidRDefault="00325FAF" w:rsidP="005E626A">
            <w:pPr>
              <w:spacing w:after="120" w:line="240" w:lineRule="auto"/>
              <w:jc w:val="right"/>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149441.1</w:t>
            </w:r>
          </w:p>
        </w:tc>
      </w:tr>
    </w:tbl>
    <w:p w14:paraId="0DD44A46" w14:textId="77777777" w:rsidR="00245464" w:rsidRPr="00191ACB" w:rsidRDefault="00245464" w:rsidP="005E626A">
      <w:pPr>
        <w:spacing w:after="120" w:line="240" w:lineRule="auto"/>
        <w:rPr>
          <w:rFonts w:ascii="Times New Roman" w:eastAsia="Calibri" w:hAnsi="Times New Roman" w:cs="Times New Roman"/>
          <w:color w:val="000000" w:themeColor="text1"/>
          <w:sz w:val="24"/>
          <w:szCs w:val="24"/>
        </w:rPr>
      </w:pPr>
    </w:p>
    <w:p w14:paraId="23EBC759" w14:textId="77777777" w:rsidR="00D10127" w:rsidRPr="00191ACB" w:rsidRDefault="00D10127" w:rsidP="005E626A">
      <w:pPr>
        <w:spacing w:after="120" w:line="240" w:lineRule="auto"/>
        <w:rPr>
          <w:rFonts w:ascii="Times New Roman" w:eastAsia="Calibri" w:hAnsi="Times New Roman" w:cs="Times New Roman"/>
          <w:color w:val="000000" w:themeColor="text1"/>
          <w:sz w:val="24"/>
          <w:szCs w:val="24"/>
        </w:rPr>
      </w:pPr>
    </w:p>
    <w:p w14:paraId="24322351" w14:textId="3A56F7A6" w:rsidR="00245464" w:rsidRPr="003772F2" w:rsidRDefault="00245464" w:rsidP="00D21C5B">
      <w:pPr>
        <w:pStyle w:val="Heading4"/>
        <w:numPr>
          <w:ilvl w:val="3"/>
          <w:numId w:val="36"/>
        </w:numPr>
        <w:ind w:left="851" w:hanging="851"/>
      </w:pPr>
      <w:bookmarkStart w:id="435" w:name="_Toc26264952"/>
      <w:r w:rsidRPr="003772F2">
        <w:t>Emissions reductions from Mitigation Actions under AFOLU</w:t>
      </w:r>
      <w:bookmarkEnd w:id="435"/>
      <w:r w:rsidRPr="003772F2">
        <w:t xml:space="preserve"> </w:t>
      </w:r>
    </w:p>
    <w:p w14:paraId="3281A3A2" w14:textId="4F2CFC33" w:rsidR="00245464" w:rsidRPr="001605E3" w:rsidRDefault="00245464" w:rsidP="00D21C5B">
      <w:pPr>
        <w:pStyle w:val="Heading5"/>
        <w:numPr>
          <w:ilvl w:val="4"/>
          <w:numId w:val="36"/>
        </w:numPr>
        <w:ind w:left="993" w:hanging="993"/>
        <w:rPr>
          <w:rFonts w:cs="Times New Roman"/>
          <w:szCs w:val="24"/>
        </w:rPr>
      </w:pPr>
      <w:bookmarkStart w:id="436" w:name="_Toc11669341"/>
      <w:bookmarkStart w:id="437" w:name="_Toc26264953"/>
      <w:r w:rsidRPr="001605E3">
        <w:rPr>
          <w:rFonts w:cs="Times New Roman"/>
          <w:szCs w:val="24"/>
        </w:rPr>
        <w:t>Agriculture</w:t>
      </w:r>
      <w:bookmarkEnd w:id="436"/>
      <w:bookmarkEnd w:id="437"/>
      <w:r w:rsidRPr="001605E3">
        <w:rPr>
          <w:rFonts w:cs="Times New Roman"/>
          <w:szCs w:val="24"/>
        </w:rPr>
        <w:t xml:space="preserve"> </w:t>
      </w:r>
    </w:p>
    <w:p w14:paraId="326F4316" w14:textId="77777777" w:rsidR="00245464" w:rsidRPr="000C4FCD" w:rsidRDefault="00245464"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Recently completed, planned or ongoing interventions identified in the agriculture sector with potential to contribute to climate change mitigation are sustainable agriculture Nationally Appropriate Mitigation Actions (NAMA), and </w:t>
      </w:r>
      <w:r w:rsidRPr="000C4FCD">
        <w:rPr>
          <w:rFonts w:ascii="Times New Roman" w:eastAsia="Calibri" w:hAnsi="Times New Roman" w:cs="Times New Roman"/>
          <w:color w:val="000000" w:themeColor="text1"/>
          <w:sz w:val="24"/>
          <w:szCs w:val="24"/>
        </w:rPr>
        <w:t xml:space="preserve">conservation agriculture scaling up project. </w:t>
      </w:r>
      <w:r w:rsidRPr="00191ACB">
        <w:rPr>
          <w:rFonts w:ascii="Times New Roman" w:eastAsia="Calibri" w:hAnsi="Times New Roman" w:cs="Times New Roman"/>
          <w:color w:val="000000" w:themeColor="text1"/>
          <w:sz w:val="24"/>
          <w:szCs w:val="24"/>
        </w:rPr>
        <w:t xml:space="preserve">Sustainable agriculture (NAMA) seeks to reduce GHG emissions as well as increased crop and livestock productivity in Mpika (Muchinga Province), Petauke (Eastern Province), and Kalomo (Southern Province). This will be undertaken through promotion of use of fertilisers with high nutrient efficiencies and use of improved varieties and improved management practices through conservation agriculture. </w:t>
      </w:r>
      <w:r w:rsidRPr="000C4FCD">
        <w:rPr>
          <w:rFonts w:ascii="Times New Roman" w:eastAsia="Calibri" w:hAnsi="Times New Roman" w:cs="Times New Roman"/>
          <w:color w:val="000000" w:themeColor="text1"/>
          <w:sz w:val="24"/>
          <w:szCs w:val="24"/>
        </w:rPr>
        <w:t xml:space="preserve">It is proposed that the target for diffusion of sustainable agriculture through integrated crop and livestock farming practices over a period of 10 years involving small scale farmers is 1,000,000 and 1,500,000 hectares in 2020, and 2030, respectively. Out of this hectarage, 5% and 10% are attributed to use of organic fertilizer and the rest for use of inorganic fertilizer, for the years 2020 and 2030, respectively. This translates into 500,000 and 750,000 small scale farmers, respectively, assuming an average of 2 hectares per farmer. </w:t>
      </w:r>
    </w:p>
    <w:p w14:paraId="716D7689" w14:textId="48A51C56" w:rsidR="00245464" w:rsidRPr="00191ACB" w:rsidRDefault="00245464"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Mitigation emissions reduction potential in the agriculture sector are projected to increase from 15.8 Gg CO</w:t>
      </w:r>
      <w:r w:rsidRPr="000C4FCD">
        <w:rPr>
          <w:rFonts w:ascii="Times New Roman" w:eastAsia="Calibri" w:hAnsi="Times New Roman" w:cs="Times New Roman"/>
          <w:color w:val="000000" w:themeColor="text1"/>
          <w:sz w:val="24"/>
          <w:szCs w:val="24"/>
        </w:rPr>
        <w:t xml:space="preserve">2 eq. </w:t>
      </w:r>
      <w:r w:rsidRPr="00191ACB">
        <w:rPr>
          <w:rFonts w:ascii="Times New Roman" w:eastAsia="Calibri" w:hAnsi="Times New Roman" w:cs="Times New Roman"/>
          <w:color w:val="000000" w:themeColor="text1"/>
          <w:sz w:val="24"/>
          <w:szCs w:val="24"/>
        </w:rPr>
        <w:t xml:space="preserve"> in 2010 to 136.0 Gg CO</w:t>
      </w:r>
      <w:r w:rsidRPr="000C4FCD">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eq. in 2050 (Table </w:t>
      </w:r>
      <w:r w:rsidR="00F11900" w:rsidRPr="00191ACB">
        <w:rPr>
          <w:rFonts w:ascii="Times New Roman" w:eastAsia="Calibri" w:hAnsi="Times New Roman" w:cs="Times New Roman"/>
          <w:color w:val="000000" w:themeColor="text1"/>
          <w:sz w:val="24"/>
          <w:szCs w:val="24"/>
        </w:rPr>
        <w:t>4.41</w:t>
      </w:r>
      <w:r w:rsidRPr="00191ACB">
        <w:rPr>
          <w:rFonts w:ascii="Times New Roman" w:eastAsia="Calibri" w:hAnsi="Times New Roman" w:cs="Times New Roman"/>
          <w:color w:val="000000" w:themeColor="text1"/>
          <w:sz w:val="24"/>
          <w:szCs w:val="24"/>
        </w:rPr>
        <w:t>).</w:t>
      </w:r>
    </w:p>
    <w:p w14:paraId="14514ACA" w14:textId="77777777" w:rsidR="00CA49AF" w:rsidRPr="00191ACB" w:rsidRDefault="00CA49AF" w:rsidP="005E626A">
      <w:pPr>
        <w:spacing w:after="120" w:line="240" w:lineRule="auto"/>
        <w:jc w:val="both"/>
        <w:rPr>
          <w:rFonts w:ascii="Times New Roman" w:eastAsia="Calibri" w:hAnsi="Times New Roman" w:cs="Times New Roman"/>
          <w:color w:val="000000" w:themeColor="text1"/>
          <w:sz w:val="24"/>
          <w:szCs w:val="24"/>
        </w:rPr>
      </w:pPr>
    </w:p>
    <w:p w14:paraId="0F6953EB" w14:textId="0BB280F5" w:rsidR="00245464" w:rsidRPr="00191ACB" w:rsidRDefault="00CA49AF" w:rsidP="00CA49AF">
      <w:pPr>
        <w:pStyle w:val="Caption"/>
        <w:rPr>
          <w:rFonts w:eastAsia="Calibri"/>
          <w:color w:val="000000" w:themeColor="text1"/>
          <w:sz w:val="24"/>
          <w:szCs w:val="24"/>
        </w:rPr>
      </w:pPr>
      <w:bookmarkStart w:id="438" w:name="_Toc56583817"/>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41</w:t>
      </w:r>
      <w:r w:rsidR="00875942">
        <w:rPr>
          <w:sz w:val="24"/>
          <w:szCs w:val="24"/>
        </w:rPr>
        <w:fldChar w:fldCharType="end"/>
      </w:r>
      <w:r w:rsidRPr="00191ACB">
        <w:rPr>
          <w:sz w:val="24"/>
          <w:szCs w:val="24"/>
        </w:rPr>
        <w:t>:41Projected emissions reduction for agriculture under for AFOLU (Gg CO2 eq.)</w:t>
      </w:r>
      <w:bookmarkEnd w:id="438"/>
    </w:p>
    <w:tbl>
      <w:tblPr>
        <w:tblW w:w="4115" w:type="pct"/>
        <w:tblLook w:val="04A0" w:firstRow="1" w:lastRow="0" w:firstColumn="1" w:lastColumn="0" w:noHBand="0" w:noVBand="1"/>
      </w:tblPr>
      <w:tblGrid>
        <w:gridCol w:w="2327"/>
        <w:gridCol w:w="696"/>
        <w:gridCol w:w="696"/>
        <w:gridCol w:w="696"/>
        <w:gridCol w:w="696"/>
        <w:gridCol w:w="696"/>
        <w:gridCol w:w="696"/>
        <w:gridCol w:w="756"/>
        <w:gridCol w:w="756"/>
      </w:tblGrid>
      <w:tr w:rsidR="00245464" w:rsidRPr="00191ACB" w14:paraId="2FCF6F02" w14:textId="77777777" w:rsidTr="00A91A48">
        <w:trPr>
          <w:trHeight w:val="300"/>
        </w:trPr>
        <w:tc>
          <w:tcPr>
            <w:tcW w:w="17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C51272"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95" w:type="pct"/>
            <w:tcBorders>
              <w:top w:val="single" w:sz="4" w:space="0" w:color="auto"/>
              <w:left w:val="nil"/>
              <w:bottom w:val="single" w:sz="4" w:space="0" w:color="auto"/>
              <w:right w:val="single" w:sz="4" w:space="0" w:color="auto"/>
            </w:tcBorders>
            <w:shd w:val="clear" w:color="auto" w:fill="auto"/>
            <w:noWrap/>
            <w:vAlign w:val="bottom"/>
            <w:hideMark/>
          </w:tcPr>
          <w:p w14:paraId="61618278"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2018</w:t>
            </w:r>
          </w:p>
        </w:tc>
        <w:tc>
          <w:tcPr>
            <w:tcW w:w="395" w:type="pct"/>
            <w:tcBorders>
              <w:top w:val="single" w:sz="4" w:space="0" w:color="auto"/>
              <w:left w:val="nil"/>
              <w:bottom w:val="single" w:sz="4" w:space="0" w:color="auto"/>
              <w:right w:val="single" w:sz="4" w:space="0" w:color="auto"/>
            </w:tcBorders>
            <w:shd w:val="clear" w:color="auto" w:fill="auto"/>
            <w:noWrap/>
            <w:vAlign w:val="bottom"/>
            <w:hideMark/>
          </w:tcPr>
          <w:p w14:paraId="74D71460"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2020</w:t>
            </w:r>
          </w:p>
        </w:tc>
        <w:tc>
          <w:tcPr>
            <w:tcW w:w="395" w:type="pct"/>
            <w:tcBorders>
              <w:top w:val="single" w:sz="4" w:space="0" w:color="auto"/>
              <w:left w:val="nil"/>
              <w:bottom w:val="single" w:sz="4" w:space="0" w:color="auto"/>
              <w:right w:val="single" w:sz="4" w:space="0" w:color="auto"/>
            </w:tcBorders>
            <w:shd w:val="clear" w:color="auto" w:fill="auto"/>
            <w:noWrap/>
            <w:vAlign w:val="bottom"/>
            <w:hideMark/>
          </w:tcPr>
          <w:p w14:paraId="7A359E75"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2025</w:t>
            </w:r>
          </w:p>
        </w:tc>
        <w:tc>
          <w:tcPr>
            <w:tcW w:w="395" w:type="pct"/>
            <w:tcBorders>
              <w:top w:val="single" w:sz="4" w:space="0" w:color="auto"/>
              <w:left w:val="nil"/>
              <w:bottom w:val="single" w:sz="4" w:space="0" w:color="auto"/>
              <w:right w:val="single" w:sz="4" w:space="0" w:color="auto"/>
            </w:tcBorders>
            <w:shd w:val="clear" w:color="auto" w:fill="auto"/>
            <w:noWrap/>
            <w:vAlign w:val="bottom"/>
            <w:hideMark/>
          </w:tcPr>
          <w:p w14:paraId="760CEACF"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2030</w:t>
            </w:r>
          </w:p>
        </w:tc>
        <w:tc>
          <w:tcPr>
            <w:tcW w:w="395" w:type="pct"/>
            <w:tcBorders>
              <w:top w:val="single" w:sz="4" w:space="0" w:color="auto"/>
              <w:left w:val="nil"/>
              <w:bottom w:val="single" w:sz="4" w:space="0" w:color="auto"/>
              <w:right w:val="single" w:sz="4" w:space="0" w:color="auto"/>
            </w:tcBorders>
            <w:shd w:val="clear" w:color="auto" w:fill="auto"/>
            <w:noWrap/>
            <w:vAlign w:val="bottom"/>
            <w:hideMark/>
          </w:tcPr>
          <w:p w14:paraId="6898EE39"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2035</w:t>
            </w:r>
          </w:p>
        </w:tc>
        <w:tc>
          <w:tcPr>
            <w:tcW w:w="395" w:type="pct"/>
            <w:tcBorders>
              <w:top w:val="single" w:sz="4" w:space="0" w:color="auto"/>
              <w:left w:val="nil"/>
              <w:bottom w:val="single" w:sz="4" w:space="0" w:color="auto"/>
              <w:right w:val="single" w:sz="4" w:space="0" w:color="auto"/>
            </w:tcBorders>
            <w:shd w:val="clear" w:color="auto" w:fill="auto"/>
            <w:noWrap/>
            <w:vAlign w:val="bottom"/>
            <w:hideMark/>
          </w:tcPr>
          <w:p w14:paraId="4DF7F79E"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2040</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3CE34C5A"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2045</w:t>
            </w:r>
          </w:p>
        </w:tc>
        <w:tc>
          <w:tcPr>
            <w:tcW w:w="425" w:type="pct"/>
            <w:tcBorders>
              <w:top w:val="single" w:sz="4" w:space="0" w:color="auto"/>
              <w:left w:val="nil"/>
              <w:bottom w:val="single" w:sz="4" w:space="0" w:color="auto"/>
              <w:right w:val="single" w:sz="4" w:space="0" w:color="auto"/>
            </w:tcBorders>
            <w:shd w:val="clear" w:color="auto" w:fill="auto"/>
            <w:noWrap/>
            <w:vAlign w:val="bottom"/>
            <w:hideMark/>
          </w:tcPr>
          <w:p w14:paraId="76F4FE5F"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2050</w:t>
            </w:r>
          </w:p>
        </w:tc>
      </w:tr>
      <w:tr w:rsidR="00245464" w:rsidRPr="00191ACB" w14:paraId="2053CCB0" w14:textId="77777777" w:rsidTr="00A91A48">
        <w:trPr>
          <w:trHeight w:val="261"/>
        </w:trPr>
        <w:tc>
          <w:tcPr>
            <w:tcW w:w="1781" w:type="pct"/>
            <w:tcBorders>
              <w:top w:val="nil"/>
              <w:left w:val="single" w:sz="4" w:space="0" w:color="auto"/>
              <w:bottom w:val="single" w:sz="4" w:space="0" w:color="auto"/>
              <w:right w:val="single" w:sz="4" w:space="0" w:color="auto"/>
            </w:tcBorders>
            <w:shd w:val="clear" w:color="auto" w:fill="auto"/>
            <w:vAlign w:val="bottom"/>
            <w:hideMark/>
          </w:tcPr>
          <w:p w14:paraId="43E27A2A"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xml:space="preserve">Ministry of Agriculture-conservation -agriculture </w:t>
            </w:r>
          </w:p>
        </w:tc>
        <w:tc>
          <w:tcPr>
            <w:tcW w:w="395" w:type="pct"/>
            <w:tcBorders>
              <w:top w:val="nil"/>
              <w:left w:val="nil"/>
              <w:bottom w:val="single" w:sz="4" w:space="0" w:color="auto"/>
              <w:right w:val="single" w:sz="4" w:space="0" w:color="auto"/>
            </w:tcBorders>
            <w:shd w:val="clear" w:color="auto" w:fill="auto"/>
            <w:noWrap/>
            <w:vAlign w:val="bottom"/>
            <w:hideMark/>
          </w:tcPr>
          <w:p w14:paraId="62758050"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15.8</w:t>
            </w:r>
          </w:p>
        </w:tc>
        <w:tc>
          <w:tcPr>
            <w:tcW w:w="395" w:type="pct"/>
            <w:tcBorders>
              <w:top w:val="nil"/>
              <w:left w:val="nil"/>
              <w:bottom w:val="single" w:sz="4" w:space="0" w:color="auto"/>
              <w:right w:val="single" w:sz="4" w:space="0" w:color="auto"/>
            </w:tcBorders>
            <w:shd w:val="clear" w:color="auto" w:fill="auto"/>
            <w:noWrap/>
            <w:vAlign w:val="bottom"/>
            <w:hideMark/>
          </w:tcPr>
          <w:p w14:paraId="50C85BD9"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23.3</w:t>
            </w:r>
          </w:p>
        </w:tc>
        <w:tc>
          <w:tcPr>
            <w:tcW w:w="395" w:type="pct"/>
            <w:tcBorders>
              <w:top w:val="nil"/>
              <w:left w:val="nil"/>
              <w:bottom w:val="single" w:sz="4" w:space="0" w:color="auto"/>
              <w:right w:val="single" w:sz="4" w:space="0" w:color="auto"/>
            </w:tcBorders>
            <w:shd w:val="clear" w:color="auto" w:fill="auto"/>
            <w:noWrap/>
            <w:vAlign w:val="bottom"/>
            <w:hideMark/>
          </w:tcPr>
          <w:p w14:paraId="3178650E"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42.1</w:t>
            </w:r>
          </w:p>
        </w:tc>
        <w:tc>
          <w:tcPr>
            <w:tcW w:w="395" w:type="pct"/>
            <w:tcBorders>
              <w:top w:val="nil"/>
              <w:left w:val="nil"/>
              <w:bottom w:val="single" w:sz="4" w:space="0" w:color="auto"/>
              <w:right w:val="single" w:sz="4" w:space="0" w:color="auto"/>
            </w:tcBorders>
            <w:shd w:val="clear" w:color="auto" w:fill="auto"/>
            <w:noWrap/>
            <w:vAlign w:val="bottom"/>
            <w:hideMark/>
          </w:tcPr>
          <w:p w14:paraId="72C9A007"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60.9</w:t>
            </w:r>
          </w:p>
        </w:tc>
        <w:tc>
          <w:tcPr>
            <w:tcW w:w="395" w:type="pct"/>
            <w:tcBorders>
              <w:top w:val="nil"/>
              <w:left w:val="nil"/>
              <w:bottom w:val="single" w:sz="4" w:space="0" w:color="auto"/>
              <w:right w:val="single" w:sz="4" w:space="0" w:color="auto"/>
            </w:tcBorders>
            <w:shd w:val="clear" w:color="auto" w:fill="auto"/>
            <w:noWrap/>
            <w:vAlign w:val="bottom"/>
            <w:hideMark/>
          </w:tcPr>
          <w:p w14:paraId="3C0D137F"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79.7</w:t>
            </w:r>
          </w:p>
        </w:tc>
        <w:tc>
          <w:tcPr>
            <w:tcW w:w="395" w:type="pct"/>
            <w:tcBorders>
              <w:top w:val="nil"/>
              <w:left w:val="nil"/>
              <w:bottom w:val="single" w:sz="4" w:space="0" w:color="auto"/>
              <w:right w:val="single" w:sz="4" w:space="0" w:color="auto"/>
            </w:tcBorders>
            <w:shd w:val="clear" w:color="auto" w:fill="auto"/>
            <w:noWrap/>
            <w:vAlign w:val="bottom"/>
            <w:hideMark/>
          </w:tcPr>
          <w:p w14:paraId="5CB1B8CA"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98.4</w:t>
            </w:r>
          </w:p>
        </w:tc>
        <w:tc>
          <w:tcPr>
            <w:tcW w:w="425" w:type="pct"/>
            <w:tcBorders>
              <w:top w:val="nil"/>
              <w:left w:val="nil"/>
              <w:bottom w:val="single" w:sz="4" w:space="0" w:color="auto"/>
              <w:right w:val="single" w:sz="4" w:space="0" w:color="auto"/>
            </w:tcBorders>
            <w:shd w:val="clear" w:color="auto" w:fill="auto"/>
            <w:noWrap/>
            <w:vAlign w:val="bottom"/>
            <w:hideMark/>
          </w:tcPr>
          <w:p w14:paraId="290B0C6E"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117.2</w:t>
            </w:r>
          </w:p>
        </w:tc>
        <w:tc>
          <w:tcPr>
            <w:tcW w:w="425" w:type="pct"/>
            <w:tcBorders>
              <w:top w:val="nil"/>
              <w:left w:val="nil"/>
              <w:bottom w:val="single" w:sz="4" w:space="0" w:color="auto"/>
              <w:right w:val="single" w:sz="4" w:space="0" w:color="auto"/>
            </w:tcBorders>
            <w:shd w:val="clear" w:color="auto" w:fill="auto"/>
            <w:noWrap/>
            <w:vAlign w:val="bottom"/>
            <w:hideMark/>
          </w:tcPr>
          <w:p w14:paraId="27E892C8"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136.0</w:t>
            </w:r>
          </w:p>
        </w:tc>
      </w:tr>
    </w:tbl>
    <w:p w14:paraId="49E04119" w14:textId="77777777" w:rsidR="00245464" w:rsidRPr="00191ACB" w:rsidRDefault="00245464" w:rsidP="005E626A">
      <w:pPr>
        <w:spacing w:after="120" w:line="240" w:lineRule="auto"/>
        <w:rPr>
          <w:rFonts w:ascii="Times New Roman" w:eastAsia="Calibri" w:hAnsi="Times New Roman" w:cs="Times New Roman"/>
          <w:color w:val="000000" w:themeColor="text1"/>
          <w:sz w:val="24"/>
          <w:szCs w:val="24"/>
        </w:rPr>
      </w:pPr>
    </w:p>
    <w:p w14:paraId="3B2E28A9" w14:textId="31E2454E" w:rsidR="00245464" w:rsidRPr="00191ACB" w:rsidRDefault="00245464"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lastRenderedPageBreak/>
        <w:t xml:space="preserve">Provided in table </w:t>
      </w:r>
      <w:r w:rsidR="00F11900" w:rsidRPr="00191ACB">
        <w:rPr>
          <w:rFonts w:ascii="Times New Roman" w:eastAsia="Calibri" w:hAnsi="Times New Roman" w:cs="Times New Roman"/>
          <w:color w:val="000000" w:themeColor="text1"/>
          <w:sz w:val="24"/>
          <w:szCs w:val="24"/>
        </w:rPr>
        <w:t>4.42</w:t>
      </w:r>
      <w:r w:rsidRPr="00191ACB">
        <w:rPr>
          <w:rFonts w:ascii="Times New Roman" w:eastAsia="Calibri" w:hAnsi="Times New Roman" w:cs="Times New Roman"/>
          <w:color w:val="000000" w:themeColor="text1"/>
          <w:sz w:val="24"/>
          <w:szCs w:val="24"/>
        </w:rPr>
        <w:t xml:space="preserve"> are fertiliser application rates for conventional and conservation agricultur</w:t>
      </w:r>
      <w:r w:rsidR="004A2C5D" w:rsidRPr="00191ACB">
        <w:rPr>
          <w:rFonts w:ascii="Times New Roman" w:eastAsia="Calibri" w:hAnsi="Times New Roman" w:cs="Times New Roman"/>
          <w:color w:val="000000" w:themeColor="text1"/>
          <w:sz w:val="24"/>
          <w:szCs w:val="24"/>
        </w:rPr>
        <w:t>al</w:t>
      </w:r>
      <w:r w:rsidRPr="00191ACB">
        <w:rPr>
          <w:rFonts w:ascii="Times New Roman" w:eastAsia="Calibri" w:hAnsi="Times New Roman" w:cs="Times New Roman"/>
          <w:color w:val="000000" w:themeColor="text1"/>
          <w:sz w:val="24"/>
          <w:szCs w:val="24"/>
        </w:rPr>
        <w:t xml:space="preserve"> practices which were used to derive projected emission reductions for agriculture.</w:t>
      </w:r>
    </w:p>
    <w:p w14:paraId="242E931B" w14:textId="77777777" w:rsidR="00CA49AF" w:rsidRPr="00191ACB" w:rsidRDefault="00CA49AF" w:rsidP="005E626A">
      <w:pPr>
        <w:spacing w:after="120" w:line="240" w:lineRule="auto"/>
        <w:jc w:val="both"/>
        <w:rPr>
          <w:rFonts w:ascii="Times New Roman" w:eastAsia="Calibri" w:hAnsi="Times New Roman" w:cs="Times New Roman"/>
          <w:color w:val="000000" w:themeColor="text1"/>
          <w:sz w:val="24"/>
          <w:szCs w:val="24"/>
        </w:rPr>
      </w:pPr>
    </w:p>
    <w:p w14:paraId="74DAA74B" w14:textId="71FA9AF4" w:rsidR="00245464" w:rsidRPr="00191ACB" w:rsidRDefault="00CA49AF" w:rsidP="00CA49AF">
      <w:pPr>
        <w:pStyle w:val="Caption"/>
        <w:rPr>
          <w:rFonts w:eastAsia="Calibri"/>
          <w:color w:val="000000" w:themeColor="text1"/>
          <w:sz w:val="24"/>
          <w:szCs w:val="24"/>
        </w:rPr>
      </w:pPr>
      <w:bookmarkStart w:id="439" w:name="_Toc19284650"/>
      <w:bookmarkStart w:id="440" w:name="_Toc19705994"/>
      <w:bookmarkStart w:id="441" w:name="_Toc56583818"/>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42</w:t>
      </w:r>
      <w:r w:rsidR="00875942">
        <w:rPr>
          <w:sz w:val="24"/>
          <w:szCs w:val="24"/>
        </w:rPr>
        <w:fldChar w:fldCharType="end"/>
      </w:r>
      <w:r w:rsidRPr="00191ACB">
        <w:rPr>
          <w:sz w:val="24"/>
          <w:szCs w:val="24"/>
        </w:rPr>
        <w:t>: Fertiliser application rates for conventional and conservation agriculture</w:t>
      </w:r>
      <w:r w:rsidR="00245464" w:rsidRPr="00191ACB">
        <w:rPr>
          <w:rFonts w:eastAsia="Calibri"/>
          <w:color w:val="000000" w:themeColor="text1"/>
          <w:sz w:val="24"/>
          <w:szCs w:val="24"/>
        </w:rPr>
        <w:t>.</w:t>
      </w:r>
      <w:bookmarkEnd w:id="439"/>
      <w:bookmarkEnd w:id="440"/>
      <w:bookmarkEnd w:id="441"/>
    </w:p>
    <w:tbl>
      <w:tblPr>
        <w:tblW w:w="7180" w:type="dxa"/>
        <w:tblInd w:w="-5" w:type="dxa"/>
        <w:tblLook w:val="04A0" w:firstRow="1" w:lastRow="0" w:firstColumn="1" w:lastColumn="0" w:noHBand="0" w:noVBand="1"/>
      </w:tblPr>
      <w:tblGrid>
        <w:gridCol w:w="4400"/>
        <w:gridCol w:w="1554"/>
        <w:gridCol w:w="1226"/>
      </w:tblGrid>
      <w:tr w:rsidR="00245464" w:rsidRPr="00191ACB" w14:paraId="1A71050E" w14:textId="77777777" w:rsidTr="00A91A48">
        <w:trPr>
          <w:trHeight w:val="300"/>
        </w:trPr>
        <w:tc>
          <w:tcPr>
            <w:tcW w:w="4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50E887"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1554" w:type="dxa"/>
            <w:tcBorders>
              <w:top w:val="single" w:sz="4" w:space="0" w:color="auto"/>
              <w:left w:val="nil"/>
              <w:bottom w:val="single" w:sz="4" w:space="0" w:color="auto"/>
              <w:right w:val="single" w:sz="4" w:space="0" w:color="auto"/>
            </w:tcBorders>
            <w:shd w:val="clear" w:color="auto" w:fill="auto"/>
            <w:noWrap/>
            <w:vAlign w:val="bottom"/>
            <w:hideMark/>
          </w:tcPr>
          <w:p w14:paraId="51F53552"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D compound</w:t>
            </w:r>
          </w:p>
        </w:tc>
        <w:tc>
          <w:tcPr>
            <w:tcW w:w="1226" w:type="dxa"/>
            <w:tcBorders>
              <w:top w:val="single" w:sz="4" w:space="0" w:color="auto"/>
              <w:left w:val="nil"/>
              <w:bottom w:val="single" w:sz="4" w:space="0" w:color="auto"/>
              <w:right w:val="single" w:sz="4" w:space="0" w:color="auto"/>
            </w:tcBorders>
            <w:shd w:val="clear" w:color="auto" w:fill="auto"/>
            <w:noWrap/>
            <w:vAlign w:val="bottom"/>
            <w:hideMark/>
          </w:tcPr>
          <w:p w14:paraId="470B600F"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Urea</w:t>
            </w:r>
          </w:p>
        </w:tc>
      </w:tr>
      <w:tr w:rsidR="00245464" w:rsidRPr="00191ACB" w14:paraId="79C66EC8" w14:textId="77777777" w:rsidTr="00A91A48">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7CDBA93F"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Conventional Agriculture (kg /hectare)</w:t>
            </w:r>
          </w:p>
        </w:tc>
        <w:tc>
          <w:tcPr>
            <w:tcW w:w="1554" w:type="dxa"/>
            <w:tcBorders>
              <w:top w:val="nil"/>
              <w:left w:val="nil"/>
              <w:bottom w:val="single" w:sz="4" w:space="0" w:color="auto"/>
              <w:right w:val="single" w:sz="4" w:space="0" w:color="auto"/>
            </w:tcBorders>
            <w:shd w:val="clear" w:color="auto" w:fill="auto"/>
            <w:noWrap/>
            <w:vAlign w:val="bottom"/>
            <w:hideMark/>
          </w:tcPr>
          <w:p w14:paraId="11F8DAD0"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w:t>
            </w:r>
          </w:p>
        </w:tc>
        <w:tc>
          <w:tcPr>
            <w:tcW w:w="1226" w:type="dxa"/>
            <w:tcBorders>
              <w:top w:val="nil"/>
              <w:left w:val="nil"/>
              <w:bottom w:val="single" w:sz="4" w:space="0" w:color="auto"/>
              <w:right w:val="single" w:sz="4" w:space="0" w:color="auto"/>
            </w:tcBorders>
            <w:shd w:val="clear" w:color="auto" w:fill="auto"/>
            <w:noWrap/>
            <w:vAlign w:val="bottom"/>
            <w:hideMark/>
          </w:tcPr>
          <w:p w14:paraId="12EF1A08"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w:t>
            </w:r>
          </w:p>
        </w:tc>
      </w:tr>
      <w:tr w:rsidR="00245464" w:rsidRPr="00191ACB" w14:paraId="7233D9EC" w14:textId="77777777" w:rsidTr="00A91A48">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4C94F29B"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Conservation Agriculture (kg/hectare)</w:t>
            </w:r>
          </w:p>
        </w:tc>
        <w:tc>
          <w:tcPr>
            <w:tcW w:w="1554" w:type="dxa"/>
            <w:tcBorders>
              <w:top w:val="nil"/>
              <w:left w:val="nil"/>
              <w:bottom w:val="single" w:sz="4" w:space="0" w:color="auto"/>
              <w:right w:val="single" w:sz="4" w:space="0" w:color="auto"/>
            </w:tcBorders>
            <w:shd w:val="clear" w:color="auto" w:fill="auto"/>
            <w:noWrap/>
            <w:vAlign w:val="bottom"/>
            <w:hideMark/>
          </w:tcPr>
          <w:p w14:paraId="092BF935"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100</w:t>
            </w:r>
          </w:p>
        </w:tc>
        <w:tc>
          <w:tcPr>
            <w:tcW w:w="1226" w:type="dxa"/>
            <w:tcBorders>
              <w:top w:val="nil"/>
              <w:left w:val="nil"/>
              <w:bottom w:val="single" w:sz="4" w:space="0" w:color="auto"/>
              <w:right w:val="single" w:sz="4" w:space="0" w:color="auto"/>
            </w:tcBorders>
            <w:shd w:val="clear" w:color="auto" w:fill="auto"/>
            <w:noWrap/>
            <w:vAlign w:val="bottom"/>
            <w:hideMark/>
          </w:tcPr>
          <w:p w14:paraId="77041202"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200</w:t>
            </w:r>
          </w:p>
        </w:tc>
      </w:tr>
      <w:tr w:rsidR="00245464" w:rsidRPr="00191ACB" w14:paraId="5794E9DB" w14:textId="77777777" w:rsidTr="00A91A48">
        <w:trPr>
          <w:trHeight w:val="300"/>
        </w:trPr>
        <w:tc>
          <w:tcPr>
            <w:tcW w:w="4400" w:type="dxa"/>
            <w:tcBorders>
              <w:top w:val="nil"/>
              <w:left w:val="single" w:sz="4" w:space="0" w:color="auto"/>
              <w:bottom w:val="single" w:sz="4" w:space="0" w:color="auto"/>
              <w:right w:val="single" w:sz="4" w:space="0" w:color="auto"/>
            </w:tcBorders>
            <w:shd w:val="clear" w:color="auto" w:fill="auto"/>
            <w:noWrap/>
            <w:vAlign w:val="bottom"/>
            <w:hideMark/>
          </w:tcPr>
          <w:p w14:paraId="4A3C3509"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 content %</w:t>
            </w:r>
          </w:p>
        </w:tc>
        <w:tc>
          <w:tcPr>
            <w:tcW w:w="1554" w:type="dxa"/>
            <w:tcBorders>
              <w:top w:val="nil"/>
              <w:left w:val="nil"/>
              <w:bottom w:val="single" w:sz="4" w:space="0" w:color="auto"/>
              <w:right w:val="single" w:sz="4" w:space="0" w:color="auto"/>
            </w:tcBorders>
            <w:shd w:val="clear" w:color="auto" w:fill="auto"/>
            <w:noWrap/>
            <w:vAlign w:val="bottom"/>
            <w:hideMark/>
          </w:tcPr>
          <w:p w14:paraId="02CB6F51"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13%</w:t>
            </w:r>
          </w:p>
        </w:tc>
        <w:tc>
          <w:tcPr>
            <w:tcW w:w="1226" w:type="dxa"/>
            <w:tcBorders>
              <w:top w:val="nil"/>
              <w:left w:val="nil"/>
              <w:bottom w:val="single" w:sz="4" w:space="0" w:color="auto"/>
              <w:right w:val="single" w:sz="4" w:space="0" w:color="auto"/>
            </w:tcBorders>
            <w:shd w:val="clear" w:color="auto" w:fill="auto"/>
            <w:noWrap/>
            <w:vAlign w:val="bottom"/>
            <w:hideMark/>
          </w:tcPr>
          <w:p w14:paraId="517A301F"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46%</w:t>
            </w:r>
          </w:p>
        </w:tc>
      </w:tr>
    </w:tbl>
    <w:p w14:paraId="06DC6A2D" w14:textId="77777777" w:rsidR="00245464" w:rsidRPr="00191ACB" w:rsidRDefault="00245464" w:rsidP="005E626A">
      <w:pPr>
        <w:spacing w:after="120" w:line="240" w:lineRule="auto"/>
        <w:rPr>
          <w:rFonts w:ascii="Times New Roman" w:eastAsia="Calibri" w:hAnsi="Times New Roman" w:cs="Times New Roman"/>
          <w:color w:val="000000" w:themeColor="text1"/>
          <w:sz w:val="24"/>
          <w:szCs w:val="24"/>
        </w:rPr>
      </w:pPr>
    </w:p>
    <w:p w14:paraId="50E1FE3D" w14:textId="2819F1AF" w:rsidR="00245464" w:rsidRPr="00191ACB" w:rsidRDefault="00245464" w:rsidP="000C4FCD">
      <w:pPr>
        <w:spacing w:after="120" w:line="276" w:lineRule="auto"/>
        <w:jc w:val="both"/>
        <w:rPr>
          <w:rFonts w:ascii="Times New Roman" w:eastAsia="Calibri" w:hAnsi="Times New Roman" w:cs="Times New Roman"/>
          <w:color w:val="000000" w:themeColor="text1"/>
          <w:sz w:val="24"/>
          <w:szCs w:val="24"/>
        </w:rPr>
        <w:sectPr w:rsidR="00245464" w:rsidRPr="00191ACB" w:rsidSect="00D326BE">
          <w:pgSz w:w="11909" w:h="16834" w:code="9"/>
          <w:pgMar w:top="862" w:right="720" w:bottom="862" w:left="1440" w:header="720" w:footer="720" w:gutter="0"/>
          <w:cols w:space="720"/>
          <w:docGrid w:linePitch="360"/>
        </w:sectPr>
      </w:pPr>
      <w:r w:rsidRPr="00191ACB">
        <w:rPr>
          <w:rFonts w:ascii="Times New Roman" w:eastAsia="Calibri" w:hAnsi="Times New Roman" w:cs="Times New Roman"/>
          <w:color w:val="000000" w:themeColor="text1"/>
          <w:sz w:val="24"/>
          <w:szCs w:val="24"/>
        </w:rPr>
        <w:t>The Conservation Agriculture Scaling Up Project (CASU) project was a project implemented f</w:t>
      </w:r>
      <w:r w:rsidR="004A2C5D" w:rsidRPr="00191ACB">
        <w:rPr>
          <w:rFonts w:ascii="Times New Roman" w:eastAsia="Calibri" w:hAnsi="Times New Roman" w:cs="Times New Roman"/>
          <w:color w:val="000000" w:themeColor="text1"/>
          <w:sz w:val="24"/>
          <w:szCs w:val="24"/>
        </w:rPr>
        <w:t>ro</w:t>
      </w:r>
      <w:r w:rsidRPr="00191ACB">
        <w:rPr>
          <w:rFonts w:ascii="Times New Roman" w:eastAsia="Calibri" w:hAnsi="Times New Roman" w:cs="Times New Roman"/>
          <w:color w:val="000000" w:themeColor="text1"/>
          <w:sz w:val="24"/>
          <w:szCs w:val="24"/>
        </w:rPr>
        <w:t xml:space="preserve">m 2013 to 2017 whose </w:t>
      </w:r>
      <w:r w:rsidRPr="000C4FCD">
        <w:rPr>
          <w:rFonts w:ascii="Times New Roman" w:eastAsia="Calibri" w:hAnsi="Times New Roman" w:cs="Times New Roman"/>
          <w:color w:val="000000" w:themeColor="text1"/>
          <w:sz w:val="24"/>
          <w:szCs w:val="24"/>
        </w:rPr>
        <w:t xml:space="preserve">aim was to scale up conservation agriculture in 31 districts of Zambia in order to increase productivity and production of crops for food security and income generation. It also aspired to address low crop production and productivity exacerbated by soil degradation, high inputs prices, poor produce markets and poor farming practices. </w:t>
      </w:r>
      <w:r w:rsidRPr="00191ACB">
        <w:rPr>
          <w:rFonts w:ascii="Times New Roman" w:eastAsia="Calibri" w:hAnsi="Times New Roman" w:cs="Times New Roman"/>
          <w:color w:val="000000" w:themeColor="text1"/>
          <w:sz w:val="24"/>
          <w:szCs w:val="24"/>
        </w:rPr>
        <w:t>By 2015, 19 500 Lead Farmers and 207 000 Follow farmers registered under CASU. More than 600 Ministry of Agriculture extension officers, Provincial and District agricultural officers and private sector agro-dealers improved their Conservation Agriculture (CA) skills through intense technical training provided by CASU. More than 100 000 small scale farmers improved their skills on sustainable land preparation, 6 300 use pigeon pea for crop rotation and about 1 500 started practicing agro-forestry</w:t>
      </w:r>
      <w:r w:rsidR="005B5FDA" w:rsidRPr="000C4FCD" w:rsidDel="005B5FDA">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(EU, 2019) Other organisations are also  involved in promotion of conservation farming such as </w:t>
      </w:r>
      <w:r w:rsidRPr="000C4FCD">
        <w:rPr>
          <w:rFonts w:ascii="Times New Roman" w:eastAsia="Calibri" w:hAnsi="Times New Roman" w:cs="Times New Roman"/>
          <w:color w:val="000000" w:themeColor="text1"/>
          <w:sz w:val="24"/>
          <w:szCs w:val="24"/>
        </w:rPr>
        <w:t xml:space="preserve">NGOCC ( Non-governmental Gender Coordinating Council)  while partnering with organisations such as COMACO and SNV. </w:t>
      </w:r>
      <w:r w:rsidR="00DD5AF1" w:rsidRPr="00191ACB">
        <w:rPr>
          <w:rFonts w:ascii="Times New Roman" w:eastAsia="Calibri" w:hAnsi="Times New Roman" w:cs="Times New Roman"/>
          <w:color w:val="000000" w:themeColor="text1"/>
          <w:sz w:val="24"/>
          <w:szCs w:val="24"/>
        </w:rPr>
        <w:t xml:space="preserve">Provide in Table </w:t>
      </w:r>
      <w:r w:rsidR="00F11900" w:rsidRPr="00191ACB">
        <w:rPr>
          <w:rFonts w:ascii="Times New Roman" w:eastAsia="Calibri" w:hAnsi="Times New Roman" w:cs="Times New Roman"/>
          <w:color w:val="000000" w:themeColor="text1"/>
          <w:sz w:val="24"/>
          <w:szCs w:val="24"/>
        </w:rPr>
        <w:t>4.43</w:t>
      </w:r>
      <w:r w:rsidR="00DD5AF1" w:rsidRPr="00191ACB">
        <w:rPr>
          <w:rFonts w:ascii="Times New Roman" w:eastAsia="Calibri" w:hAnsi="Times New Roman" w:cs="Times New Roman"/>
          <w:color w:val="000000" w:themeColor="text1"/>
          <w:sz w:val="24"/>
          <w:szCs w:val="24"/>
        </w:rPr>
        <w:t xml:space="preserve"> and </w:t>
      </w:r>
      <w:r w:rsidR="00F11900" w:rsidRPr="00191ACB">
        <w:rPr>
          <w:rFonts w:ascii="Times New Roman" w:eastAsia="Calibri" w:hAnsi="Times New Roman" w:cs="Times New Roman"/>
          <w:color w:val="000000" w:themeColor="text1"/>
          <w:sz w:val="24"/>
          <w:szCs w:val="24"/>
        </w:rPr>
        <w:t>4.44</w:t>
      </w:r>
      <w:r w:rsidRPr="00191ACB">
        <w:rPr>
          <w:rFonts w:ascii="Times New Roman" w:eastAsia="Calibri" w:hAnsi="Times New Roman" w:cs="Times New Roman"/>
          <w:color w:val="000000" w:themeColor="text1"/>
          <w:sz w:val="24"/>
          <w:szCs w:val="24"/>
        </w:rPr>
        <w:t xml:space="preserve"> are additional details on mitigation projects in agriculture sector.</w:t>
      </w:r>
    </w:p>
    <w:p w14:paraId="08E3455A" w14:textId="08F66329" w:rsidR="00245464" w:rsidRPr="00191ACB" w:rsidRDefault="00A13A2D" w:rsidP="00A13A2D">
      <w:pPr>
        <w:pStyle w:val="Caption"/>
        <w:rPr>
          <w:rFonts w:eastAsia="Calibri"/>
          <w:color w:val="000000" w:themeColor="text1"/>
          <w:sz w:val="24"/>
          <w:szCs w:val="24"/>
        </w:rPr>
      </w:pPr>
      <w:bookmarkStart w:id="442" w:name="_Toc56583819"/>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43</w:t>
      </w:r>
      <w:r w:rsidR="00875942">
        <w:rPr>
          <w:sz w:val="24"/>
          <w:szCs w:val="24"/>
        </w:rPr>
        <w:fldChar w:fldCharType="end"/>
      </w:r>
      <w:r w:rsidRPr="00191ACB">
        <w:rPr>
          <w:sz w:val="24"/>
          <w:szCs w:val="24"/>
        </w:rPr>
        <w:t>:Mitigation projects in agriculture</w:t>
      </w:r>
      <w:bookmarkEnd w:id="442"/>
    </w:p>
    <w:tbl>
      <w:tblPr>
        <w:tblW w:w="5000" w:type="pct"/>
        <w:tblLayout w:type="fixed"/>
        <w:tblLook w:val="04A0" w:firstRow="1" w:lastRow="0" w:firstColumn="1" w:lastColumn="0" w:noHBand="0" w:noVBand="1"/>
      </w:tblPr>
      <w:tblGrid>
        <w:gridCol w:w="328"/>
        <w:gridCol w:w="2361"/>
        <w:gridCol w:w="2692"/>
        <w:gridCol w:w="3115"/>
        <w:gridCol w:w="1243"/>
      </w:tblGrid>
      <w:tr w:rsidR="00245464" w:rsidRPr="00191ACB" w14:paraId="2CBA2F07" w14:textId="77777777" w:rsidTr="00D326BE">
        <w:trPr>
          <w:trHeight w:val="269"/>
        </w:trPr>
        <w:tc>
          <w:tcPr>
            <w:tcW w:w="169" w:type="pct"/>
            <w:tcBorders>
              <w:top w:val="single" w:sz="4" w:space="0" w:color="auto"/>
              <w:left w:val="single" w:sz="4" w:space="0" w:color="auto"/>
              <w:bottom w:val="single" w:sz="4" w:space="0" w:color="auto"/>
              <w:right w:val="single" w:sz="4" w:space="0" w:color="auto"/>
            </w:tcBorders>
          </w:tcPr>
          <w:p w14:paraId="11E84359"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p>
        </w:tc>
        <w:tc>
          <w:tcPr>
            <w:tcW w:w="1212" w:type="pct"/>
            <w:tcBorders>
              <w:top w:val="single" w:sz="4" w:space="0" w:color="auto"/>
              <w:left w:val="single" w:sz="4" w:space="0" w:color="auto"/>
              <w:bottom w:val="single" w:sz="4" w:space="0" w:color="auto"/>
              <w:right w:val="single" w:sz="4" w:space="0" w:color="auto"/>
            </w:tcBorders>
            <w:shd w:val="clear" w:color="auto" w:fill="auto"/>
            <w:vAlign w:val="bottom"/>
          </w:tcPr>
          <w:p w14:paraId="166C62E9"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Project Description</w:t>
            </w:r>
          </w:p>
        </w:tc>
        <w:tc>
          <w:tcPr>
            <w:tcW w:w="1382" w:type="pct"/>
            <w:tcBorders>
              <w:top w:val="single" w:sz="4" w:space="0" w:color="auto"/>
              <w:left w:val="nil"/>
              <w:bottom w:val="single" w:sz="4" w:space="0" w:color="auto"/>
              <w:right w:val="single" w:sz="4" w:space="0" w:color="auto"/>
            </w:tcBorders>
            <w:shd w:val="clear" w:color="auto" w:fill="auto"/>
            <w:vAlign w:val="bottom"/>
          </w:tcPr>
          <w:p w14:paraId="571B3340"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Total hectare covered</w:t>
            </w:r>
          </w:p>
        </w:tc>
        <w:tc>
          <w:tcPr>
            <w:tcW w:w="1599" w:type="pct"/>
            <w:tcBorders>
              <w:top w:val="single" w:sz="4" w:space="0" w:color="auto"/>
              <w:left w:val="nil"/>
              <w:bottom w:val="single" w:sz="4" w:space="0" w:color="auto"/>
              <w:right w:val="single" w:sz="4" w:space="0" w:color="auto"/>
            </w:tcBorders>
          </w:tcPr>
          <w:p w14:paraId="4989F757"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Number of Farmers</w:t>
            </w:r>
          </w:p>
        </w:tc>
        <w:tc>
          <w:tcPr>
            <w:tcW w:w="638" w:type="pct"/>
            <w:tcBorders>
              <w:top w:val="single" w:sz="4" w:space="0" w:color="auto"/>
              <w:left w:val="nil"/>
              <w:bottom w:val="single" w:sz="4" w:space="0" w:color="auto"/>
              <w:right w:val="single" w:sz="4" w:space="0" w:color="auto"/>
            </w:tcBorders>
          </w:tcPr>
          <w:p w14:paraId="4CE29D52" w14:textId="77777777" w:rsidR="00245464" w:rsidRPr="00191ACB" w:rsidRDefault="00245464" w:rsidP="00E24A3E">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Status</w:t>
            </w:r>
          </w:p>
        </w:tc>
      </w:tr>
      <w:tr w:rsidR="00245464" w:rsidRPr="00191ACB" w14:paraId="2FCD891D" w14:textId="77777777" w:rsidTr="00D326BE">
        <w:trPr>
          <w:trHeight w:val="263"/>
        </w:trPr>
        <w:tc>
          <w:tcPr>
            <w:tcW w:w="169" w:type="pct"/>
            <w:tcBorders>
              <w:top w:val="nil"/>
              <w:left w:val="single" w:sz="4" w:space="0" w:color="auto"/>
              <w:bottom w:val="single" w:sz="4" w:space="0" w:color="auto"/>
              <w:right w:val="single" w:sz="4" w:space="0" w:color="auto"/>
            </w:tcBorders>
          </w:tcPr>
          <w:p w14:paraId="7DAAEA05" w14:textId="77777777" w:rsidR="00245464" w:rsidRPr="00191ACB" w:rsidRDefault="00245464" w:rsidP="005E626A">
            <w:pPr>
              <w:spacing w:after="12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w:t>
            </w:r>
          </w:p>
        </w:tc>
        <w:tc>
          <w:tcPr>
            <w:tcW w:w="1212" w:type="pct"/>
            <w:tcBorders>
              <w:top w:val="single" w:sz="4" w:space="0" w:color="auto"/>
              <w:left w:val="single" w:sz="4" w:space="0" w:color="auto"/>
              <w:bottom w:val="single" w:sz="4" w:space="0" w:color="auto"/>
              <w:right w:val="single" w:sz="4" w:space="0" w:color="auto"/>
            </w:tcBorders>
            <w:shd w:val="clear" w:color="auto" w:fill="auto"/>
            <w:vAlign w:val="bottom"/>
          </w:tcPr>
          <w:p w14:paraId="20E0B0CA"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Sustainable Agriculture NAMA</w:t>
            </w:r>
          </w:p>
        </w:tc>
        <w:tc>
          <w:tcPr>
            <w:tcW w:w="1382" w:type="pct"/>
            <w:tcBorders>
              <w:top w:val="nil"/>
              <w:left w:val="nil"/>
              <w:bottom w:val="single" w:sz="4" w:space="0" w:color="auto"/>
              <w:right w:val="single" w:sz="4" w:space="0" w:color="auto"/>
            </w:tcBorders>
            <w:shd w:val="clear" w:color="auto" w:fill="auto"/>
            <w:vAlign w:val="bottom"/>
          </w:tcPr>
          <w:p w14:paraId="66EAE94E"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bCs/>
                <w:color w:val="000000" w:themeColor="text1"/>
                <w:sz w:val="24"/>
                <w:szCs w:val="24"/>
              </w:rPr>
              <w:t>1,000,000 by 2020; and 1,500,000 by 2030</w:t>
            </w:r>
          </w:p>
        </w:tc>
        <w:tc>
          <w:tcPr>
            <w:tcW w:w="1599" w:type="pct"/>
            <w:tcBorders>
              <w:top w:val="nil"/>
              <w:left w:val="nil"/>
              <w:bottom w:val="single" w:sz="4" w:space="0" w:color="auto"/>
              <w:right w:val="single" w:sz="4" w:space="0" w:color="auto"/>
            </w:tcBorders>
          </w:tcPr>
          <w:p w14:paraId="5D0550D1"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bCs/>
                <w:color w:val="000000" w:themeColor="text1"/>
                <w:sz w:val="24"/>
                <w:szCs w:val="24"/>
              </w:rPr>
              <w:t xml:space="preserve">500,000 small scale farmers by 2020 and 750,000 by2030 </w:t>
            </w:r>
          </w:p>
        </w:tc>
        <w:tc>
          <w:tcPr>
            <w:tcW w:w="638" w:type="pct"/>
            <w:tcBorders>
              <w:top w:val="nil"/>
              <w:left w:val="nil"/>
              <w:bottom w:val="single" w:sz="4" w:space="0" w:color="auto"/>
              <w:right w:val="single" w:sz="4" w:space="0" w:color="auto"/>
            </w:tcBorders>
          </w:tcPr>
          <w:p w14:paraId="2FFA48F4"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Planned</w:t>
            </w:r>
          </w:p>
        </w:tc>
      </w:tr>
      <w:tr w:rsidR="00245464" w:rsidRPr="00191ACB" w14:paraId="50F5DCD7" w14:textId="77777777" w:rsidTr="00D326BE">
        <w:trPr>
          <w:trHeight w:val="455"/>
        </w:trPr>
        <w:tc>
          <w:tcPr>
            <w:tcW w:w="169" w:type="pct"/>
            <w:tcBorders>
              <w:top w:val="nil"/>
              <w:left w:val="single" w:sz="4" w:space="0" w:color="auto"/>
              <w:bottom w:val="single" w:sz="4" w:space="0" w:color="auto"/>
              <w:right w:val="single" w:sz="4" w:space="0" w:color="auto"/>
            </w:tcBorders>
          </w:tcPr>
          <w:p w14:paraId="7B11FA85"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w:t>
            </w:r>
          </w:p>
        </w:tc>
        <w:tc>
          <w:tcPr>
            <w:tcW w:w="1212" w:type="pct"/>
            <w:tcBorders>
              <w:top w:val="nil"/>
              <w:left w:val="single" w:sz="4" w:space="0" w:color="auto"/>
              <w:bottom w:val="single" w:sz="4" w:space="0" w:color="auto"/>
              <w:right w:val="single" w:sz="4" w:space="0" w:color="auto"/>
            </w:tcBorders>
            <w:shd w:val="clear" w:color="auto" w:fill="auto"/>
            <w:noWrap/>
            <w:vAlign w:val="bottom"/>
            <w:hideMark/>
          </w:tcPr>
          <w:p w14:paraId="7BC4AA1D"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Conservation Agriculture Scaling Up Project (CASU)</w:t>
            </w:r>
          </w:p>
        </w:tc>
        <w:tc>
          <w:tcPr>
            <w:tcW w:w="1382" w:type="pct"/>
            <w:tcBorders>
              <w:top w:val="nil"/>
              <w:left w:val="nil"/>
              <w:bottom w:val="single" w:sz="4" w:space="0" w:color="auto"/>
              <w:right w:val="single" w:sz="4" w:space="0" w:color="auto"/>
            </w:tcBorders>
            <w:shd w:val="clear" w:color="auto" w:fill="auto"/>
            <w:noWrap/>
            <w:vAlign w:val="bottom"/>
          </w:tcPr>
          <w:p w14:paraId="42BF06A8"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260, 000</w:t>
            </w:r>
          </w:p>
        </w:tc>
        <w:tc>
          <w:tcPr>
            <w:tcW w:w="1599" w:type="pct"/>
            <w:tcBorders>
              <w:top w:val="nil"/>
              <w:left w:val="nil"/>
              <w:bottom w:val="single" w:sz="4" w:space="0" w:color="auto"/>
              <w:right w:val="single" w:sz="4" w:space="0" w:color="auto"/>
            </w:tcBorders>
          </w:tcPr>
          <w:p w14:paraId="356F3911"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By 2015, 19 500 Lead Farmers and 207 000 Follow farmers registered under the CASU project</w:t>
            </w:r>
          </w:p>
        </w:tc>
        <w:tc>
          <w:tcPr>
            <w:tcW w:w="638" w:type="pct"/>
            <w:tcBorders>
              <w:top w:val="nil"/>
              <w:left w:val="nil"/>
              <w:bottom w:val="single" w:sz="4" w:space="0" w:color="auto"/>
              <w:right w:val="single" w:sz="4" w:space="0" w:color="auto"/>
            </w:tcBorders>
          </w:tcPr>
          <w:p w14:paraId="06ED1972" w14:textId="77777777" w:rsidR="00245464" w:rsidRPr="00191ACB" w:rsidRDefault="00245464" w:rsidP="005E626A">
            <w:pPr>
              <w:spacing w:after="12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Completed</w:t>
            </w:r>
          </w:p>
        </w:tc>
      </w:tr>
    </w:tbl>
    <w:p w14:paraId="03260751" w14:textId="77777777" w:rsidR="00245464" w:rsidRPr="00191ACB" w:rsidRDefault="00245464" w:rsidP="005E626A">
      <w:pPr>
        <w:spacing w:after="120" w:line="240" w:lineRule="auto"/>
        <w:contextualSpacing/>
        <w:jc w:val="both"/>
        <w:rPr>
          <w:rFonts w:ascii="Times New Roman" w:hAnsi="Times New Roman" w:cs="Times New Roman"/>
          <w:color w:val="000000" w:themeColor="text1"/>
          <w:sz w:val="24"/>
          <w:szCs w:val="24"/>
        </w:rPr>
      </w:pPr>
    </w:p>
    <w:p w14:paraId="64F34E6B" w14:textId="7848D461" w:rsidR="00245464" w:rsidRPr="00191ACB" w:rsidRDefault="00245464" w:rsidP="000C4FCD">
      <w:pPr>
        <w:spacing w:after="120" w:line="276" w:lineRule="auto"/>
        <w:jc w:val="both"/>
        <w:rPr>
          <w:rFonts w:ascii="Times New Roman" w:eastAsia="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t xml:space="preserve">The USAID in Zambia is providing support on research on how legumes can help improve soil fertility and a number of projects were funded under this partnership in collaboration with COMACO. </w:t>
      </w:r>
      <w:r w:rsidRPr="00191ACB">
        <w:rPr>
          <w:rFonts w:ascii="Times New Roman" w:eastAsia="Times New Roman" w:hAnsi="Times New Roman" w:cs="Times New Roman"/>
          <w:color w:val="000000" w:themeColor="text1"/>
          <w:sz w:val="24"/>
          <w:szCs w:val="24"/>
        </w:rPr>
        <w:t xml:space="preserve">There are also other measures being implemented to foster reduction in GHG emissions such as efficient fertilisers developed by University of Zambia which could contribute to reducing emissions from fertiliser use.  </w:t>
      </w:r>
    </w:p>
    <w:p w14:paraId="1D087AA3" w14:textId="77777777" w:rsidR="007248A2" w:rsidRPr="00191ACB" w:rsidRDefault="007248A2" w:rsidP="005E626A">
      <w:pPr>
        <w:spacing w:after="120" w:line="240" w:lineRule="auto"/>
        <w:contextualSpacing/>
        <w:jc w:val="both"/>
        <w:rPr>
          <w:rFonts w:ascii="Times New Roman" w:eastAsia="Times New Roman" w:hAnsi="Times New Roman" w:cs="Times New Roman"/>
          <w:color w:val="000000" w:themeColor="text1"/>
          <w:sz w:val="24"/>
          <w:szCs w:val="24"/>
        </w:rPr>
      </w:pPr>
    </w:p>
    <w:p w14:paraId="570981AD" w14:textId="71E0F137" w:rsidR="00245464" w:rsidRPr="00191ACB" w:rsidRDefault="00A13A2D" w:rsidP="00A13A2D">
      <w:pPr>
        <w:pStyle w:val="Caption"/>
        <w:rPr>
          <w:rFonts w:eastAsia="Calibri"/>
          <w:color w:val="000000" w:themeColor="text1"/>
          <w:sz w:val="24"/>
          <w:szCs w:val="24"/>
        </w:rPr>
      </w:pPr>
      <w:bookmarkStart w:id="443" w:name="_Toc56583820"/>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44</w:t>
      </w:r>
      <w:r w:rsidR="00875942">
        <w:rPr>
          <w:sz w:val="24"/>
          <w:szCs w:val="24"/>
        </w:rPr>
        <w:fldChar w:fldCharType="end"/>
      </w:r>
      <w:r w:rsidRPr="00191ACB">
        <w:rPr>
          <w:sz w:val="24"/>
          <w:szCs w:val="24"/>
        </w:rPr>
        <w:t>: Mitigation action for agriculture</w:t>
      </w:r>
      <w:bookmarkEnd w:id="443"/>
    </w:p>
    <w:tbl>
      <w:tblPr>
        <w:tblStyle w:val="GridTable4-Accent11"/>
        <w:tblW w:w="5006" w:type="pct"/>
        <w:tblLayout w:type="fixed"/>
        <w:tblLook w:val="04A0" w:firstRow="1" w:lastRow="0" w:firstColumn="1" w:lastColumn="0" w:noHBand="0" w:noVBand="1"/>
      </w:tblPr>
      <w:tblGrid>
        <w:gridCol w:w="948"/>
        <w:gridCol w:w="1176"/>
        <w:gridCol w:w="1418"/>
        <w:gridCol w:w="1277"/>
        <w:gridCol w:w="1301"/>
        <w:gridCol w:w="1082"/>
        <w:gridCol w:w="1162"/>
        <w:gridCol w:w="1387"/>
      </w:tblGrid>
      <w:tr w:rsidR="00D326BE" w:rsidRPr="00191ACB" w14:paraId="3CFA4E33" w14:textId="77777777" w:rsidTr="00D326BE">
        <w:trPr>
          <w:cnfStyle w:val="100000000000" w:firstRow="1" w:lastRow="0" w:firstColumn="0" w:lastColumn="0" w:oddVBand="0" w:evenVBand="0" w:oddHBand="0"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486" w:type="pct"/>
          </w:tcPr>
          <w:p w14:paraId="22C0A0B1"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603" w:type="pct"/>
          </w:tcPr>
          <w:p w14:paraId="52E16DC8"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727" w:type="pct"/>
          </w:tcPr>
          <w:p w14:paraId="2D3D7670"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655" w:type="pct"/>
          </w:tcPr>
          <w:p w14:paraId="29F565EE"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667" w:type="pct"/>
          </w:tcPr>
          <w:p w14:paraId="46541AA0"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tc>
        <w:tc>
          <w:tcPr>
            <w:tcW w:w="555" w:type="pct"/>
          </w:tcPr>
          <w:p w14:paraId="238E4AB0"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596" w:type="pct"/>
          </w:tcPr>
          <w:p w14:paraId="24D3FE4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val="x-none" w:eastAsia="x-none"/>
              </w:rPr>
              <w:t xml:space="preserve">Estimated emission reduction </w:t>
            </w:r>
            <w:r w:rsidRPr="00191ACB">
              <w:rPr>
                <w:rFonts w:ascii="Times New Roman" w:hAnsi="Times New Roman"/>
                <w:color w:val="000000" w:themeColor="text1"/>
                <w:sz w:val="24"/>
                <w:szCs w:val="24"/>
                <w:lang w:eastAsia="x-none"/>
              </w:rPr>
              <w:t>cumulative by 2050 Gg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vertAlign w:val="subscript"/>
                <w:lang w:eastAsia="x-none"/>
              </w:rPr>
              <w:t>eq</w:t>
            </w:r>
          </w:p>
        </w:tc>
        <w:tc>
          <w:tcPr>
            <w:tcW w:w="713" w:type="pct"/>
          </w:tcPr>
          <w:p w14:paraId="73CDE5EB"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nternational market mechanisms</w:t>
            </w:r>
          </w:p>
        </w:tc>
      </w:tr>
      <w:tr w:rsidR="00D326BE" w:rsidRPr="00191ACB" w14:paraId="7A252271" w14:textId="77777777" w:rsidTr="00D326BE">
        <w:trPr>
          <w:cnfStyle w:val="000000100000" w:firstRow="0" w:lastRow="0" w:firstColumn="0" w:lastColumn="0" w:oddVBand="0" w:evenVBand="0" w:oddHBand="1" w:evenHBand="0" w:firstRowFirstColumn="0" w:firstRowLastColumn="0" w:lastRowFirstColumn="0" w:lastRowLastColumn="0"/>
          <w:trHeight w:val="1835"/>
        </w:trPr>
        <w:tc>
          <w:tcPr>
            <w:cnfStyle w:val="001000000000" w:firstRow="0" w:lastRow="0" w:firstColumn="1" w:lastColumn="0" w:oddVBand="0" w:evenVBand="0" w:oddHBand="0" w:evenHBand="0" w:firstRowFirstColumn="0" w:firstRowLastColumn="0" w:lastRowFirstColumn="0" w:lastRowLastColumn="0"/>
            <w:tcW w:w="486" w:type="pct"/>
          </w:tcPr>
          <w:p w14:paraId="6996CEAB" w14:textId="45982178"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conservation -agriculture</w:t>
            </w:r>
          </w:p>
        </w:tc>
        <w:tc>
          <w:tcPr>
            <w:tcW w:w="603" w:type="pct"/>
          </w:tcPr>
          <w:p w14:paraId="598375A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Country wide- building on agriculture scaling up project </w:t>
            </w:r>
          </w:p>
        </w:tc>
        <w:tc>
          <w:tcPr>
            <w:tcW w:w="727" w:type="pct"/>
          </w:tcPr>
          <w:p w14:paraId="234540F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Algorithms are provided in Equations 26 and 27</w:t>
            </w:r>
          </w:p>
        </w:tc>
        <w:tc>
          <w:tcPr>
            <w:tcW w:w="655" w:type="pct"/>
          </w:tcPr>
          <w:p w14:paraId="32DB0207" w14:textId="77777777" w:rsidR="00245464" w:rsidRPr="00191ACB" w:rsidRDefault="00245464" w:rsidP="00F664C5">
            <w:pPr>
              <w:numPr>
                <w:ilvl w:val="0"/>
                <w:numId w:val="6"/>
              </w:numPr>
              <w:contextual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Adoption rates</w:t>
            </w:r>
          </w:p>
          <w:p w14:paraId="16E99166" w14:textId="77777777" w:rsidR="00245464" w:rsidRPr="00191ACB" w:rsidRDefault="00245464" w:rsidP="00F664C5">
            <w:pPr>
              <w:numPr>
                <w:ilvl w:val="0"/>
                <w:numId w:val="6"/>
              </w:numPr>
              <w:contextual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Hectares under conservation farming</w:t>
            </w:r>
          </w:p>
        </w:tc>
        <w:tc>
          <w:tcPr>
            <w:tcW w:w="667" w:type="pct"/>
          </w:tcPr>
          <w:p w14:paraId="197BBB24"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rPr>
              <w:t>scale up conservation agriculture in 31 districts of Zambia in order to increase productivity and production of crops for food security and income generation</w:t>
            </w:r>
          </w:p>
        </w:tc>
        <w:tc>
          <w:tcPr>
            <w:tcW w:w="555" w:type="pct"/>
          </w:tcPr>
          <w:p w14:paraId="3AC719B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Ongoing</w:t>
            </w:r>
          </w:p>
        </w:tc>
        <w:tc>
          <w:tcPr>
            <w:tcW w:w="596" w:type="pct"/>
          </w:tcPr>
          <w:p w14:paraId="033144F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2505.1</w:t>
            </w:r>
          </w:p>
        </w:tc>
        <w:tc>
          <w:tcPr>
            <w:tcW w:w="713" w:type="pct"/>
          </w:tcPr>
          <w:p w14:paraId="142F6AE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No carbon trading under the project</w:t>
            </w:r>
          </w:p>
        </w:tc>
      </w:tr>
    </w:tbl>
    <w:p w14:paraId="7DA749ED"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p>
    <w:p w14:paraId="15CBF320" w14:textId="77777777" w:rsidR="00245464" w:rsidRPr="00191ACB" w:rsidRDefault="00245464" w:rsidP="005E626A">
      <w:pPr>
        <w:spacing w:after="120" w:line="240" w:lineRule="auto"/>
        <w:jc w:val="both"/>
        <w:rPr>
          <w:rFonts w:ascii="Times New Roman" w:eastAsia="Calibri" w:hAnsi="Times New Roman" w:cs="Times New Roman"/>
          <w:color w:val="000000" w:themeColor="text1"/>
          <w:sz w:val="24"/>
          <w:szCs w:val="24"/>
        </w:rPr>
      </w:pPr>
    </w:p>
    <w:p w14:paraId="4C3AC700" w14:textId="0EF459FD" w:rsidR="00245464" w:rsidRPr="001605E3" w:rsidRDefault="00245464" w:rsidP="00D21C5B">
      <w:pPr>
        <w:pStyle w:val="Heading5"/>
        <w:numPr>
          <w:ilvl w:val="4"/>
          <w:numId w:val="36"/>
        </w:numPr>
        <w:ind w:left="993" w:hanging="993"/>
        <w:rPr>
          <w:rFonts w:cs="Times New Roman"/>
          <w:szCs w:val="24"/>
        </w:rPr>
      </w:pPr>
      <w:bookmarkStart w:id="444" w:name="_Toc26264954"/>
      <w:r w:rsidRPr="001605E3">
        <w:rPr>
          <w:rFonts w:cs="Times New Roman"/>
          <w:szCs w:val="24"/>
        </w:rPr>
        <w:lastRenderedPageBreak/>
        <w:t>Forestry and Other Land Use</w:t>
      </w:r>
      <w:bookmarkEnd w:id="444"/>
      <w:r w:rsidRPr="001605E3">
        <w:rPr>
          <w:rFonts w:cs="Times New Roman"/>
          <w:szCs w:val="24"/>
        </w:rPr>
        <w:t xml:space="preserve"> </w:t>
      </w:r>
    </w:p>
    <w:p w14:paraId="05F12392" w14:textId="1E04AA77" w:rsidR="00245464" w:rsidRPr="00191ACB" w:rsidRDefault="00245464" w:rsidP="000C4FCD">
      <w:pPr>
        <w:spacing w:after="120" w:line="276" w:lineRule="auto"/>
        <w:jc w:val="both"/>
        <w:rPr>
          <w:rFonts w:ascii="Times New Roman" w:eastAsia="Calibri" w:hAnsi="Times New Roman" w:cs="Times New Roman"/>
          <w:color w:val="000000" w:themeColor="text1"/>
          <w:sz w:val="24"/>
          <w:szCs w:val="24"/>
        </w:rPr>
        <w:sectPr w:rsidR="00245464" w:rsidRPr="00191ACB" w:rsidSect="00D326BE">
          <w:pgSz w:w="11909" w:h="16834" w:code="9"/>
          <w:pgMar w:top="862" w:right="720" w:bottom="862" w:left="1440" w:header="720" w:footer="720" w:gutter="0"/>
          <w:cols w:space="720"/>
          <w:docGrid w:linePitch="360"/>
        </w:sectPr>
      </w:pPr>
      <w:r w:rsidRPr="00191ACB">
        <w:rPr>
          <w:rFonts w:ascii="Times New Roman" w:eastAsia="Calibri" w:hAnsi="Times New Roman" w:cs="Times New Roman"/>
          <w:color w:val="000000" w:themeColor="text1"/>
          <w:sz w:val="24"/>
          <w:szCs w:val="24"/>
        </w:rPr>
        <w:t>The mitigation actions in the forest sector are those arising from recently completed, planned and ongoing initiatives with potential to contribute to emission reduction</w:t>
      </w:r>
      <w:r w:rsidR="007248A2" w:rsidRPr="00191ACB">
        <w:rPr>
          <w:rFonts w:ascii="Times New Roman" w:eastAsia="Calibri" w:hAnsi="Times New Roman" w:cs="Times New Roman"/>
          <w:color w:val="000000" w:themeColor="text1"/>
          <w:sz w:val="24"/>
          <w:szCs w:val="24"/>
        </w:rPr>
        <w:t>s</w:t>
      </w:r>
      <w:r w:rsidRPr="00191ACB">
        <w:rPr>
          <w:rFonts w:ascii="Times New Roman" w:eastAsia="Calibri" w:hAnsi="Times New Roman" w:cs="Times New Roman"/>
          <w:color w:val="000000" w:themeColor="text1"/>
          <w:sz w:val="24"/>
          <w:szCs w:val="24"/>
        </w:rPr>
        <w:t xml:space="preserve"> in the forestry sector in Zambia. One of the potential mitigation project</w:t>
      </w:r>
      <w:r w:rsidR="007248A2" w:rsidRPr="00191ACB">
        <w:rPr>
          <w:rFonts w:ascii="Times New Roman" w:eastAsia="Calibri" w:hAnsi="Times New Roman" w:cs="Times New Roman"/>
          <w:color w:val="000000" w:themeColor="text1"/>
          <w:sz w:val="24"/>
          <w:szCs w:val="24"/>
        </w:rPr>
        <w:t>s</w:t>
      </w:r>
      <w:r w:rsidRPr="00191ACB">
        <w:rPr>
          <w:rFonts w:ascii="Times New Roman" w:eastAsia="Calibri" w:hAnsi="Times New Roman" w:cs="Times New Roman"/>
          <w:color w:val="000000" w:themeColor="text1"/>
          <w:sz w:val="24"/>
          <w:szCs w:val="24"/>
        </w:rPr>
        <w:t xml:space="preserve"> in the forestry sector is the promoting</w:t>
      </w:r>
      <w:r w:rsidRPr="000C4FCD">
        <w:rPr>
          <w:rFonts w:ascii="Times New Roman" w:eastAsia="Calibri" w:hAnsi="Times New Roman" w:cs="Times New Roman"/>
          <w:color w:val="000000" w:themeColor="text1"/>
          <w:sz w:val="24"/>
          <w:szCs w:val="24"/>
        </w:rPr>
        <w:t xml:space="preserve"> climate resilient community-based regeneration in Zambia’s Central province (piloting in Serenje and Chitambo) being implemented by</w:t>
      </w:r>
      <w:r w:rsidRPr="00191ACB">
        <w:rPr>
          <w:rFonts w:ascii="Times New Roman" w:eastAsia="Calibri" w:hAnsi="Times New Roman" w:cs="Times New Roman"/>
          <w:color w:val="000000" w:themeColor="text1"/>
          <w:sz w:val="24"/>
          <w:szCs w:val="24"/>
        </w:rPr>
        <w:t xml:space="preserve"> Forestry Department</w:t>
      </w:r>
      <w:r w:rsidRPr="000C4FCD">
        <w:rPr>
          <w:rFonts w:ascii="Times New Roman" w:eastAsia="Calibri" w:hAnsi="Times New Roman" w:cs="Times New Roman"/>
          <w:color w:val="000000" w:themeColor="text1"/>
          <w:sz w:val="24"/>
          <w:szCs w:val="24"/>
        </w:rPr>
        <w:t xml:space="preserve">. The project has three focal areas namely: assisted natural regeneration, fire management and alternative efficient energy technologies. For assisted natural regeneration the target of is to cover 15,000 hectares of Muyombo. As regards fire management, Forestry Department is working with ZEMA in conducting community awareness on fires and training of District staff on satellite imaging and monitoring fire break out.  In case of, alternative efficient energy technologies, Department of Energy is spearheading the process by providing training to communities in making fixed mud stoves (improved mbaula) and production of Briquettes.  </w:t>
      </w:r>
      <w:r w:rsidRPr="00191ACB">
        <w:rPr>
          <w:rFonts w:ascii="Times New Roman" w:eastAsia="Calibri" w:hAnsi="Times New Roman" w:cs="Times New Roman"/>
          <w:color w:val="000000" w:themeColor="text1"/>
          <w:sz w:val="24"/>
          <w:szCs w:val="24"/>
        </w:rPr>
        <w:t>Mitigation in the forestry sector will result in an annual emissions reduction of 71.5 Gg CO</w:t>
      </w:r>
      <w:r w:rsidRPr="000C4FCD">
        <w:rPr>
          <w:rFonts w:ascii="Times New Roman" w:eastAsia="Calibri" w:hAnsi="Times New Roman" w:cs="Times New Roman"/>
          <w:color w:val="000000" w:themeColor="text1"/>
          <w:sz w:val="24"/>
          <w:szCs w:val="24"/>
        </w:rPr>
        <w:t xml:space="preserve">2 eq. </w:t>
      </w:r>
      <w:r w:rsidRPr="00191ACB">
        <w:rPr>
          <w:rFonts w:ascii="Times New Roman" w:eastAsia="Calibri" w:hAnsi="Times New Roman" w:cs="Times New Roman"/>
          <w:color w:val="000000" w:themeColor="text1"/>
          <w:sz w:val="24"/>
          <w:szCs w:val="24"/>
        </w:rPr>
        <w:t xml:space="preserve">(Table </w:t>
      </w:r>
      <w:r w:rsidR="00F11900" w:rsidRPr="00191ACB">
        <w:rPr>
          <w:rFonts w:ascii="Times New Roman" w:eastAsia="Calibri" w:hAnsi="Times New Roman" w:cs="Times New Roman"/>
          <w:color w:val="000000" w:themeColor="text1"/>
          <w:sz w:val="24"/>
          <w:szCs w:val="24"/>
        </w:rPr>
        <w:t>4.45</w:t>
      </w:r>
      <w:r w:rsidRPr="00191ACB">
        <w:rPr>
          <w:rFonts w:ascii="Times New Roman" w:eastAsia="Calibri" w:hAnsi="Times New Roman" w:cs="Times New Roman"/>
          <w:color w:val="000000" w:themeColor="text1"/>
          <w:sz w:val="24"/>
          <w:szCs w:val="24"/>
        </w:rPr>
        <w:t xml:space="preserve">). </w:t>
      </w:r>
    </w:p>
    <w:p w14:paraId="0EEE3FFB" w14:textId="6D478C26" w:rsidR="00245464" w:rsidRPr="00191ACB" w:rsidRDefault="00A13A2D" w:rsidP="00A13A2D">
      <w:pPr>
        <w:pStyle w:val="Caption"/>
        <w:rPr>
          <w:rFonts w:eastAsia="Calibri"/>
          <w:color w:val="000000" w:themeColor="text1"/>
          <w:sz w:val="24"/>
          <w:szCs w:val="24"/>
        </w:rPr>
      </w:pPr>
      <w:bookmarkStart w:id="445" w:name="_Toc56583821"/>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45</w:t>
      </w:r>
      <w:r w:rsidR="00875942">
        <w:rPr>
          <w:sz w:val="24"/>
          <w:szCs w:val="24"/>
        </w:rPr>
        <w:fldChar w:fldCharType="end"/>
      </w:r>
      <w:r w:rsidRPr="00191ACB">
        <w:rPr>
          <w:sz w:val="24"/>
          <w:szCs w:val="24"/>
        </w:rPr>
        <w:t>:Projected emissions reduction for forestry under for AFOLU (Gg CO2 eq.)</w:t>
      </w:r>
      <w:bookmarkEnd w:id="445"/>
    </w:p>
    <w:tbl>
      <w:tblPr>
        <w:tblW w:w="4991" w:type="pct"/>
        <w:tblLayout w:type="fixed"/>
        <w:tblLook w:val="04A0" w:firstRow="1" w:lastRow="0" w:firstColumn="1" w:lastColumn="0" w:noHBand="0" w:noVBand="1"/>
      </w:tblPr>
      <w:tblGrid>
        <w:gridCol w:w="3372"/>
        <w:gridCol w:w="730"/>
        <w:gridCol w:w="715"/>
        <w:gridCol w:w="688"/>
        <w:gridCol w:w="688"/>
        <w:gridCol w:w="690"/>
        <w:gridCol w:w="774"/>
        <w:gridCol w:w="688"/>
        <w:gridCol w:w="688"/>
        <w:gridCol w:w="688"/>
      </w:tblGrid>
      <w:tr w:rsidR="00245464" w:rsidRPr="001605E3" w14:paraId="35F095CF" w14:textId="77777777" w:rsidTr="00A91A48">
        <w:trPr>
          <w:trHeight w:val="278"/>
        </w:trPr>
        <w:tc>
          <w:tcPr>
            <w:tcW w:w="1734"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192C8A" w14:textId="77777777" w:rsidR="00245464" w:rsidRPr="001605E3" w:rsidRDefault="00245464" w:rsidP="00245464">
            <w:pPr>
              <w:spacing w:after="0" w:line="240" w:lineRule="auto"/>
              <w:rPr>
                <w:rFonts w:ascii="Times New Roman" w:eastAsia="Calibri" w:hAnsi="Times New Roman" w:cs="Times New Roman"/>
                <w:color w:val="000000" w:themeColor="text1"/>
                <w:sz w:val="20"/>
                <w:szCs w:val="20"/>
              </w:rPr>
            </w:pPr>
          </w:p>
        </w:tc>
        <w:tc>
          <w:tcPr>
            <w:tcW w:w="375" w:type="pct"/>
            <w:tcBorders>
              <w:top w:val="single" w:sz="4" w:space="0" w:color="auto"/>
              <w:left w:val="nil"/>
              <w:bottom w:val="single" w:sz="4" w:space="0" w:color="auto"/>
              <w:right w:val="single" w:sz="4" w:space="0" w:color="auto"/>
            </w:tcBorders>
            <w:shd w:val="clear" w:color="auto" w:fill="auto"/>
            <w:noWrap/>
            <w:vAlign w:val="bottom"/>
          </w:tcPr>
          <w:p w14:paraId="11CE985B" w14:textId="77777777" w:rsidR="00245464" w:rsidRPr="001605E3" w:rsidRDefault="00245464" w:rsidP="00245464">
            <w:pPr>
              <w:spacing w:after="0" w:line="240" w:lineRule="auto"/>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2010</w:t>
            </w:r>
          </w:p>
        </w:tc>
        <w:tc>
          <w:tcPr>
            <w:tcW w:w="368" w:type="pct"/>
            <w:tcBorders>
              <w:top w:val="single" w:sz="4" w:space="0" w:color="auto"/>
              <w:left w:val="nil"/>
              <w:bottom w:val="single" w:sz="4" w:space="0" w:color="auto"/>
              <w:right w:val="single" w:sz="4" w:space="0" w:color="auto"/>
            </w:tcBorders>
            <w:shd w:val="clear" w:color="auto" w:fill="auto"/>
            <w:noWrap/>
            <w:vAlign w:val="bottom"/>
          </w:tcPr>
          <w:p w14:paraId="3DB795F4" w14:textId="77777777" w:rsidR="00245464" w:rsidRPr="001605E3" w:rsidRDefault="00245464" w:rsidP="00245464">
            <w:pPr>
              <w:spacing w:after="0" w:line="240" w:lineRule="auto"/>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2015</w:t>
            </w:r>
          </w:p>
        </w:tc>
        <w:tc>
          <w:tcPr>
            <w:tcW w:w="354" w:type="pct"/>
            <w:tcBorders>
              <w:top w:val="single" w:sz="4" w:space="0" w:color="auto"/>
              <w:left w:val="nil"/>
              <w:bottom w:val="single" w:sz="4" w:space="0" w:color="auto"/>
              <w:right w:val="single" w:sz="4" w:space="0" w:color="auto"/>
            </w:tcBorders>
            <w:shd w:val="clear" w:color="auto" w:fill="auto"/>
            <w:noWrap/>
            <w:vAlign w:val="bottom"/>
          </w:tcPr>
          <w:p w14:paraId="470082A3" w14:textId="77777777" w:rsidR="00245464" w:rsidRPr="001605E3" w:rsidRDefault="00245464" w:rsidP="00245464">
            <w:pPr>
              <w:spacing w:after="0" w:line="240" w:lineRule="auto"/>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2020</w:t>
            </w:r>
          </w:p>
        </w:tc>
        <w:tc>
          <w:tcPr>
            <w:tcW w:w="354" w:type="pct"/>
            <w:tcBorders>
              <w:top w:val="single" w:sz="4" w:space="0" w:color="auto"/>
              <w:left w:val="nil"/>
              <w:bottom w:val="single" w:sz="4" w:space="0" w:color="auto"/>
              <w:right w:val="single" w:sz="4" w:space="0" w:color="auto"/>
            </w:tcBorders>
            <w:shd w:val="clear" w:color="auto" w:fill="auto"/>
            <w:noWrap/>
            <w:vAlign w:val="bottom"/>
          </w:tcPr>
          <w:p w14:paraId="79A08E9D" w14:textId="77777777" w:rsidR="00245464" w:rsidRPr="001605E3" w:rsidRDefault="00245464" w:rsidP="00245464">
            <w:pPr>
              <w:spacing w:after="0" w:line="240" w:lineRule="auto"/>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2025</w:t>
            </w:r>
          </w:p>
        </w:tc>
        <w:tc>
          <w:tcPr>
            <w:tcW w:w="355" w:type="pct"/>
            <w:tcBorders>
              <w:top w:val="single" w:sz="4" w:space="0" w:color="auto"/>
              <w:left w:val="nil"/>
              <w:bottom w:val="single" w:sz="4" w:space="0" w:color="auto"/>
              <w:right w:val="single" w:sz="4" w:space="0" w:color="auto"/>
            </w:tcBorders>
            <w:shd w:val="clear" w:color="auto" w:fill="auto"/>
            <w:noWrap/>
            <w:vAlign w:val="bottom"/>
          </w:tcPr>
          <w:p w14:paraId="1F8C105A" w14:textId="77777777" w:rsidR="00245464" w:rsidRPr="001605E3" w:rsidRDefault="00245464" w:rsidP="00245464">
            <w:pPr>
              <w:spacing w:after="0" w:line="240" w:lineRule="auto"/>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2030</w:t>
            </w:r>
          </w:p>
        </w:tc>
        <w:tc>
          <w:tcPr>
            <w:tcW w:w="398" w:type="pct"/>
            <w:tcBorders>
              <w:top w:val="single" w:sz="4" w:space="0" w:color="auto"/>
              <w:left w:val="nil"/>
              <w:bottom w:val="single" w:sz="4" w:space="0" w:color="auto"/>
              <w:right w:val="single" w:sz="4" w:space="0" w:color="auto"/>
            </w:tcBorders>
            <w:shd w:val="clear" w:color="auto" w:fill="auto"/>
            <w:noWrap/>
            <w:vAlign w:val="bottom"/>
          </w:tcPr>
          <w:p w14:paraId="5B5C1526" w14:textId="77777777" w:rsidR="00245464" w:rsidRPr="001605E3" w:rsidRDefault="00245464" w:rsidP="00245464">
            <w:pPr>
              <w:spacing w:after="0" w:line="240" w:lineRule="auto"/>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2035</w:t>
            </w:r>
          </w:p>
        </w:tc>
        <w:tc>
          <w:tcPr>
            <w:tcW w:w="354" w:type="pct"/>
            <w:tcBorders>
              <w:top w:val="single" w:sz="4" w:space="0" w:color="auto"/>
              <w:left w:val="nil"/>
              <w:bottom w:val="single" w:sz="4" w:space="0" w:color="auto"/>
              <w:right w:val="single" w:sz="4" w:space="0" w:color="auto"/>
            </w:tcBorders>
            <w:shd w:val="clear" w:color="auto" w:fill="auto"/>
            <w:noWrap/>
            <w:vAlign w:val="bottom"/>
          </w:tcPr>
          <w:p w14:paraId="76A44571" w14:textId="77777777" w:rsidR="00245464" w:rsidRPr="001605E3" w:rsidRDefault="00245464" w:rsidP="00245464">
            <w:pPr>
              <w:spacing w:after="0" w:line="240" w:lineRule="auto"/>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2040</w:t>
            </w:r>
          </w:p>
        </w:tc>
        <w:tc>
          <w:tcPr>
            <w:tcW w:w="354" w:type="pct"/>
            <w:tcBorders>
              <w:top w:val="single" w:sz="4" w:space="0" w:color="auto"/>
              <w:left w:val="nil"/>
              <w:bottom w:val="single" w:sz="4" w:space="0" w:color="auto"/>
              <w:right w:val="single" w:sz="4" w:space="0" w:color="auto"/>
            </w:tcBorders>
            <w:shd w:val="clear" w:color="auto" w:fill="auto"/>
            <w:noWrap/>
            <w:vAlign w:val="bottom"/>
          </w:tcPr>
          <w:p w14:paraId="1708FCCF" w14:textId="77777777" w:rsidR="00245464" w:rsidRPr="001605E3" w:rsidRDefault="00245464" w:rsidP="00245464">
            <w:pPr>
              <w:spacing w:after="0" w:line="240" w:lineRule="auto"/>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2045</w:t>
            </w:r>
          </w:p>
        </w:tc>
        <w:tc>
          <w:tcPr>
            <w:tcW w:w="354" w:type="pct"/>
            <w:tcBorders>
              <w:top w:val="single" w:sz="4" w:space="0" w:color="auto"/>
              <w:left w:val="nil"/>
              <w:bottom w:val="single" w:sz="4" w:space="0" w:color="auto"/>
              <w:right w:val="single" w:sz="4" w:space="0" w:color="auto"/>
            </w:tcBorders>
            <w:shd w:val="clear" w:color="auto" w:fill="auto"/>
            <w:noWrap/>
            <w:vAlign w:val="bottom"/>
          </w:tcPr>
          <w:p w14:paraId="4ED7554F" w14:textId="77777777" w:rsidR="00245464" w:rsidRPr="001605E3" w:rsidRDefault="00245464" w:rsidP="00245464">
            <w:pPr>
              <w:spacing w:after="0" w:line="240" w:lineRule="auto"/>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2050</w:t>
            </w:r>
          </w:p>
        </w:tc>
      </w:tr>
      <w:tr w:rsidR="00245464" w:rsidRPr="001605E3" w14:paraId="783DD587" w14:textId="77777777" w:rsidTr="00A91A48">
        <w:trPr>
          <w:trHeight w:val="300"/>
        </w:trPr>
        <w:tc>
          <w:tcPr>
            <w:tcW w:w="1734" w:type="pct"/>
            <w:tcBorders>
              <w:top w:val="nil"/>
              <w:left w:val="single" w:sz="4" w:space="0" w:color="auto"/>
              <w:bottom w:val="single" w:sz="4" w:space="0" w:color="auto"/>
              <w:right w:val="single" w:sz="4" w:space="0" w:color="auto"/>
            </w:tcBorders>
            <w:shd w:val="clear" w:color="auto" w:fill="auto"/>
            <w:noWrap/>
            <w:vAlign w:val="bottom"/>
            <w:hideMark/>
          </w:tcPr>
          <w:p w14:paraId="69B0056E"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ZAFFICO</w:t>
            </w:r>
          </w:p>
        </w:tc>
        <w:tc>
          <w:tcPr>
            <w:tcW w:w="375" w:type="pct"/>
            <w:tcBorders>
              <w:top w:val="nil"/>
              <w:left w:val="nil"/>
              <w:bottom w:val="single" w:sz="4" w:space="0" w:color="auto"/>
              <w:right w:val="single" w:sz="4" w:space="0" w:color="auto"/>
            </w:tcBorders>
            <w:shd w:val="clear" w:color="auto" w:fill="auto"/>
            <w:noWrap/>
            <w:vAlign w:val="bottom"/>
            <w:hideMark/>
          </w:tcPr>
          <w:p w14:paraId="20CD47FF"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8" w:type="pct"/>
            <w:tcBorders>
              <w:top w:val="nil"/>
              <w:left w:val="nil"/>
              <w:bottom w:val="single" w:sz="4" w:space="0" w:color="auto"/>
              <w:right w:val="single" w:sz="4" w:space="0" w:color="auto"/>
            </w:tcBorders>
            <w:shd w:val="clear" w:color="auto" w:fill="auto"/>
            <w:noWrap/>
            <w:vAlign w:val="bottom"/>
            <w:hideMark/>
          </w:tcPr>
          <w:p w14:paraId="7E4FBEDA"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33.4</w:t>
            </w:r>
          </w:p>
        </w:tc>
        <w:tc>
          <w:tcPr>
            <w:tcW w:w="354" w:type="pct"/>
            <w:tcBorders>
              <w:top w:val="nil"/>
              <w:left w:val="nil"/>
              <w:bottom w:val="single" w:sz="4" w:space="0" w:color="auto"/>
              <w:right w:val="single" w:sz="4" w:space="0" w:color="auto"/>
            </w:tcBorders>
            <w:shd w:val="clear" w:color="auto" w:fill="auto"/>
            <w:noWrap/>
            <w:vAlign w:val="bottom"/>
            <w:hideMark/>
          </w:tcPr>
          <w:p w14:paraId="54599A65"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33.4</w:t>
            </w:r>
          </w:p>
        </w:tc>
        <w:tc>
          <w:tcPr>
            <w:tcW w:w="354" w:type="pct"/>
            <w:tcBorders>
              <w:top w:val="nil"/>
              <w:left w:val="nil"/>
              <w:bottom w:val="single" w:sz="4" w:space="0" w:color="auto"/>
              <w:right w:val="single" w:sz="4" w:space="0" w:color="auto"/>
            </w:tcBorders>
            <w:shd w:val="clear" w:color="auto" w:fill="auto"/>
            <w:noWrap/>
            <w:vAlign w:val="bottom"/>
            <w:hideMark/>
          </w:tcPr>
          <w:p w14:paraId="0C84EF6F"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33.4</w:t>
            </w:r>
          </w:p>
        </w:tc>
        <w:tc>
          <w:tcPr>
            <w:tcW w:w="355" w:type="pct"/>
            <w:tcBorders>
              <w:top w:val="nil"/>
              <w:left w:val="nil"/>
              <w:bottom w:val="single" w:sz="4" w:space="0" w:color="auto"/>
              <w:right w:val="single" w:sz="4" w:space="0" w:color="auto"/>
            </w:tcBorders>
            <w:shd w:val="clear" w:color="auto" w:fill="auto"/>
            <w:noWrap/>
            <w:vAlign w:val="bottom"/>
            <w:hideMark/>
          </w:tcPr>
          <w:p w14:paraId="62E22786"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33.4</w:t>
            </w:r>
          </w:p>
        </w:tc>
        <w:tc>
          <w:tcPr>
            <w:tcW w:w="398" w:type="pct"/>
            <w:tcBorders>
              <w:top w:val="nil"/>
              <w:left w:val="nil"/>
              <w:bottom w:val="single" w:sz="4" w:space="0" w:color="auto"/>
              <w:right w:val="single" w:sz="4" w:space="0" w:color="auto"/>
            </w:tcBorders>
            <w:shd w:val="clear" w:color="auto" w:fill="auto"/>
            <w:noWrap/>
            <w:vAlign w:val="bottom"/>
            <w:hideMark/>
          </w:tcPr>
          <w:p w14:paraId="19133459"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33.4</w:t>
            </w:r>
          </w:p>
        </w:tc>
        <w:tc>
          <w:tcPr>
            <w:tcW w:w="354" w:type="pct"/>
            <w:tcBorders>
              <w:top w:val="nil"/>
              <w:left w:val="nil"/>
              <w:bottom w:val="single" w:sz="4" w:space="0" w:color="auto"/>
              <w:right w:val="single" w:sz="4" w:space="0" w:color="auto"/>
            </w:tcBorders>
            <w:shd w:val="clear" w:color="auto" w:fill="auto"/>
            <w:noWrap/>
            <w:vAlign w:val="bottom"/>
            <w:hideMark/>
          </w:tcPr>
          <w:p w14:paraId="10CBE6B1"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33.4</w:t>
            </w:r>
          </w:p>
        </w:tc>
        <w:tc>
          <w:tcPr>
            <w:tcW w:w="354" w:type="pct"/>
            <w:tcBorders>
              <w:top w:val="nil"/>
              <w:left w:val="nil"/>
              <w:bottom w:val="single" w:sz="4" w:space="0" w:color="auto"/>
              <w:right w:val="single" w:sz="4" w:space="0" w:color="auto"/>
            </w:tcBorders>
            <w:shd w:val="clear" w:color="auto" w:fill="auto"/>
            <w:noWrap/>
            <w:vAlign w:val="bottom"/>
            <w:hideMark/>
          </w:tcPr>
          <w:p w14:paraId="795DDC27"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33.4</w:t>
            </w:r>
          </w:p>
        </w:tc>
        <w:tc>
          <w:tcPr>
            <w:tcW w:w="354" w:type="pct"/>
            <w:tcBorders>
              <w:top w:val="nil"/>
              <w:left w:val="nil"/>
              <w:bottom w:val="single" w:sz="4" w:space="0" w:color="auto"/>
              <w:right w:val="single" w:sz="4" w:space="0" w:color="auto"/>
            </w:tcBorders>
            <w:shd w:val="clear" w:color="auto" w:fill="auto"/>
            <w:noWrap/>
            <w:vAlign w:val="bottom"/>
            <w:hideMark/>
          </w:tcPr>
          <w:p w14:paraId="20D3CBCA"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33.4</w:t>
            </w:r>
          </w:p>
        </w:tc>
      </w:tr>
      <w:tr w:rsidR="00245464" w:rsidRPr="001605E3" w14:paraId="1F574289" w14:textId="77777777" w:rsidTr="00A91A48">
        <w:trPr>
          <w:trHeight w:val="300"/>
        </w:trPr>
        <w:tc>
          <w:tcPr>
            <w:tcW w:w="1734" w:type="pct"/>
            <w:tcBorders>
              <w:top w:val="nil"/>
              <w:left w:val="single" w:sz="4" w:space="0" w:color="auto"/>
              <w:bottom w:val="single" w:sz="4" w:space="0" w:color="auto"/>
              <w:right w:val="single" w:sz="4" w:space="0" w:color="auto"/>
            </w:tcBorders>
            <w:shd w:val="clear" w:color="auto" w:fill="auto"/>
            <w:noWrap/>
            <w:vAlign w:val="bottom"/>
            <w:hideMark/>
          </w:tcPr>
          <w:p w14:paraId="77359161"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xml:space="preserve">SNV-Agroforestry </w:t>
            </w:r>
          </w:p>
        </w:tc>
        <w:tc>
          <w:tcPr>
            <w:tcW w:w="375" w:type="pct"/>
            <w:tcBorders>
              <w:top w:val="nil"/>
              <w:left w:val="nil"/>
              <w:bottom w:val="single" w:sz="4" w:space="0" w:color="auto"/>
              <w:right w:val="single" w:sz="4" w:space="0" w:color="auto"/>
            </w:tcBorders>
            <w:shd w:val="clear" w:color="auto" w:fill="auto"/>
            <w:noWrap/>
            <w:vAlign w:val="bottom"/>
            <w:hideMark/>
          </w:tcPr>
          <w:p w14:paraId="5D172176"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8" w:type="pct"/>
            <w:tcBorders>
              <w:top w:val="nil"/>
              <w:left w:val="nil"/>
              <w:bottom w:val="single" w:sz="4" w:space="0" w:color="auto"/>
              <w:right w:val="single" w:sz="4" w:space="0" w:color="auto"/>
            </w:tcBorders>
            <w:shd w:val="clear" w:color="auto" w:fill="auto"/>
            <w:noWrap/>
            <w:vAlign w:val="bottom"/>
            <w:hideMark/>
          </w:tcPr>
          <w:p w14:paraId="5B6B8302"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54" w:type="pct"/>
            <w:tcBorders>
              <w:top w:val="nil"/>
              <w:left w:val="nil"/>
              <w:bottom w:val="single" w:sz="4" w:space="0" w:color="auto"/>
              <w:right w:val="single" w:sz="4" w:space="0" w:color="auto"/>
            </w:tcBorders>
            <w:shd w:val="clear" w:color="auto" w:fill="auto"/>
            <w:noWrap/>
            <w:vAlign w:val="bottom"/>
            <w:hideMark/>
          </w:tcPr>
          <w:p w14:paraId="468DC715"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4.0</w:t>
            </w:r>
          </w:p>
        </w:tc>
        <w:tc>
          <w:tcPr>
            <w:tcW w:w="354" w:type="pct"/>
            <w:tcBorders>
              <w:top w:val="nil"/>
              <w:left w:val="nil"/>
              <w:bottom w:val="single" w:sz="4" w:space="0" w:color="auto"/>
              <w:right w:val="single" w:sz="4" w:space="0" w:color="auto"/>
            </w:tcBorders>
            <w:shd w:val="clear" w:color="auto" w:fill="auto"/>
            <w:noWrap/>
            <w:vAlign w:val="bottom"/>
            <w:hideMark/>
          </w:tcPr>
          <w:p w14:paraId="481B44EC"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4.0</w:t>
            </w:r>
          </w:p>
        </w:tc>
        <w:tc>
          <w:tcPr>
            <w:tcW w:w="355" w:type="pct"/>
            <w:tcBorders>
              <w:top w:val="nil"/>
              <w:left w:val="nil"/>
              <w:bottom w:val="single" w:sz="4" w:space="0" w:color="auto"/>
              <w:right w:val="single" w:sz="4" w:space="0" w:color="auto"/>
            </w:tcBorders>
            <w:shd w:val="clear" w:color="auto" w:fill="auto"/>
            <w:noWrap/>
            <w:vAlign w:val="bottom"/>
            <w:hideMark/>
          </w:tcPr>
          <w:p w14:paraId="592FF8D6"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4.0</w:t>
            </w:r>
          </w:p>
        </w:tc>
        <w:tc>
          <w:tcPr>
            <w:tcW w:w="398" w:type="pct"/>
            <w:tcBorders>
              <w:top w:val="nil"/>
              <w:left w:val="nil"/>
              <w:bottom w:val="single" w:sz="4" w:space="0" w:color="auto"/>
              <w:right w:val="single" w:sz="4" w:space="0" w:color="auto"/>
            </w:tcBorders>
            <w:shd w:val="clear" w:color="auto" w:fill="auto"/>
            <w:noWrap/>
            <w:vAlign w:val="bottom"/>
            <w:hideMark/>
          </w:tcPr>
          <w:p w14:paraId="206A0130"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4.0</w:t>
            </w:r>
          </w:p>
        </w:tc>
        <w:tc>
          <w:tcPr>
            <w:tcW w:w="354" w:type="pct"/>
            <w:tcBorders>
              <w:top w:val="nil"/>
              <w:left w:val="nil"/>
              <w:bottom w:val="single" w:sz="4" w:space="0" w:color="auto"/>
              <w:right w:val="single" w:sz="4" w:space="0" w:color="auto"/>
            </w:tcBorders>
            <w:shd w:val="clear" w:color="auto" w:fill="auto"/>
            <w:noWrap/>
            <w:vAlign w:val="bottom"/>
            <w:hideMark/>
          </w:tcPr>
          <w:p w14:paraId="1DBC40F1"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4.0</w:t>
            </w:r>
          </w:p>
        </w:tc>
        <w:tc>
          <w:tcPr>
            <w:tcW w:w="354" w:type="pct"/>
            <w:tcBorders>
              <w:top w:val="nil"/>
              <w:left w:val="nil"/>
              <w:bottom w:val="single" w:sz="4" w:space="0" w:color="auto"/>
              <w:right w:val="single" w:sz="4" w:space="0" w:color="auto"/>
            </w:tcBorders>
            <w:shd w:val="clear" w:color="auto" w:fill="auto"/>
            <w:noWrap/>
            <w:vAlign w:val="bottom"/>
            <w:hideMark/>
          </w:tcPr>
          <w:p w14:paraId="5A14215C"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4.0</w:t>
            </w:r>
          </w:p>
        </w:tc>
        <w:tc>
          <w:tcPr>
            <w:tcW w:w="354" w:type="pct"/>
            <w:tcBorders>
              <w:top w:val="nil"/>
              <w:left w:val="nil"/>
              <w:bottom w:val="single" w:sz="4" w:space="0" w:color="auto"/>
              <w:right w:val="single" w:sz="4" w:space="0" w:color="auto"/>
            </w:tcBorders>
            <w:shd w:val="clear" w:color="auto" w:fill="auto"/>
            <w:noWrap/>
            <w:vAlign w:val="bottom"/>
            <w:hideMark/>
          </w:tcPr>
          <w:p w14:paraId="5150AF05"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4.0</w:t>
            </w:r>
          </w:p>
        </w:tc>
      </w:tr>
      <w:tr w:rsidR="00245464" w:rsidRPr="001605E3" w14:paraId="080403BA" w14:textId="77777777" w:rsidTr="00A91A48">
        <w:trPr>
          <w:trHeight w:val="300"/>
        </w:trPr>
        <w:tc>
          <w:tcPr>
            <w:tcW w:w="1734" w:type="pct"/>
            <w:tcBorders>
              <w:top w:val="nil"/>
              <w:left w:val="single" w:sz="4" w:space="0" w:color="auto"/>
              <w:bottom w:val="single" w:sz="4" w:space="0" w:color="auto"/>
              <w:right w:val="single" w:sz="4" w:space="0" w:color="auto"/>
            </w:tcBorders>
            <w:shd w:val="clear" w:color="auto" w:fill="auto"/>
            <w:noWrap/>
            <w:vAlign w:val="bottom"/>
            <w:hideMark/>
          </w:tcPr>
          <w:p w14:paraId="71A054F0"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xml:space="preserve">SNV rehabilitation of tree stamps </w:t>
            </w:r>
          </w:p>
        </w:tc>
        <w:tc>
          <w:tcPr>
            <w:tcW w:w="375" w:type="pct"/>
            <w:tcBorders>
              <w:top w:val="nil"/>
              <w:left w:val="nil"/>
              <w:bottom w:val="single" w:sz="4" w:space="0" w:color="auto"/>
              <w:right w:val="single" w:sz="4" w:space="0" w:color="auto"/>
            </w:tcBorders>
            <w:shd w:val="clear" w:color="auto" w:fill="auto"/>
            <w:noWrap/>
            <w:vAlign w:val="bottom"/>
            <w:hideMark/>
          </w:tcPr>
          <w:p w14:paraId="2EE76CDB"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8" w:type="pct"/>
            <w:tcBorders>
              <w:top w:val="nil"/>
              <w:left w:val="nil"/>
              <w:bottom w:val="single" w:sz="4" w:space="0" w:color="auto"/>
              <w:right w:val="single" w:sz="4" w:space="0" w:color="auto"/>
            </w:tcBorders>
            <w:shd w:val="clear" w:color="auto" w:fill="auto"/>
            <w:noWrap/>
            <w:vAlign w:val="bottom"/>
            <w:hideMark/>
          </w:tcPr>
          <w:p w14:paraId="7F47D629"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54" w:type="pct"/>
            <w:tcBorders>
              <w:top w:val="nil"/>
              <w:left w:val="nil"/>
              <w:bottom w:val="single" w:sz="4" w:space="0" w:color="auto"/>
              <w:right w:val="single" w:sz="4" w:space="0" w:color="auto"/>
            </w:tcBorders>
            <w:shd w:val="clear" w:color="auto" w:fill="auto"/>
            <w:noWrap/>
            <w:vAlign w:val="bottom"/>
            <w:hideMark/>
          </w:tcPr>
          <w:p w14:paraId="01EFE37A"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0.6</w:t>
            </w:r>
          </w:p>
        </w:tc>
        <w:tc>
          <w:tcPr>
            <w:tcW w:w="354" w:type="pct"/>
            <w:tcBorders>
              <w:top w:val="nil"/>
              <w:left w:val="nil"/>
              <w:bottom w:val="single" w:sz="4" w:space="0" w:color="auto"/>
              <w:right w:val="single" w:sz="4" w:space="0" w:color="auto"/>
            </w:tcBorders>
            <w:shd w:val="clear" w:color="auto" w:fill="auto"/>
            <w:noWrap/>
            <w:vAlign w:val="bottom"/>
            <w:hideMark/>
          </w:tcPr>
          <w:p w14:paraId="6AF6671B"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0.6</w:t>
            </w:r>
          </w:p>
        </w:tc>
        <w:tc>
          <w:tcPr>
            <w:tcW w:w="355" w:type="pct"/>
            <w:tcBorders>
              <w:top w:val="nil"/>
              <w:left w:val="nil"/>
              <w:bottom w:val="single" w:sz="4" w:space="0" w:color="auto"/>
              <w:right w:val="single" w:sz="4" w:space="0" w:color="auto"/>
            </w:tcBorders>
            <w:shd w:val="clear" w:color="auto" w:fill="auto"/>
            <w:noWrap/>
            <w:vAlign w:val="bottom"/>
            <w:hideMark/>
          </w:tcPr>
          <w:p w14:paraId="09DE61F6"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0.6</w:t>
            </w:r>
          </w:p>
        </w:tc>
        <w:tc>
          <w:tcPr>
            <w:tcW w:w="398" w:type="pct"/>
            <w:tcBorders>
              <w:top w:val="nil"/>
              <w:left w:val="nil"/>
              <w:bottom w:val="single" w:sz="4" w:space="0" w:color="auto"/>
              <w:right w:val="single" w:sz="4" w:space="0" w:color="auto"/>
            </w:tcBorders>
            <w:shd w:val="clear" w:color="auto" w:fill="auto"/>
            <w:noWrap/>
            <w:vAlign w:val="bottom"/>
            <w:hideMark/>
          </w:tcPr>
          <w:p w14:paraId="3360DB2E"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0.6</w:t>
            </w:r>
          </w:p>
        </w:tc>
        <w:tc>
          <w:tcPr>
            <w:tcW w:w="354" w:type="pct"/>
            <w:tcBorders>
              <w:top w:val="nil"/>
              <w:left w:val="nil"/>
              <w:bottom w:val="single" w:sz="4" w:space="0" w:color="auto"/>
              <w:right w:val="single" w:sz="4" w:space="0" w:color="auto"/>
            </w:tcBorders>
            <w:shd w:val="clear" w:color="auto" w:fill="auto"/>
            <w:noWrap/>
            <w:vAlign w:val="bottom"/>
            <w:hideMark/>
          </w:tcPr>
          <w:p w14:paraId="25C5521F"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0.6</w:t>
            </w:r>
          </w:p>
        </w:tc>
        <w:tc>
          <w:tcPr>
            <w:tcW w:w="354" w:type="pct"/>
            <w:tcBorders>
              <w:top w:val="nil"/>
              <w:left w:val="nil"/>
              <w:bottom w:val="single" w:sz="4" w:space="0" w:color="auto"/>
              <w:right w:val="single" w:sz="4" w:space="0" w:color="auto"/>
            </w:tcBorders>
            <w:shd w:val="clear" w:color="auto" w:fill="auto"/>
            <w:noWrap/>
            <w:vAlign w:val="bottom"/>
            <w:hideMark/>
          </w:tcPr>
          <w:p w14:paraId="1DEC4402"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0.6</w:t>
            </w:r>
          </w:p>
        </w:tc>
        <w:tc>
          <w:tcPr>
            <w:tcW w:w="354" w:type="pct"/>
            <w:tcBorders>
              <w:top w:val="nil"/>
              <w:left w:val="nil"/>
              <w:bottom w:val="single" w:sz="4" w:space="0" w:color="auto"/>
              <w:right w:val="single" w:sz="4" w:space="0" w:color="auto"/>
            </w:tcBorders>
            <w:shd w:val="clear" w:color="auto" w:fill="auto"/>
            <w:noWrap/>
            <w:vAlign w:val="bottom"/>
            <w:hideMark/>
          </w:tcPr>
          <w:p w14:paraId="0BF9C4EA"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0.6</w:t>
            </w:r>
          </w:p>
        </w:tc>
      </w:tr>
      <w:tr w:rsidR="00245464" w:rsidRPr="001605E3" w14:paraId="68C28813" w14:textId="77777777" w:rsidTr="00A91A48">
        <w:trPr>
          <w:trHeight w:val="300"/>
        </w:trPr>
        <w:tc>
          <w:tcPr>
            <w:tcW w:w="1734" w:type="pct"/>
            <w:tcBorders>
              <w:top w:val="nil"/>
              <w:left w:val="single" w:sz="4" w:space="0" w:color="auto"/>
              <w:bottom w:val="single" w:sz="4" w:space="0" w:color="auto"/>
              <w:right w:val="single" w:sz="4" w:space="0" w:color="auto"/>
            </w:tcBorders>
            <w:shd w:val="clear" w:color="auto" w:fill="auto"/>
            <w:noWrap/>
            <w:vAlign w:val="bottom"/>
            <w:hideMark/>
          </w:tcPr>
          <w:p w14:paraId="1D0FAB53"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Total (Gg CO</w:t>
            </w:r>
            <w:r w:rsidRPr="001605E3">
              <w:rPr>
                <w:rFonts w:ascii="Times New Roman" w:eastAsia="Times New Roman" w:hAnsi="Times New Roman" w:cs="Times New Roman"/>
                <w:color w:val="000000" w:themeColor="text1"/>
                <w:sz w:val="20"/>
                <w:szCs w:val="20"/>
                <w:vertAlign w:val="subscript"/>
              </w:rPr>
              <w:t>2 eq.</w:t>
            </w:r>
            <w:r w:rsidRPr="001605E3">
              <w:rPr>
                <w:rFonts w:ascii="Times New Roman" w:eastAsia="Times New Roman" w:hAnsi="Times New Roman" w:cs="Times New Roman"/>
                <w:color w:val="000000" w:themeColor="text1"/>
                <w:sz w:val="20"/>
                <w:szCs w:val="20"/>
              </w:rPr>
              <w:t>)</w:t>
            </w:r>
          </w:p>
        </w:tc>
        <w:tc>
          <w:tcPr>
            <w:tcW w:w="375" w:type="pct"/>
            <w:tcBorders>
              <w:top w:val="nil"/>
              <w:left w:val="nil"/>
              <w:bottom w:val="single" w:sz="4" w:space="0" w:color="auto"/>
              <w:right w:val="single" w:sz="4" w:space="0" w:color="auto"/>
            </w:tcBorders>
            <w:shd w:val="clear" w:color="auto" w:fill="auto"/>
            <w:noWrap/>
            <w:vAlign w:val="bottom"/>
            <w:hideMark/>
          </w:tcPr>
          <w:p w14:paraId="7D2C3DD4"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68" w:type="pct"/>
            <w:tcBorders>
              <w:top w:val="nil"/>
              <w:left w:val="nil"/>
              <w:bottom w:val="single" w:sz="4" w:space="0" w:color="auto"/>
              <w:right w:val="single" w:sz="4" w:space="0" w:color="auto"/>
            </w:tcBorders>
            <w:shd w:val="clear" w:color="auto" w:fill="auto"/>
            <w:noWrap/>
            <w:vAlign w:val="bottom"/>
            <w:hideMark/>
          </w:tcPr>
          <w:p w14:paraId="254CF470"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33.4</w:t>
            </w:r>
          </w:p>
        </w:tc>
        <w:tc>
          <w:tcPr>
            <w:tcW w:w="354" w:type="pct"/>
            <w:tcBorders>
              <w:top w:val="nil"/>
              <w:left w:val="nil"/>
              <w:bottom w:val="single" w:sz="4" w:space="0" w:color="auto"/>
              <w:right w:val="single" w:sz="4" w:space="0" w:color="auto"/>
            </w:tcBorders>
            <w:shd w:val="clear" w:color="auto" w:fill="auto"/>
            <w:noWrap/>
            <w:vAlign w:val="bottom"/>
            <w:hideMark/>
          </w:tcPr>
          <w:p w14:paraId="144A416F"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71.5</w:t>
            </w:r>
          </w:p>
        </w:tc>
        <w:tc>
          <w:tcPr>
            <w:tcW w:w="354" w:type="pct"/>
            <w:tcBorders>
              <w:top w:val="nil"/>
              <w:left w:val="nil"/>
              <w:bottom w:val="single" w:sz="4" w:space="0" w:color="auto"/>
              <w:right w:val="single" w:sz="4" w:space="0" w:color="auto"/>
            </w:tcBorders>
            <w:shd w:val="clear" w:color="auto" w:fill="auto"/>
            <w:noWrap/>
            <w:vAlign w:val="bottom"/>
            <w:hideMark/>
          </w:tcPr>
          <w:p w14:paraId="7FBD0381"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71.5</w:t>
            </w:r>
          </w:p>
        </w:tc>
        <w:tc>
          <w:tcPr>
            <w:tcW w:w="355" w:type="pct"/>
            <w:tcBorders>
              <w:top w:val="nil"/>
              <w:left w:val="nil"/>
              <w:bottom w:val="single" w:sz="4" w:space="0" w:color="auto"/>
              <w:right w:val="single" w:sz="4" w:space="0" w:color="auto"/>
            </w:tcBorders>
            <w:shd w:val="clear" w:color="auto" w:fill="auto"/>
            <w:noWrap/>
            <w:vAlign w:val="bottom"/>
            <w:hideMark/>
          </w:tcPr>
          <w:p w14:paraId="113C774F"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71.5</w:t>
            </w:r>
          </w:p>
        </w:tc>
        <w:tc>
          <w:tcPr>
            <w:tcW w:w="398" w:type="pct"/>
            <w:tcBorders>
              <w:top w:val="nil"/>
              <w:left w:val="nil"/>
              <w:bottom w:val="single" w:sz="4" w:space="0" w:color="auto"/>
              <w:right w:val="single" w:sz="4" w:space="0" w:color="auto"/>
            </w:tcBorders>
            <w:shd w:val="clear" w:color="auto" w:fill="auto"/>
            <w:noWrap/>
            <w:vAlign w:val="bottom"/>
            <w:hideMark/>
          </w:tcPr>
          <w:p w14:paraId="57B9C686"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71.5</w:t>
            </w:r>
          </w:p>
        </w:tc>
        <w:tc>
          <w:tcPr>
            <w:tcW w:w="354" w:type="pct"/>
            <w:tcBorders>
              <w:top w:val="nil"/>
              <w:left w:val="nil"/>
              <w:bottom w:val="single" w:sz="4" w:space="0" w:color="auto"/>
              <w:right w:val="single" w:sz="4" w:space="0" w:color="auto"/>
            </w:tcBorders>
            <w:shd w:val="clear" w:color="auto" w:fill="auto"/>
            <w:noWrap/>
            <w:vAlign w:val="bottom"/>
            <w:hideMark/>
          </w:tcPr>
          <w:p w14:paraId="0D01DEB2"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71.5</w:t>
            </w:r>
          </w:p>
        </w:tc>
        <w:tc>
          <w:tcPr>
            <w:tcW w:w="354" w:type="pct"/>
            <w:tcBorders>
              <w:top w:val="nil"/>
              <w:left w:val="nil"/>
              <w:bottom w:val="single" w:sz="4" w:space="0" w:color="auto"/>
              <w:right w:val="single" w:sz="4" w:space="0" w:color="auto"/>
            </w:tcBorders>
            <w:shd w:val="clear" w:color="auto" w:fill="auto"/>
            <w:noWrap/>
            <w:vAlign w:val="bottom"/>
            <w:hideMark/>
          </w:tcPr>
          <w:p w14:paraId="1BC9083E"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71.5</w:t>
            </w:r>
          </w:p>
        </w:tc>
        <w:tc>
          <w:tcPr>
            <w:tcW w:w="354" w:type="pct"/>
            <w:tcBorders>
              <w:top w:val="nil"/>
              <w:left w:val="nil"/>
              <w:bottom w:val="single" w:sz="4" w:space="0" w:color="auto"/>
              <w:right w:val="single" w:sz="4" w:space="0" w:color="auto"/>
            </w:tcBorders>
            <w:shd w:val="clear" w:color="auto" w:fill="auto"/>
            <w:noWrap/>
            <w:vAlign w:val="bottom"/>
            <w:hideMark/>
          </w:tcPr>
          <w:p w14:paraId="0A4DE122" w14:textId="77777777" w:rsidR="00245464" w:rsidRPr="001605E3" w:rsidRDefault="00245464" w:rsidP="00245464">
            <w:pPr>
              <w:spacing w:after="0" w:line="240" w:lineRule="auto"/>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71.5</w:t>
            </w:r>
          </w:p>
        </w:tc>
      </w:tr>
    </w:tbl>
    <w:p w14:paraId="09EB3FFC" w14:textId="77777777" w:rsidR="00245464" w:rsidRPr="00191ACB" w:rsidRDefault="00245464" w:rsidP="00245464">
      <w:pPr>
        <w:jc w:val="both"/>
        <w:rPr>
          <w:rFonts w:ascii="Times New Roman" w:eastAsia="Calibri" w:hAnsi="Times New Roman" w:cs="Times New Roman"/>
          <w:color w:val="000000" w:themeColor="text1"/>
          <w:sz w:val="24"/>
          <w:szCs w:val="24"/>
        </w:rPr>
      </w:pPr>
    </w:p>
    <w:p w14:paraId="21025C6C" w14:textId="6F65F293" w:rsidR="00245464" w:rsidRPr="00191ACB" w:rsidRDefault="00245464"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In estimating projected emissions, it was assumed that the growth rate for plantations of pine, eucalyptus, </w:t>
      </w:r>
      <w:r w:rsidRPr="00191ACB">
        <w:rPr>
          <w:rFonts w:ascii="Times New Roman" w:eastAsia="Calibri" w:hAnsi="Times New Roman" w:cs="Times New Roman"/>
          <w:i/>
          <w:color w:val="000000" w:themeColor="text1"/>
          <w:sz w:val="24"/>
          <w:szCs w:val="24"/>
        </w:rPr>
        <w:t xml:space="preserve">Gmelina </w:t>
      </w:r>
      <w:r w:rsidR="00E65288" w:rsidRPr="00191ACB">
        <w:rPr>
          <w:rFonts w:ascii="Times New Roman" w:eastAsia="Calibri" w:hAnsi="Times New Roman" w:cs="Times New Roman"/>
          <w:i/>
          <w:color w:val="000000" w:themeColor="text1"/>
          <w:sz w:val="24"/>
          <w:szCs w:val="24"/>
        </w:rPr>
        <w:t>arbo</w:t>
      </w:r>
      <w:r w:rsidRPr="00191ACB">
        <w:rPr>
          <w:rFonts w:ascii="Times New Roman" w:eastAsia="Calibri" w:hAnsi="Times New Roman" w:cs="Times New Roman"/>
          <w:i/>
          <w:color w:val="000000" w:themeColor="text1"/>
          <w:sz w:val="24"/>
          <w:szCs w:val="24"/>
        </w:rPr>
        <w:t>re</w:t>
      </w:r>
      <w:r w:rsidR="00E65288" w:rsidRPr="00191ACB">
        <w:rPr>
          <w:rFonts w:ascii="Times New Roman" w:eastAsia="Calibri" w:hAnsi="Times New Roman" w:cs="Times New Roman"/>
          <w:i/>
          <w:color w:val="000000" w:themeColor="text1"/>
          <w:sz w:val="24"/>
          <w:szCs w:val="24"/>
        </w:rPr>
        <w:t>a</w:t>
      </w:r>
      <w:r w:rsidRPr="00191ACB">
        <w:rPr>
          <w:rFonts w:ascii="Times New Roman" w:eastAsia="Calibri" w:hAnsi="Times New Roman" w:cs="Times New Roman"/>
          <w:color w:val="000000" w:themeColor="text1"/>
          <w:sz w:val="24"/>
          <w:szCs w:val="24"/>
        </w:rPr>
        <w:t xml:space="preserve"> (used in timber industries, construction industries, match sticks) was 15m</w:t>
      </w:r>
      <w:r w:rsidRPr="00191ACB">
        <w:rPr>
          <w:rFonts w:ascii="Times New Roman" w:eastAsia="Calibri" w:hAnsi="Times New Roman" w:cs="Times New Roman"/>
          <w:color w:val="000000" w:themeColor="text1"/>
          <w:sz w:val="24"/>
          <w:szCs w:val="24"/>
          <w:vertAlign w:val="superscript"/>
        </w:rPr>
        <w:t>3</w:t>
      </w:r>
      <w:r w:rsidRPr="00191ACB">
        <w:rPr>
          <w:rFonts w:ascii="Times New Roman" w:eastAsia="Calibri" w:hAnsi="Times New Roman" w:cs="Times New Roman"/>
          <w:color w:val="000000" w:themeColor="text1"/>
          <w:sz w:val="24"/>
          <w:szCs w:val="24"/>
        </w:rPr>
        <w:t>/year per hectare. The growth rate for the Musangu tree used in agro-forestry was assumed to be 3.5 m</w:t>
      </w:r>
      <w:r w:rsidRPr="00191ACB">
        <w:rPr>
          <w:rFonts w:ascii="Times New Roman" w:eastAsia="Calibri" w:hAnsi="Times New Roman" w:cs="Times New Roman"/>
          <w:color w:val="000000" w:themeColor="text1"/>
          <w:sz w:val="24"/>
          <w:szCs w:val="24"/>
          <w:vertAlign w:val="superscript"/>
        </w:rPr>
        <w:t>3</w:t>
      </w:r>
      <w:r w:rsidRPr="00191ACB">
        <w:rPr>
          <w:rFonts w:ascii="Times New Roman" w:eastAsia="Calibri" w:hAnsi="Times New Roman" w:cs="Times New Roman"/>
          <w:color w:val="000000" w:themeColor="text1"/>
          <w:sz w:val="24"/>
          <w:szCs w:val="24"/>
        </w:rPr>
        <w:t xml:space="preserve">/year per hectare for the period </w:t>
      </w:r>
      <w:r w:rsidRPr="00191ACB">
        <w:rPr>
          <w:rFonts w:ascii="Times New Roman" w:eastAsia="Times New Roman" w:hAnsi="Times New Roman" w:cs="Times New Roman"/>
          <w:color w:val="000000" w:themeColor="text1"/>
          <w:sz w:val="24"/>
          <w:szCs w:val="24"/>
        </w:rPr>
        <w:t>(6-18 Years)</w:t>
      </w:r>
      <w:r w:rsidRPr="00191ACB">
        <w:rPr>
          <w:rFonts w:ascii="Times New Roman" w:eastAsia="Calibri" w:hAnsi="Times New Roman" w:cs="Times New Roman"/>
          <w:color w:val="000000" w:themeColor="text1"/>
          <w:sz w:val="24"/>
          <w:szCs w:val="24"/>
        </w:rPr>
        <w:t>. Additionally, one cubic meter (1m</w:t>
      </w:r>
      <w:r w:rsidRPr="00191ACB">
        <w:rPr>
          <w:rFonts w:ascii="Times New Roman" w:eastAsia="Calibri" w:hAnsi="Times New Roman" w:cs="Times New Roman"/>
          <w:color w:val="000000" w:themeColor="text1"/>
          <w:sz w:val="24"/>
          <w:szCs w:val="24"/>
          <w:vertAlign w:val="superscript"/>
        </w:rPr>
        <w:t>3</w:t>
      </w:r>
      <w:r w:rsidRPr="00191ACB">
        <w:rPr>
          <w:rFonts w:ascii="Times New Roman" w:eastAsia="Calibri" w:hAnsi="Times New Roman" w:cs="Times New Roman"/>
          <w:color w:val="000000" w:themeColor="text1"/>
          <w:sz w:val="24"/>
          <w:szCs w:val="24"/>
        </w:rPr>
        <w:t xml:space="preserve">) of wood was assumed to be equivalent to 304 kg mass. Other parameters used in estimating emissions reduction under </w:t>
      </w:r>
      <w:r w:rsidR="00DD5AF1" w:rsidRPr="00191ACB">
        <w:rPr>
          <w:rFonts w:ascii="Times New Roman" w:eastAsia="Calibri" w:hAnsi="Times New Roman" w:cs="Times New Roman"/>
          <w:color w:val="000000" w:themeColor="text1"/>
          <w:sz w:val="24"/>
          <w:szCs w:val="24"/>
        </w:rPr>
        <w:t xml:space="preserve">forestry are provided in Table </w:t>
      </w:r>
      <w:r w:rsidR="00F11900" w:rsidRPr="00191ACB">
        <w:rPr>
          <w:rFonts w:ascii="Times New Roman" w:eastAsia="Calibri" w:hAnsi="Times New Roman" w:cs="Times New Roman"/>
          <w:color w:val="000000" w:themeColor="text1"/>
          <w:sz w:val="24"/>
          <w:szCs w:val="24"/>
        </w:rPr>
        <w:t>4.46</w:t>
      </w:r>
      <w:r w:rsidR="00DD5AF1" w:rsidRPr="00191ACB">
        <w:rPr>
          <w:rFonts w:ascii="Times New Roman" w:eastAsia="Calibri" w:hAnsi="Times New Roman" w:cs="Times New Roman"/>
          <w:color w:val="000000" w:themeColor="text1"/>
          <w:sz w:val="24"/>
          <w:szCs w:val="24"/>
        </w:rPr>
        <w:t>.</w:t>
      </w:r>
    </w:p>
    <w:p w14:paraId="72A065B6" w14:textId="1F448CF7" w:rsidR="00245464" w:rsidRPr="00191ACB" w:rsidRDefault="00A13A2D" w:rsidP="00A13A2D">
      <w:pPr>
        <w:pStyle w:val="Caption"/>
        <w:rPr>
          <w:rFonts w:eastAsia="Calibri"/>
          <w:color w:val="000000" w:themeColor="text1"/>
          <w:sz w:val="24"/>
          <w:szCs w:val="24"/>
        </w:rPr>
      </w:pPr>
      <w:bookmarkStart w:id="446" w:name="_Toc56583822"/>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46</w:t>
      </w:r>
      <w:r w:rsidR="00875942">
        <w:rPr>
          <w:sz w:val="24"/>
          <w:szCs w:val="24"/>
        </w:rPr>
        <w:fldChar w:fldCharType="end"/>
      </w:r>
      <w:r w:rsidRPr="00191ACB">
        <w:rPr>
          <w:sz w:val="24"/>
          <w:szCs w:val="24"/>
        </w:rPr>
        <w:t>: Parameters and assumptions used in calculating emissions reduction under forestry</w:t>
      </w:r>
      <w:bookmarkEnd w:id="446"/>
    </w:p>
    <w:tbl>
      <w:tblPr>
        <w:tblW w:w="9214" w:type="dxa"/>
        <w:tblInd w:w="-5" w:type="dxa"/>
        <w:tblLook w:val="04A0" w:firstRow="1" w:lastRow="0" w:firstColumn="1" w:lastColumn="0" w:noHBand="0" w:noVBand="1"/>
      </w:tblPr>
      <w:tblGrid>
        <w:gridCol w:w="5103"/>
        <w:gridCol w:w="1134"/>
        <w:gridCol w:w="851"/>
        <w:gridCol w:w="2126"/>
      </w:tblGrid>
      <w:tr w:rsidR="00245464" w:rsidRPr="00191ACB" w14:paraId="413507FA" w14:textId="77777777" w:rsidTr="00A91A48">
        <w:trPr>
          <w:trHeight w:val="345"/>
        </w:trPr>
        <w:tc>
          <w:tcPr>
            <w:tcW w:w="5103" w:type="dxa"/>
            <w:tcBorders>
              <w:top w:val="single" w:sz="4" w:space="0" w:color="auto"/>
              <w:left w:val="single" w:sz="4" w:space="0" w:color="auto"/>
              <w:bottom w:val="single" w:sz="4" w:space="0" w:color="auto"/>
              <w:right w:val="single" w:sz="4" w:space="0" w:color="auto"/>
            </w:tcBorders>
            <w:shd w:val="clear" w:color="auto" w:fill="auto"/>
            <w:noWrap/>
          </w:tcPr>
          <w:p w14:paraId="0E6AE617"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p>
        </w:tc>
        <w:tc>
          <w:tcPr>
            <w:tcW w:w="1134" w:type="dxa"/>
            <w:tcBorders>
              <w:top w:val="single" w:sz="4" w:space="0" w:color="auto"/>
              <w:left w:val="nil"/>
              <w:bottom w:val="single" w:sz="4" w:space="0" w:color="auto"/>
              <w:right w:val="single" w:sz="4" w:space="0" w:color="auto"/>
            </w:tcBorders>
            <w:shd w:val="clear" w:color="auto" w:fill="auto"/>
            <w:noWrap/>
          </w:tcPr>
          <w:p w14:paraId="3609B448"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Musangu</w:t>
            </w:r>
          </w:p>
        </w:tc>
        <w:tc>
          <w:tcPr>
            <w:tcW w:w="851" w:type="dxa"/>
            <w:tcBorders>
              <w:top w:val="single" w:sz="4" w:space="0" w:color="auto"/>
              <w:left w:val="nil"/>
              <w:bottom w:val="single" w:sz="4" w:space="0" w:color="auto"/>
              <w:right w:val="single" w:sz="4" w:space="0" w:color="auto"/>
            </w:tcBorders>
          </w:tcPr>
          <w:p w14:paraId="2D560347"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Pine</w:t>
            </w:r>
          </w:p>
        </w:tc>
        <w:tc>
          <w:tcPr>
            <w:tcW w:w="2126" w:type="dxa"/>
            <w:tcBorders>
              <w:top w:val="single" w:sz="4" w:space="0" w:color="auto"/>
              <w:left w:val="nil"/>
              <w:bottom w:val="single" w:sz="4" w:space="0" w:color="auto"/>
              <w:right w:val="single" w:sz="4" w:space="0" w:color="auto"/>
            </w:tcBorders>
          </w:tcPr>
          <w:p w14:paraId="57C87B74"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Natural Regeneration</w:t>
            </w:r>
          </w:p>
        </w:tc>
      </w:tr>
      <w:tr w:rsidR="00245464" w:rsidRPr="00191ACB" w14:paraId="7C1AF82A" w14:textId="77777777" w:rsidTr="00A91A48">
        <w:trPr>
          <w:trHeight w:val="345"/>
        </w:trPr>
        <w:tc>
          <w:tcPr>
            <w:tcW w:w="51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7FDECF" w14:textId="4BD7BA1C"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Growth rate m</w:t>
            </w:r>
            <w:r w:rsidRPr="00191ACB">
              <w:rPr>
                <w:rFonts w:ascii="Times New Roman" w:eastAsia="Calibri" w:hAnsi="Times New Roman" w:cs="Times New Roman"/>
                <w:color w:val="000000" w:themeColor="text1"/>
                <w:sz w:val="24"/>
                <w:szCs w:val="24"/>
                <w:vertAlign w:val="superscript"/>
              </w:rPr>
              <w:t>3</w:t>
            </w:r>
            <w:r w:rsidRPr="00191ACB">
              <w:rPr>
                <w:rFonts w:ascii="Times New Roman" w:eastAsia="Calibri" w:hAnsi="Times New Roman" w:cs="Times New Roman"/>
                <w:color w:val="000000" w:themeColor="text1"/>
                <w:sz w:val="24"/>
                <w:szCs w:val="24"/>
              </w:rPr>
              <w:t>/year</w:t>
            </w:r>
            <w:r w:rsidR="0020731F"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(6-18 Years)</w:t>
            </w:r>
          </w:p>
        </w:tc>
        <w:tc>
          <w:tcPr>
            <w:tcW w:w="1134" w:type="dxa"/>
            <w:tcBorders>
              <w:top w:val="single" w:sz="4" w:space="0" w:color="auto"/>
              <w:left w:val="nil"/>
              <w:bottom w:val="single" w:sz="4" w:space="0" w:color="auto"/>
              <w:right w:val="single" w:sz="4" w:space="0" w:color="auto"/>
            </w:tcBorders>
            <w:shd w:val="clear" w:color="auto" w:fill="auto"/>
            <w:noWrap/>
            <w:hideMark/>
          </w:tcPr>
          <w:p w14:paraId="06936EA3"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3.5</w:t>
            </w:r>
          </w:p>
        </w:tc>
        <w:tc>
          <w:tcPr>
            <w:tcW w:w="851" w:type="dxa"/>
            <w:tcBorders>
              <w:top w:val="single" w:sz="4" w:space="0" w:color="auto"/>
              <w:left w:val="nil"/>
              <w:bottom w:val="single" w:sz="4" w:space="0" w:color="auto"/>
              <w:right w:val="single" w:sz="4" w:space="0" w:color="auto"/>
            </w:tcBorders>
          </w:tcPr>
          <w:p w14:paraId="610828F9"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15</w:t>
            </w:r>
          </w:p>
        </w:tc>
        <w:tc>
          <w:tcPr>
            <w:tcW w:w="2126" w:type="dxa"/>
            <w:tcBorders>
              <w:top w:val="single" w:sz="4" w:space="0" w:color="auto"/>
              <w:left w:val="nil"/>
              <w:bottom w:val="single" w:sz="4" w:space="0" w:color="auto"/>
              <w:right w:val="single" w:sz="4" w:space="0" w:color="auto"/>
            </w:tcBorders>
          </w:tcPr>
          <w:p w14:paraId="1118B66C"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1.5</w:t>
            </w:r>
          </w:p>
        </w:tc>
      </w:tr>
      <w:tr w:rsidR="00245464" w:rsidRPr="00191ACB" w14:paraId="0B0B7A2B" w14:textId="77777777" w:rsidTr="00A91A48">
        <w:trPr>
          <w:trHeight w:val="345"/>
        </w:trPr>
        <w:tc>
          <w:tcPr>
            <w:tcW w:w="5103" w:type="dxa"/>
            <w:tcBorders>
              <w:top w:val="nil"/>
              <w:left w:val="single" w:sz="4" w:space="0" w:color="auto"/>
              <w:bottom w:val="single" w:sz="4" w:space="0" w:color="auto"/>
              <w:right w:val="single" w:sz="4" w:space="0" w:color="auto"/>
            </w:tcBorders>
            <w:shd w:val="clear" w:color="auto" w:fill="auto"/>
            <w:noWrap/>
            <w:vAlign w:val="bottom"/>
            <w:hideMark/>
          </w:tcPr>
          <w:p w14:paraId="31AF6689"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Conversion 1m</w:t>
            </w:r>
            <w:r w:rsidRPr="00191ACB">
              <w:rPr>
                <w:rFonts w:ascii="Times New Roman" w:eastAsia="Calibri" w:hAnsi="Times New Roman" w:cs="Times New Roman"/>
                <w:color w:val="000000" w:themeColor="text1"/>
                <w:sz w:val="24"/>
                <w:szCs w:val="24"/>
                <w:vertAlign w:val="superscript"/>
              </w:rPr>
              <w:t>3</w:t>
            </w:r>
            <w:r w:rsidRPr="00191ACB">
              <w:rPr>
                <w:rFonts w:ascii="Times New Roman" w:eastAsia="Calibri" w:hAnsi="Times New Roman" w:cs="Times New Roman"/>
                <w:color w:val="000000" w:themeColor="text1"/>
                <w:sz w:val="24"/>
                <w:szCs w:val="24"/>
              </w:rPr>
              <w:t>=304 kg</w:t>
            </w:r>
          </w:p>
        </w:tc>
        <w:tc>
          <w:tcPr>
            <w:tcW w:w="1134" w:type="dxa"/>
            <w:tcBorders>
              <w:top w:val="nil"/>
              <w:left w:val="nil"/>
              <w:bottom w:val="single" w:sz="4" w:space="0" w:color="auto"/>
              <w:right w:val="single" w:sz="4" w:space="0" w:color="auto"/>
            </w:tcBorders>
            <w:shd w:val="clear" w:color="auto" w:fill="auto"/>
            <w:noWrap/>
            <w:hideMark/>
          </w:tcPr>
          <w:p w14:paraId="30FD523D"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304</w:t>
            </w:r>
          </w:p>
        </w:tc>
        <w:tc>
          <w:tcPr>
            <w:tcW w:w="851" w:type="dxa"/>
            <w:tcBorders>
              <w:top w:val="nil"/>
              <w:left w:val="nil"/>
              <w:bottom w:val="single" w:sz="4" w:space="0" w:color="auto"/>
              <w:right w:val="single" w:sz="4" w:space="0" w:color="auto"/>
            </w:tcBorders>
          </w:tcPr>
          <w:p w14:paraId="0148B80B"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304</w:t>
            </w:r>
          </w:p>
        </w:tc>
        <w:tc>
          <w:tcPr>
            <w:tcW w:w="2126" w:type="dxa"/>
            <w:tcBorders>
              <w:top w:val="nil"/>
              <w:left w:val="nil"/>
              <w:bottom w:val="single" w:sz="4" w:space="0" w:color="auto"/>
              <w:right w:val="single" w:sz="4" w:space="0" w:color="auto"/>
            </w:tcBorders>
          </w:tcPr>
          <w:p w14:paraId="5DC93537"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304</w:t>
            </w:r>
          </w:p>
        </w:tc>
      </w:tr>
      <w:tr w:rsidR="00245464" w:rsidRPr="00191ACB" w14:paraId="6CBC2BFB" w14:textId="77777777" w:rsidTr="00A91A48">
        <w:trPr>
          <w:trHeight w:val="351"/>
        </w:trPr>
        <w:tc>
          <w:tcPr>
            <w:tcW w:w="510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25A73E0"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Carbon Fraction of Dry Matter (tonnes C/tonne dm.)</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731C3150"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0.43</w:t>
            </w:r>
          </w:p>
        </w:tc>
        <w:tc>
          <w:tcPr>
            <w:tcW w:w="851" w:type="dxa"/>
            <w:tcBorders>
              <w:top w:val="single" w:sz="4" w:space="0" w:color="auto"/>
              <w:left w:val="single" w:sz="4" w:space="0" w:color="auto"/>
              <w:bottom w:val="single" w:sz="4" w:space="0" w:color="auto"/>
              <w:right w:val="single" w:sz="4" w:space="0" w:color="auto"/>
            </w:tcBorders>
          </w:tcPr>
          <w:p w14:paraId="1B9CBB35"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0.47</w:t>
            </w:r>
          </w:p>
        </w:tc>
        <w:tc>
          <w:tcPr>
            <w:tcW w:w="2126" w:type="dxa"/>
            <w:tcBorders>
              <w:top w:val="single" w:sz="4" w:space="0" w:color="auto"/>
              <w:left w:val="single" w:sz="4" w:space="0" w:color="auto"/>
              <w:bottom w:val="single" w:sz="4" w:space="0" w:color="auto"/>
              <w:right w:val="single" w:sz="4" w:space="0" w:color="auto"/>
            </w:tcBorders>
          </w:tcPr>
          <w:p w14:paraId="66C69E84"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0.43</w:t>
            </w:r>
          </w:p>
        </w:tc>
      </w:tr>
    </w:tbl>
    <w:p w14:paraId="09F029F5" w14:textId="77777777" w:rsidR="00245464" w:rsidRPr="00191ACB" w:rsidRDefault="00245464" w:rsidP="005E626A">
      <w:pPr>
        <w:spacing w:after="120" w:line="240" w:lineRule="auto"/>
        <w:jc w:val="both"/>
        <w:rPr>
          <w:rFonts w:ascii="Times New Roman" w:hAnsi="Times New Roman" w:cs="Times New Roman"/>
          <w:color w:val="000000" w:themeColor="text1"/>
          <w:sz w:val="24"/>
          <w:szCs w:val="24"/>
        </w:rPr>
      </w:pPr>
    </w:p>
    <w:p w14:paraId="5D865386" w14:textId="5D757477" w:rsidR="00245464" w:rsidRPr="00191ACB" w:rsidRDefault="00245464" w:rsidP="000C4FCD">
      <w:pPr>
        <w:spacing w:after="120" w:line="276" w:lineRule="auto"/>
        <w:jc w:val="both"/>
        <w:rPr>
          <w:rFonts w:ascii="Times New Roman" w:eastAsia="Calibri" w:hAnsi="Times New Roman" w:cs="Times New Roman"/>
          <w:color w:val="000000" w:themeColor="text1"/>
          <w:sz w:val="24"/>
          <w:szCs w:val="24"/>
        </w:rPr>
      </w:pPr>
      <w:r w:rsidRPr="000C4FCD">
        <w:rPr>
          <w:rFonts w:ascii="Times New Roman" w:eastAsia="Calibri" w:hAnsi="Times New Roman" w:cs="Times New Roman"/>
          <w:color w:val="000000" w:themeColor="text1"/>
          <w:sz w:val="24"/>
          <w:szCs w:val="24"/>
        </w:rPr>
        <w:t xml:space="preserve">ZAFFICO has over 50,000 hectares (Table </w:t>
      </w:r>
      <w:r w:rsidR="00F11900" w:rsidRPr="000C4FCD">
        <w:rPr>
          <w:rFonts w:ascii="Times New Roman" w:eastAsia="Calibri" w:hAnsi="Times New Roman" w:cs="Times New Roman"/>
          <w:color w:val="000000" w:themeColor="text1"/>
          <w:sz w:val="24"/>
          <w:szCs w:val="24"/>
        </w:rPr>
        <w:t>4.47)</w:t>
      </w:r>
      <w:r w:rsidRPr="000C4FCD">
        <w:rPr>
          <w:rFonts w:ascii="Times New Roman" w:eastAsia="Calibri" w:hAnsi="Times New Roman" w:cs="Times New Roman"/>
          <w:color w:val="000000" w:themeColor="text1"/>
          <w:sz w:val="24"/>
          <w:szCs w:val="24"/>
        </w:rPr>
        <w:t xml:space="preserve"> of plantations with tree species such as Pine, Eucalyptus, </w:t>
      </w:r>
      <w:r w:rsidR="005F3042" w:rsidRPr="001605E3">
        <w:rPr>
          <w:rFonts w:ascii="Times New Roman" w:eastAsia="Calibri" w:hAnsi="Times New Roman" w:cs="Times New Roman"/>
          <w:i/>
          <w:iCs/>
          <w:color w:val="000000" w:themeColor="text1"/>
          <w:sz w:val="24"/>
          <w:szCs w:val="24"/>
        </w:rPr>
        <w:t>Gmelina arborea</w:t>
      </w:r>
      <w:r w:rsidRPr="000C4FCD">
        <w:rPr>
          <w:rFonts w:ascii="Times New Roman" w:eastAsia="Calibri" w:hAnsi="Times New Roman" w:cs="Times New Roman"/>
          <w:color w:val="000000" w:themeColor="text1"/>
          <w:sz w:val="24"/>
          <w:szCs w:val="24"/>
        </w:rPr>
        <w:t xml:space="preserve">. The organisation is involved in tree planting in schools and communities and offers free extension services to the local communities. ZAFFICO is also involved in the Cashew nut project in Mongu with 103 hectares planted and about 500 hectares is reserved for this purpose. In addition, ZAFFICO is involved in Tea plantation in Kawambwa with 300 hectares planted so far. It is also planned to set up plantations in Pemba and about 5000 hectares is for this purpose. </w:t>
      </w:r>
    </w:p>
    <w:p w14:paraId="053F2C60" w14:textId="77777777" w:rsidR="00245464" w:rsidRPr="000C4FCD" w:rsidRDefault="00245464" w:rsidP="000C4FCD">
      <w:pPr>
        <w:spacing w:after="120" w:line="276" w:lineRule="auto"/>
        <w:jc w:val="both"/>
        <w:rPr>
          <w:rFonts w:ascii="Times New Roman" w:eastAsia="Calibri" w:hAnsi="Times New Roman" w:cs="Times New Roman"/>
          <w:color w:val="000000" w:themeColor="text1"/>
          <w:sz w:val="24"/>
          <w:szCs w:val="24"/>
        </w:rPr>
      </w:pPr>
      <w:r w:rsidRPr="000C4FCD">
        <w:rPr>
          <w:rFonts w:ascii="Times New Roman" w:eastAsia="Calibri" w:hAnsi="Times New Roman" w:cs="Times New Roman"/>
          <w:color w:val="000000" w:themeColor="text1"/>
          <w:sz w:val="24"/>
          <w:szCs w:val="24"/>
        </w:rPr>
        <w:t xml:space="preserve">SNV is supporting agro forestry through planting of Musangu trees and about 20,000 farmers are involved in Katete and Lundazi in 8 agriculture camps. On average, about 3 hectares is allocated per farmer for this purpose. Conservation farming is practiced by the farmers including integrated soil fertility management. The wood from agro forestry is harvested (about 2 tonnes/hectare) and used to make briquettes and pellets for fuel for heating and cooking. The briquettes are made through a company called Super Moto who are also involved in distributing efficient cook-stoves. SNV is also providing support to farmers in rehabilitation of tree stumps in Kagoro area in Chieftainess Nyanje area involving 6 villages, 60 Lead farmers and 30 follower farmers and on average, each farmer has dedicated about one hectare for this purpose. </w:t>
      </w:r>
    </w:p>
    <w:p w14:paraId="6396198B" w14:textId="77777777" w:rsidR="00245464" w:rsidRPr="000C4FCD" w:rsidRDefault="00245464" w:rsidP="000C4FCD">
      <w:pPr>
        <w:spacing w:after="120" w:line="276" w:lineRule="auto"/>
        <w:jc w:val="both"/>
        <w:rPr>
          <w:rFonts w:ascii="Times New Roman" w:eastAsia="Calibri" w:hAnsi="Times New Roman" w:cs="Times New Roman"/>
          <w:color w:val="000000" w:themeColor="text1"/>
          <w:sz w:val="24"/>
          <w:szCs w:val="24"/>
        </w:rPr>
      </w:pPr>
    </w:p>
    <w:p w14:paraId="105ECBF5" w14:textId="77777777" w:rsidR="00245464" w:rsidRPr="000C4FCD" w:rsidRDefault="00245464" w:rsidP="000C4FCD">
      <w:pPr>
        <w:spacing w:after="120" w:line="276" w:lineRule="auto"/>
        <w:jc w:val="both"/>
        <w:rPr>
          <w:rFonts w:ascii="Times New Roman" w:eastAsia="Calibri" w:hAnsi="Times New Roman" w:cs="Times New Roman"/>
          <w:color w:val="000000" w:themeColor="text1"/>
          <w:sz w:val="24"/>
          <w:szCs w:val="24"/>
        </w:rPr>
      </w:pPr>
      <w:r w:rsidRPr="000C4FCD">
        <w:rPr>
          <w:rFonts w:ascii="Times New Roman" w:eastAsia="Calibri" w:hAnsi="Times New Roman" w:cs="Times New Roman"/>
          <w:color w:val="000000" w:themeColor="text1"/>
          <w:sz w:val="24"/>
          <w:szCs w:val="24"/>
        </w:rPr>
        <w:t>In addition, SNV is providing support to Ministry of Lands and Natural Resources in the promotion of bamboo planting in Kagoro areas for charcoal production and briquetting so as to reduce deforestation. About 300 seedlings (</w:t>
      </w:r>
      <w:r w:rsidRPr="001605E3">
        <w:rPr>
          <w:rFonts w:ascii="Times New Roman" w:eastAsia="Calibri" w:hAnsi="Times New Roman" w:cs="Times New Roman"/>
          <w:i/>
          <w:iCs/>
          <w:color w:val="000000" w:themeColor="text1"/>
          <w:sz w:val="24"/>
          <w:szCs w:val="24"/>
        </w:rPr>
        <w:t>Abysi oxytenanthera abyscinia)</w:t>
      </w:r>
      <w:r w:rsidRPr="000C4FCD">
        <w:rPr>
          <w:rFonts w:ascii="Times New Roman" w:eastAsia="Calibri" w:hAnsi="Times New Roman" w:cs="Times New Roman"/>
          <w:color w:val="000000" w:themeColor="text1"/>
          <w:sz w:val="24"/>
          <w:szCs w:val="24"/>
        </w:rPr>
        <w:t xml:space="preserve"> have been distributed so far. The USAID is also involved in providing support to Forestry Department in the REDD+ mechanism to reduce emissions </w:t>
      </w:r>
      <w:r w:rsidRPr="000C4FCD">
        <w:rPr>
          <w:rFonts w:ascii="Times New Roman" w:eastAsia="Calibri" w:hAnsi="Times New Roman" w:cs="Times New Roman"/>
          <w:color w:val="000000" w:themeColor="text1"/>
          <w:sz w:val="24"/>
          <w:szCs w:val="24"/>
        </w:rPr>
        <w:lastRenderedPageBreak/>
        <w:t>from forest degradation. Support is also being provided through Forest Reserve Support Program in 6 districts in Eastern province in carrying out patrols in rural areas.</w:t>
      </w:r>
    </w:p>
    <w:p w14:paraId="1FC31D0B" w14:textId="13FF87DF" w:rsidR="00245464" w:rsidRPr="00191ACB" w:rsidRDefault="00245464"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Efforts are also being made by the private sector to plant trees as part of Corporate Social Responsibility. C</w:t>
      </w:r>
      <w:r w:rsidR="001605E3">
        <w:rPr>
          <w:rFonts w:ascii="Times New Roman" w:eastAsia="Calibri" w:hAnsi="Times New Roman" w:cs="Times New Roman"/>
          <w:color w:val="000000" w:themeColor="text1"/>
          <w:sz w:val="24"/>
          <w:szCs w:val="24"/>
        </w:rPr>
        <w:t xml:space="preserve">opperbelt </w:t>
      </w:r>
      <w:r w:rsidRPr="00191ACB">
        <w:rPr>
          <w:rFonts w:ascii="Times New Roman" w:eastAsia="Calibri" w:hAnsi="Times New Roman" w:cs="Times New Roman"/>
          <w:color w:val="000000" w:themeColor="text1"/>
          <w:sz w:val="24"/>
          <w:szCs w:val="24"/>
        </w:rPr>
        <w:t>E</w:t>
      </w:r>
      <w:r w:rsidR="001605E3">
        <w:rPr>
          <w:rFonts w:ascii="Times New Roman" w:eastAsia="Calibri" w:hAnsi="Times New Roman" w:cs="Times New Roman"/>
          <w:color w:val="000000" w:themeColor="text1"/>
          <w:sz w:val="24"/>
          <w:szCs w:val="24"/>
        </w:rPr>
        <w:t xml:space="preserve">nergy </w:t>
      </w:r>
      <w:r w:rsidRPr="00191ACB">
        <w:rPr>
          <w:rFonts w:ascii="Times New Roman" w:eastAsia="Calibri" w:hAnsi="Times New Roman" w:cs="Times New Roman"/>
          <w:color w:val="000000" w:themeColor="text1"/>
          <w:sz w:val="24"/>
          <w:szCs w:val="24"/>
        </w:rPr>
        <w:t>C</w:t>
      </w:r>
      <w:r w:rsidR="001605E3">
        <w:rPr>
          <w:rFonts w:ascii="Times New Roman" w:eastAsia="Calibri" w:hAnsi="Times New Roman" w:cs="Times New Roman"/>
          <w:color w:val="000000" w:themeColor="text1"/>
          <w:sz w:val="24"/>
          <w:szCs w:val="24"/>
        </w:rPr>
        <w:t>orporation</w:t>
      </w:r>
      <w:r w:rsidRPr="00191ACB">
        <w:rPr>
          <w:rFonts w:ascii="Times New Roman" w:eastAsia="Calibri" w:hAnsi="Times New Roman" w:cs="Times New Roman"/>
          <w:color w:val="000000" w:themeColor="text1"/>
          <w:sz w:val="24"/>
          <w:szCs w:val="24"/>
        </w:rPr>
        <w:t xml:space="preserve"> is collaborating with </w:t>
      </w:r>
      <w:r w:rsidR="001605E3">
        <w:rPr>
          <w:rFonts w:ascii="Times New Roman" w:eastAsia="Calibri" w:hAnsi="Times New Roman" w:cs="Times New Roman"/>
          <w:color w:val="000000" w:themeColor="text1"/>
          <w:sz w:val="24"/>
          <w:szCs w:val="24"/>
        </w:rPr>
        <w:t>F</w:t>
      </w:r>
      <w:r w:rsidRPr="00191ACB">
        <w:rPr>
          <w:rFonts w:ascii="Times New Roman" w:eastAsia="Calibri" w:hAnsi="Times New Roman" w:cs="Times New Roman"/>
          <w:color w:val="000000" w:themeColor="text1"/>
          <w:sz w:val="24"/>
          <w:szCs w:val="24"/>
        </w:rPr>
        <w:t xml:space="preserve">orestry Department in tree planting. Mopani Copper mine is involved in </w:t>
      </w:r>
      <w:r w:rsidRPr="00191ACB">
        <w:rPr>
          <w:rFonts w:ascii="Times New Roman" w:hAnsi="Times New Roman" w:cs="Times New Roman"/>
          <w:color w:val="000000" w:themeColor="text1"/>
          <w:sz w:val="24"/>
          <w:szCs w:val="24"/>
        </w:rPr>
        <w:t xml:space="preserve">distribution of seedlings for acacia, eucalyptus, ornamental and fruit trees to communities and schools. Chambishi Copper Smelter also has a tree planting programs within their facilities, with a land coverage of 70%. The trees planted include jacaranda, bananas, umbrella and oleander. </w:t>
      </w:r>
      <w:r w:rsidRPr="00191ACB">
        <w:rPr>
          <w:rFonts w:ascii="Times New Roman" w:eastAsiaTheme="majorEastAsia" w:hAnsi="Times New Roman" w:cs="Times New Roman"/>
          <w:color w:val="000000" w:themeColor="text1"/>
          <w:spacing w:val="-10"/>
          <w:kern w:val="28"/>
          <w:sz w:val="24"/>
          <w:szCs w:val="24"/>
        </w:rPr>
        <w:t>KCM is c</w:t>
      </w:r>
      <w:r w:rsidRPr="00191ACB">
        <w:rPr>
          <w:rFonts w:ascii="Times New Roman" w:hAnsi="Times New Roman" w:cs="Times New Roman"/>
          <w:color w:val="000000" w:themeColor="text1"/>
          <w:sz w:val="24"/>
          <w:szCs w:val="24"/>
        </w:rPr>
        <w:t xml:space="preserve">urrently running a tree planting program (Pongamia tree species with the view to producing biodiesel). Apart from Pongamia, the mine is also promoting other local tree species and over 100,000 trees have been planted from 2007 to date. </w:t>
      </w:r>
      <w:r w:rsidRPr="00191ACB">
        <w:rPr>
          <w:rFonts w:ascii="Times New Roman" w:eastAsia="Calibri" w:hAnsi="Times New Roman" w:cs="Times New Roman"/>
          <w:color w:val="000000" w:themeColor="text1"/>
          <w:sz w:val="24"/>
          <w:szCs w:val="24"/>
        </w:rPr>
        <w:t xml:space="preserve">ZESCO also has a tree planting programme on annual basis called ‘ZESCO goes green’ and about 10,000 trees are planted per year. </w:t>
      </w:r>
    </w:p>
    <w:p w14:paraId="4B8B2841" w14:textId="77777777" w:rsidR="00A13A2D" w:rsidRPr="00191ACB" w:rsidRDefault="00A13A2D" w:rsidP="005E626A">
      <w:pPr>
        <w:spacing w:after="120" w:line="240" w:lineRule="auto"/>
        <w:jc w:val="both"/>
        <w:rPr>
          <w:rFonts w:ascii="Times New Roman" w:eastAsia="Calibri" w:hAnsi="Times New Roman" w:cs="Times New Roman"/>
          <w:color w:val="000000" w:themeColor="text1"/>
          <w:sz w:val="24"/>
          <w:szCs w:val="24"/>
        </w:rPr>
      </w:pPr>
    </w:p>
    <w:p w14:paraId="336B94EA" w14:textId="7F6CE07F" w:rsidR="00A13A2D" w:rsidRPr="00191ACB" w:rsidRDefault="00A13A2D" w:rsidP="00A13A2D">
      <w:pPr>
        <w:pStyle w:val="Caption"/>
        <w:rPr>
          <w:rFonts w:eastAsia="Calibri"/>
          <w:color w:val="000000" w:themeColor="text1"/>
          <w:sz w:val="24"/>
          <w:szCs w:val="24"/>
        </w:rPr>
      </w:pPr>
      <w:bookmarkStart w:id="447" w:name="_Toc56583823"/>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47</w:t>
      </w:r>
      <w:r w:rsidR="00875942">
        <w:rPr>
          <w:sz w:val="24"/>
          <w:szCs w:val="24"/>
        </w:rPr>
        <w:fldChar w:fldCharType="end"/>
      </w:r>
      <w:r w:rsidRPr="00191ACB">
        <w:rPr>
          <w:sz w:val="24"/>
          <w:szCs w:val="24"/>
        </w:rPr>
        <w:t>:Tree Planting mitigation actions</w:t>
      </w:r>
      <w:bookmarkEnd w:id="447"/>
    </w:p>
    <w:tbl>
      <w:tblPr>
        <w:tblW w:w="4974" w:type="pct"/>
        <w:tblInd w:w="5" w:type="dxa"/>
        <w:tblLook w:val="04A0" w:firstRow="1" w:lastRow="0" w:firstColumn="1" w:lastColumn="0" w:noHBand="0" w:noVBand="1"/>
      </w:tblPr>
      <w:tblGrid>
        <w:gridCol w:w="1563"/>
        <w:gridCol w:w="6999"/>
        <w:gridCol w:w="1126"/>
      </w:tblGrid>
      <w:tr w:rsidR="00245464" w:rsidRPr="001605E3" w14:paraId="11CA4D69" w14:textId="77777777" w:rsidTr="00A13A2D">
        <w:trPr>
          <w:trHeight w:val="313"/>
          <w:tblHeader/>
        </w:trPr>
        <w:tc>
          <w:tcPr>
            <w:tcW w:w="807" w:type="pct"/>
            <w:tcBorders>
              <w:top w:val="single" w:sz="4" w:space="0" w:color="auto"/>
              <w:left w:val="single" w:sz="4" w:space="0" w:color="auto"/>
              <w:bottom w:val="single" w:sz="4" w:space="0" w:color="auto"/>
              <w:right w:val="single" w:sz="4" w:space="0" w:color="auto"/>
            </w:tcBorders>
            <w:shd w:val="clear" w:color="auto" w:fill="auto"/>
            <w:vAlign w:val="center"/>
          </w:tcPr>
          <w:p w14:paraId="33CC4399" w14:textId="77777777" w:rsidR="00245464" w:rsidRPr="001605E3"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1605E3">
              <w:rPr>
                <w:rFonts w:ascii="Times New Roman" w:eastAsia="Times New Roman" w:hAnsi="Times New Roman" w:cs="Times New Roman"/>
                <w:b/>
                <w:color w:val="000000" w:themeColor="text1"/>
                <w:sz w:val="20"/>
                <w:szCs w:val="20"/>
              </w:rPr>
              <w:t>Organisation</w:t>
            </w:r>
          </w:p>
        </w:tc>
        <w:tc>
          <w:tcPr>
            <w:tcW w:w="3612" w:type="pct"/>
            <w:tcBorders>
              <w:top w:val="single" w:sz="4" w:space="0" w:color="000000"/>
              <w:left w:val="single" w:sz="4" w:space="0" w:color="auto"/>
              <w:bottom w:val="single" w:sz="4" w:space="0" w:color="000000"/>
              <w:right w:val="single" w:sz="4" w:space="0" w:color="000000"/>
            </w:tcBorders>
            <w:shd w:val="clear" w:color="auto" w:fill="auto"/>
            <w:vAlign w:val="center"/>
          </w:tcPr>
          <w:p w14:paraId="3E4A2158" w14:textId="77777777" w:rsidR="00245464" w:rsidRPr="001605E3"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1605E3">
              <w:rPr>
                <w:rFonts w:ascii="Times New Roman" w:eastAsia="Times New Roman" w:hAnsi="Times New Roman" w:cs="Times New Roman"/>
                <w:b/>
                <w:color w:val="000000" w:themeColor="text1"/>
                <w:sz w:val="20"/>
                <w:szCs w:val="20"/>
              </w:rPr>
              <w:t>Description</w:t>
            </w:r>
          </w:p>
        </w:tc>
        <w:tc>
          <w:tcPr>
            <w:tcW w:w="581" w:type="pct"/>
            <w:tcBorders>
              <w:top w:val="single" w:sz="4" w:space="0" w:color="auto"/>
              <w:left w:val="nil"/>
              <w:bottom w:val="single" w:sz="4" w:space="0" w:color="auto"/>
              <w:right w:val="single" w:sz="4" w:space="0" w:color="auto"/>
            </w:tcBorders>
            <w:shd w:val="clear" w:color="auto" w:fill="auto"/>
            <w:vAlign w:val="center"/>
          </w:tcPr>
          <w:p w14:paraId="3CEE01DD" w14:textId="77777777" w:rsidR="00245464" w:rsidRPr="001605E3" w:rsidRDefault="00245464" w:rsidP="00245464">
            <w:pPr>
              <w:spacing w:after="0" w:line="240" w:lineRule="auto"/>
              <w:jc w:val="both"/>
              <w:rPr>
                <w:rFonts w:ascii="Times New Roman" w:eastAsia="Times New Roman" w:hAnsi="Times New Roman" w:cs="Times New Roman"/>
                <w:b/>
                <w:color w:val="000000" w:themeColor="text1"/>
                <w:sz w:val="20"/>
                <w:szCs w:val="20"/>
              </w:rPr>
            </w:pPr>
            <w:r w:rsidRPr="001605E3">
              <w:rPr>
                <w:rFonts w:ascii="Times New Roman" w:eastAsia="Times New Roman" w:hAnsi="Times New Roman" w:cs="Times New Roman"/>
                <w:b/>
                <w:color w:val="000000" w:themeColor="text1"/>
                <w:sz w:val="20"/>
                <w:szCs w:val="20"/>
              </w:rPr>
              <w:t>Hectares planted</w:t>
            </w:r>
          </w:p>
        </w:tc>
      </w:tr>
      <w:tr w:rsidR="00245464" w:rsidRPr="001605E3" w14:paraId="180D06E5" w14:textId="77777777" w:rsidTr="00A13A2D">
        <w:trPr>
          <w:trHeight w:val="545"/>
        </w:trPr>
        <w:tc>
          <w:tcPr>
            <w:tcW w:w="807" w:type="pct"/>
            <w:vMerge w:val="restart"/>
            <w:tcBorders>
              <w:top w:val="single" w:sz="4" w:space="0" w:color="auto"/>
              <w:left w:val="single" w:sz="4" w:space="0" w:color="auto"/>
              <w:right w:val="single" w:sz="4" w:space="0" w:color="auto"/>
            </w:tcBorders>
            <w:shd w:val="clear" w:color="auto" w:fill="auto"/>
            <w:vAlign w:val="center"/>
          </w:tcPr>
          <w:p w14:paraId="19086B9F"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ZAFFICO</w:t>
            </w:r>
          </w:p>
        </w:tc>
        <w:tc>
          <w:tcPr>
            <w:tcW w:w="3612" w:type="pct"/>
            <w:tcBorders>
              <w:top w:val="nil"/>
              <w:left w:val="single" w:sz="4" w:space="0" w:color="auto"/>
              <w:bottom w:val="single" w:sz="4" w:space="0" w:color="000000"/>
              <w:right w:val="single" w:sz="4" w:space="0" w:color="000000"/>
            </w:tcBorders>
            <w:shd w:val="clear" w:color="auto" w:fill="auto"/>
          </w:tcPr>
          <w:p w14:paraId="73156842" w14:textId="762A75BD"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xml:space="preserve">Plantations of pine, Eucalyptus, </w:t>
            </w:r>
            <w:r w:rsidR="00D13EB7" w:rsidRPr="001605E3">
              <w:rPr>
                <w:rFonts w:ascii="Times New Roman" w:eastAsia="Calibri" w:hAnsi="Times New Roman" w:cs="Times New Roman"/>
                <w:i/>
                <w:color w:val="000000" w:themeColor="text1"/>
                <w:sz w:val="20"/>
                <w:szCs w:val="20"/>
              </w:rPr>
              <w:t>Gmelina arborea</w:t>
            </w:r>
            <w:r w:rsidR="00D13EB7" w:rsidRPr="001605E3">
              <w:rPr>
                <w:rFonts w:ascii="Times New Roman" w:eastAsia="Calibri" w:hAnsi="Times New Roman" w:cs="Times New Roman"/>
                <w:color w:val="000000" w:themeColor="text1"/>
                <w:sz w:val="20"/>
                <w:szCs w:val="20"/>
              </w:rPr>
              <w:t xml:space="preserve"> </w:t>
            </w:r>
            <w:r w:rsidRPr="001605E3">
              <w:rPr>
                <w:rFonts w:ascii="Times New Roman" w:eastAsia="Times New Roman" w:hAnsi="Times New Roman" w:cs="Times New Roman"/>
                <w:color w:val="000000" w:themeColor="text1"/>
                <w:sz w:val="20"/>
                <w:szCs w:val="20"/>
              </w:rPr>
              <w:t>(used in timber industries, construction industries, match sticks).</w:t>
            </w:r>
          </w:p>
        </w:tc>
        <w:tc>
          <w:tcPr>
            <w:tcW w:w="581" w:type="pct"/>
            <w:tcBorders>
              <w:top w:val="nil"/>
              <w:left w:val="nil"/>
              <w:bottom w:val="single" w:sz="4" w:space="0" w:color="auto"/>
              <w:right w:val="single" w:sz="4" w:space="0" w:color="auto"/>
            </w:tcBorders>
            <w:shd w:val="clear" w:color="auto" w:fill="auto"/>
            <w:vAlign w:val="center"/>
          </w:tcPr>
          <w:p w14:paraId="174DA058"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50,000</w:t>
            </w:r>
          </w:p>
        </w:tc>
      </w:tr>
      <w:tr w:rsidR="00245464" w:rsidRPr="001605E3" w14:paraId="077DAFE5" w14:textId="77777777" w:rsidTr="00A13A2D">
        <w:trPr>
          <w:trHeight w:val="275"/>
        </w:trPr>
        <w:tc>
          <w:tcPr>
            <w:tcW w:w="807" w:type="pct"/>
            <w:vMerge/>
            <w:tcBorders>
              <w:left w:val="single" w:sz="4" w:space="0" w:color="auto"/>
              <w:right w:val="single" w:sz="4" w:space="0" w:color="auto"/>
            </w:tcBorders>
            <w:shd w:val="clear" w:color="auto" w:fill="auto"/>
            <w:vAlign w:val="center"/>
            <w:hideMark/>
          </w:tcPr>
          <w:p w14:paraId="46CE3823"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p>
        </w:tc>
        <w:tc>
          <w:tcPr>
            <w:tcW w:w="3612" w:type="pct"/>
            <w:tcBorders>
              <w:top w:val="nil"/>
              <w:left w:val="single" w:sz="4" w:space="0" w:color="auto"/>
              <w:bottom w:val="single" w:sz="4" w:space="0" w:color="000000"/>
              <w:right w:val="single" w:sz="4" w:space="0" w:color="000000"/>
            </w:tcBorders>
            <w:shd w:val="clear" w:color="auto" w:fill="auto"/>
            <w:hideMark/>
          </w:tcPr>
          <w:p w14:paraId="704C7259" w14:textId="05643F00"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xml:space="preserve"> Plantations of pine, Eucalyptus, </w:t>
            </w:r>
            <w:r w:rsidR="00D13EB7" w:rsidRPr="001605E3">
              <w:rPr>
                <w:rFonts w:ascii="Times New Roman" w:eastAsia="Calibri" w:hAnsi="Times New Roman" w:cs="Times New Roman"/>
                <w:i/>
                <w:color w:val="000000" w:themeColor="text1"/>
                <w:sz w:val="20"/>
                <w:szCs w:val="20"/>
              </w:rPr>
              <w:t>Gmelina arborea</w:t>
            </w:r>
            <w:r w:rsidR="00D13EB7" w:rsidRPr="001605E3">
              <w:rPr>
                <w:rFonts w:ascii="Times New Roman" w:eastAsia="Calibri" w:hAnsi="Times New Roman" w:cs="Times New Roman"/>
                <w:color w:val="000000" w:themeColor="text1"/>
                <w:sz w:val="20"/>
                <w:szCs w:val="20"/>
              </w:rPr>
              <w:t xml:space="preserve"> </w:t>
            </w:r>
            <w:r w:rsidRPr="001605E3">
              <w:rPr>
                <w:rFonts w:ascii="Times New Roman" w:eastAsia="Times New Roman" w:hAnsi="Times New Roman" w:cs="Times New Roman"/>
                <w:color w:val="000000" w:themeColor="text1"/>
                <w:sz w:val="20"/>
                <w:szCs w:val="20"/>
              </w:rPr>
              <w:t xml:space="preserve">- Ndola -most plantations being 10years and below. </w:t>
            </w:r>
          </w:p>
        </w:tc>
        <w:tc>
          <w:tcPr>
            <w:tcW w:w="581" w:type="pct"/>
            <w:tcBorders>
              <w:top w:val="nil"/>
              <w:left w:val="nil"/>
              <w:bottom w:val="single" w:sz="4" w:space="0" w:color="auto"/>
              <w:right w:val="single" w:sz="4" w:space="0" w:color="auto"/>
            </w:tcBorders>
            <w:shd w:val="clear" w:color="auto" w:fill="auto"/>
            <w:vAlign w:val="center"/>
            <w:hideMark/>
          </w:tcPr>
          <w:p w14:paraId="3FCBC628"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19,000</w:t>
            </w:r>
          </w:p>
        </w:tc>
      </w:tr>
      <w:tr w:rsidR="00245464" w:rsidRPr="001605E3" w14:paraId="77B9F86D" w14:textId="77777777" w:rsidTr="00A13A2D">
        <w:trPr>
          <w:trHeight w:val="333"/>
        </w:trPr>
        <w:tc>
          <w:tcPr>
            <w:tcW w:w="807" w:type="pct"/>
            <w:vMerge/>
            <w:tcBorders>
              <w:left w:val="single" w:sz="4" w:space="0" w:color="auto"/>
              <w:right w:val="single" w:sz="4" w:space="0" w:color="auto"/>
            </w:tcBorders>
            <w:shd w:val="clear" w:color="auto" w:fill="auto"/>
            <w:vAlign w:val="center"/>
          </w:tcPr>
          <w:p w14:paraId="7BD1A2FA"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p>
        </w:tc>
        <w:tc>
          <w:tcPr>
            <w:tcW w:w="3612" w:type="pct"/>
            <w:tcBorders>
              <w:top w:val="nil"/>
              <w:left w:val="single" w:sz="4" w:space="0" w:color="auto"/>
              <w:bottom w:val="single" w:sz="4" w:space="0" w:color="000000"/>
              <w:right w:val="single" w:sz="4" w:space="0" w:color="000000"/>
            </w:tcBorders>
            <w:shd w:val="clear" w:color="auto" w:fill="auto"/>
          </w:tcPr>
          <w:p w14:paraId="34665944" w14:textId="1B87DF0D" w:rsidR="00245464" w:rsidRPr="001605E3" w:rsidRDefault="00B23833"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T</w:t>
            </w:r>
            <w:r w:rsidR="00245464" w:rsidRPr="001605E3">
              <w:rPr>
                <w:rFonts w:ascii="Times New Roman" w:eastAsia="Times New Roman" w:hAnsi="Times New Roman" w:cs="Times New Roman"/>
                <w:color w:val="000000" w:themeColor="text1"/>
                <w:sz w:val="20"/>
                <w:szCs w:val="20"/>
              </w:rPr>
              <w:t>ea plantations in Kawambwa</w:t>
            </w:r>
          </w:p>
        </w:tc>
        <w:tc>
          <w:tcPr>
            <w:tcW w:w="581" w:type="pct"/>
            <w:tcBorders>
              <w:top w:val="nil"/>
              <w:left w:val="nil"/>
              <w:bottom w:val="single" w:sz="4" w:space="0" w:color="auto"/>
              <w:right w:val="single" w:sz="4" w:space="0" w:color="auto"/>
            </w:tcBorders>
            <w:shd w:val="clear" w:color="auto" w:fill="auto"/>
            <w:vAlign w:val="center"/>
          </w:tcPr>
          <w:p w14:paraId="557B56B3"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300</w:t>
            </w:r>
          </w:p>
        </w:tc>
      </w:tr>
      <w:tr w:rsidR="00245464" w:rsidRPr="001605E3" w14:paraId="655B0F9E" w14:textId="77777777" w:rsidTr="00A13A2D">
        <w:trPr>
          <w:trHeight w:val="217"/>
        </w:trPr>
        <w:tc>
          <w:tcPr>
            <w:tcW w:w="807" w:type="pct"/>
            <w:vMerge/>
            <w:tcBorders>
              <w:left w:val="single" w:sz="4" w:space="0" w:color="auto"/>
              <w:right w:val="single" w:sz="4" w:space="0" w:color="auto"/>
            </w:tcBorders>
            <w:shd w:val="clear" w:color="auto" w:fill="auto"/>
            <w:vAlign w:val="center"/>
          </w:tcPr>
          <w:p w14:paraId="347C60EA"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p>
        </w:tc>
        <w:tc>
          <w:tcPr>
            <w:tcW w:w="3612" w:type="pct"/>
            <w:tcBorders>
              <w:top w:val="nil"/>
              <w:left w:val="single" w:sz="4" w:space="0" w:color="auto"/>
              <w:bottom w:val="single" w:sz="4" w:space="0" w:color="000000"/>
              <w:right w:val="single" w:sz="4" w:space="0" w:color="000000"/>
            </w:tcBorders>
            <w:shd w:val="clear" w:color="auto" w:fill="auto"/>
          </w:tcPr>
          <w:p w14:paraId="229EB977" w14:textId="7671F726" w:rsidR="00245464" w:rsidRPr="001605E3" w:rsidRDefault="00C55999"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xml:space="preserve">Cashew-nuts plantations </w:t>
            </w:r>
            <w:r w:rsidR="00245464" w:rsidRPr="001605E3">
              <w:rPr>
                <w:rFonts w:ascii="Times New Roman" w:eastAsia="Times New Roman" w:hAnsi="Times New Roman" w:cs="Times New Roman"/>
                <w:color w:val="000000" w:themeColor="text1"/>
                <w:sz w:val="20"/>
                <w:szCs w:val="20"/>
              </w:rPr>
              <w:t>Mongu</w:t>
            </w:r>
          </w:p>
        </w:tc>
        <w:tc>
          <w:tcPr>
            <w:tcW w:w="581" w:type="pct"/>
            <w:tcBorders>
              <w:top w:val="nil"/>
              <w:left w:val="nil"/>
              <w:bottom w:val="single" w:sz="4" w:space="0" w:color="auto"/>
              <w:right w:val="single" w:sz="4" w:space="0" w:color="auto"/>
            </w:tcBorders>
            <w:shd w:val="clear" w:color="auto" w:fill="auto"/>
            <w:vAlign w:val="center"/>
          </w:tcPr>
          <w:p w14:paraId="3E3DD68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103</w:t>
            </w:r>
          </w:p>
        </w:tc>
      </w:tr>
      <w:tr w:rsidR="00245464" w:rsidRPr="001605E3" w14:paraId="5616E379" w14:textId="77777777" w:rsidTr="00A13A2D">
        <w:trPr>
          <w:trHeight w:val="524"/>
        </w:trPr>
        <w:tc>
          <w:tcPr>
            <w:tcW w:w="807" w:type="pct"/>
            <w:vMerge/>
            <w:tcBorders>
              <w:left w:val="single" w:sz="4" w:space="0" w:color="auto"/>
              <w:bottom w:val="single" w:sz="4" w:space="0" w:color="auto"/>
              <w:right w:val="single" w:sz="4" w:space="0" w:color="auto"/>
            </w:tcBorders>
            <w:shd w:val="clear" w:color="auto" w:fill="auto"/>
            <w:vAlign w:val="center"/>
          </w:tcPr>
          <w:p w14:paraId="71730ACB"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p>
        </w:tc>
        <w:tc>
          <w:tcPr>
            <w:tcW w:w="3612" w:type="pct"/>
            <w:tcBorders>
              <w:top w:val="nil"/>
              <w:left w:val="single" w:sz="4" w:space="0" w:color="auto"/>
              <w:bottom w:val="single" w:sz="4" w:space="0" w:color="000000"/>
              <w:right w:val="single" w:sz="4" w:space="0" w:color="000000"/>
            </w:tcBorders>
            <w:shd w:val="clear" w:color="auto" w:fill="auto"/>
          </w:tcPr>
          <w:p w14:paraId="65720B40"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xml:space="preserve">Plantations in Eastern Province, Pemba and Luwingu (these two are set to begin this financial year). For Pemba, earmarked hectares will not be less than </w:t>
            </w:r>
          </w:p>
        </w:tc>
        <w:tc>
          <w:tcPr>
            <w:tcW w:w="581" w:type="pct"/>
            <w:tcBorders>
              <w:top w:val="nil"/>
              <w:left w:val="nil"/>
              <w:bottom w:val="single" w:sz="4" w:space="0" w:color="auto"/>
              <w:right w:val="single" w:sz="4" w:space="0" w:color="auto"/>
            </w:tcBorders>
            <w:shd w:val="clear" w:color="auto" w:fill="auto"/>
            <w:vAlign w:val="center"/>
          </w:tcPr>
          <w:p w14:paraId="632679AE"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5,000</w:t>
            </w:r>
          </w:p>
        </w:tc>
      </w:tr>
      <w:tr w:rsidR="00245464" w:rsidRPr="001605E3" w14:paraId="5993F4C2" w14:textId="77777777" w:rsidTr="00A13A2D">
        <w:trPr>
          <w:trHeight w:val="70"/>
        </w:trPr>
        <w:tc>
          <w:tcPr>
            <w:tcW w:w="807" w:type="pct"/>
            <w:tcBorders>
              <w:top w:val="single" w:sz="4" w:space="0" w:color="auto"/>
              <w:left w:val="single" w:sz="4" w:space="0" w:color="auto"/>
              <w:bottom w:val="single" w:sz="4" w:space="0" w:color="auto"/>
              <w:right w:val="single" w:sz="4" w:space="0" w:color="auto"/>
            </w:tcBorders>
            <w:shd w:val="clear" w:color="auto" w:fill="auto"/>
            <w:hideMark/>
          </w:tcPr>
          <w:p w14:paraId="2FF9BE43"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xml:space="preserve">SNV rehabilitation of tree stamps </w:t>
            </w:r>
          </w:p>
        </w:tc>
        <w:tc>
          <w:tcPr>
            <w:tcW w:w="3612" w:type="pct"/>
            <w:tcBorders>
              <w:top w:val="nil"/>
              <w:left w:val="single" w:sz="4" w:space="0" w:color="auto"/>
              <w:bottom w:val="single" w:sz="4" w:space="0" w:color="000000"/>
              <w:right w:val="single" w:sz="4" w:space="0" w:color="000000"/>
            </w:tcBorders>
            <w:shd w:val="clear" w:color="auto" w:fill="auto"/>
            <w:hideMark/>
          </w:tcPr>
          <w:p w14:paraId="1B04EE74"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xml:space="preserve">1, 800 farmers, 6 villages, 60 lead farmers and 30 follower farmers for each lead farmer. Each has 1 hectare dedicated for this purpose. 20X33 trees per hectare  </w:t>
            </w:r>
          </w:p>
        </w:tc>
        <w:tc>
          <w:tcPr>
            <w:tcW w:w="581" w:type="pct"/>
            <w:tcBorders>
              <w:top w:val="nil"/>
              <w:left w:val="nil"/>
              <w:bottom w:val="single" w:sz="4" w:space="0" w:color="auto"/>
              <w:right w:val="single" w:sz="4" w:space="0" w:color="auto"/>
            </w:tcBorders>
            <w:shd w:val="clear" w:color="auto" w:fill="auto"/>
            <w:vAlign w:val="center"/>
            <w:hideMark/>
          </w:tcPr>
          <w:p w14:paraId="273C9103" w14:textId="0F8B5DBE" w:rsidR="00245464" w:rsidRPr="001605E3" w:rsidRDefault="00D13EB7"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1,800</w:t>
            </w:r>
          </w:p>
        </w:tc>
      </w:tr>
      <w:tr w:rsidR="00245464" w:rsidRPr="001605E3" w14:paraId="07180F8C" w14:textId="77777777" w:rsidTr="00A13A2D">
        <w:trPr>
          <w:trHeight w:val="788"/>
        </w:trPr>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219A0F"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xml:space="preserve">SNV-Planting bamboo for charcoal making. </w:t>
            </w:r>
          </w:p>
        </w:tc>
        <w:tc>
          <w:tcPr>
            <w:tcW w:w="3612" w:type="pct"/>
            <w:tcBorders>
              <w:top w:val="nil"/>
              <w:left w:val="single" w:sz="4" w:space="0" w:color="auto"/>
              <w:bottom w:val="single" w:sz="4" w:space="0" w:color="000000"/>
              <w:right w:val="single" w:sz="4" w:space="0" w:color="000000"/>
            </w:tcBorders>
            <w:shd w:val="clear" w:color="auto" w:fill="auto"/>
            <w:vAlign w:val="center"/>
            <w:hideMark/>
          </w:tcPr>
          <w:p w14:paraId="501FF449" w14:textId="71D192CD"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Started 300 seedlings with 5X5 metre spacing producing 400 bamboo per hectare</w:t>
            </w:r>
          </w:p>
        </w:tc>
        <w:tc>
          <w:tcPr>
            <w:tcW w:w="581" w:type="pct"/>
            <w:tcBorders>
              <w:top w:val="nil"/>
              <w:left w:val="nil"/>
              <w:bottom w:val="single" w:sz="4" w:space="0" w:color="auto"/>
              <w:right w:val="single" w:sz="4" w:space="0" w:color="auto"/>
            </w:tcBorders>
            <w:shd w:val="clear" w:color="auto" w:fill="auto"/>
            <w:vAlign w:val="center"/>
            <w:hideMark/>
          </w:tcPr>
          <w:p w14:paraId="74EB6F41"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400</w:t>
            </w:r>
          </w:p>
        </w:tc>
      </w:tr>
    </w:tbl>
    <w:p w14:paraId="411915F2" w14:textId="77777777" w:rsidR="00245464" w:rsidRPr="00191ACB" w:rsidRDefault="00245464" w:rsidP="00245464">
      <w:pPr>
        <w:jc w:val="both"/>
        <w:rPr>
          <w:rFonts w:ascii="Times New Roman" w:eastAsia="Calibri" w:hAnsi="Times New Roman" w:cs="Times New Roman"/>
          <w:b/>
          <w:color w:val="000000" w:themeColor="text1"/>
          <w:sz w:val="24"/>
          <w:szCs w:val="24"/>
          <w:highlight w:val="red"/>
        </w:rPr>
      </w:pPr>
    </w:p>
    <w:p w14:paraId="13875805" w14:textId="2C48F3B1" w:rsidR="00245464" w:rsidRPr="00191ACB" w:rsidRDefault="00245464"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One cubic meter (1m</w:t>
      </w:r>
      <w:r w:rsidRPr="00191ACB">
        <w:rPr>
          <w:rFonts w:ascii="Times New Roman" w:eastAsia="Calibri" w:hAnsi="Times New Roman" w:cs="Times New Roman"/>
          <w:color w:val="000000" w:themeColor="text1"/>
          <w:sz w:val="24"/>
          <w:szCs w:val="24"/>
          <w:vertAlign w:val="superscript"/>
        </w:rPr>
        <w:t>3</w:t>
      </w:r>
      <w:r w:rsidRPr="00191ACB">
        <w:rPr>
          <w:rFonts w:ascii="Times New Roman" w:eastAsia="Calibri" w:hAnsi="Times New Roman" w:cs="Times New Roman"/>
          <w:color w:val="000000" w:themeColor="text1"/>
          <w:sz w:val="24"/>
          <w:szCs w:val="24"/>
        </w:rPr>
        <w:t xml:space="preserve">) of wood was assumed to be equivalent to 304 kg mass.  Other parameters and assumptions used in calculating emissions reduction under forestry are provided in Table </w:t>
      </w:r>
      <w:r w:rsidR="00F11900" w:rsidRPr="00191ACB">
        <w:rPr>
          <w:rFonts w:ascii="Times New Roman" w:eastAsia="Calibri" w:hAnsi="Times New Roman" w:cs="Times New Roman"/>
          <w:color w:val="000000" w:themeColor="text1"/>
          <w:sz w:val="24"/>
          <w:szCs w:val="24"/>
        </w:rPr>
        <w:t>4.4</w:t>
      </w:r>
      <w:r w:rsidR="00C140BE" w:rsidRPr="00191ACB">
        <w:rPr>
          <w:rFonts w:ascii="Times New Roman" w:eastAsia="Calibri" w:hAnsi="Times New Roman" w:cs="Times New Roman"/>
          <w:color w:val="000000" w:themeColor="text1"/>
          <w:sz w:val="24"/>
          <w:szCs w:val="24"/>
        </w:rPr>
        <w:t>8</w:t>
      </w:r>
      <w:r w:rsidRPr="00191ACB">
        <w:rPr>
          <w:rFonts w:ascii="Times New Roman" w:eastAsia="Calibri" w:hAnsi="Times New Roman" w:cs="Times New Roman"/>
          <w:color w:val="000000" w:themeColor="text1"/>
          <w:sz w:val="24"/>
          <w:szCs w:val="24"/>
        </w:rPr>
        <w:t>.</w:t>
      </w:r>
    </w:p>
    <w:p w14:paraId="1E4F4D8C" w14:textId="635EAD8D" w:rsidR="00A13A2D" w:rsidRPr="00191ACB" w:rsidRDefault="00A13A2D" w:rsidP="00A13A2D">
      <w:pPr>
        <w:jc w:val="both"/>
        <w:rPr>
          <w:rFonts w:ascii="Times New Roman" w:eastAsia="Calibri" w:hAnsi="Times New Roman" w:cs="Times New Roman"/>
          <w:color w:val="000000" w:themeColor="text1"/>
          <w:sz w:val="24"/>
          <w:szCs w:val="24"/>
        </w:rPr>
      </w:pPr>
    </w:p>
    <w:p w14:paraId="4234F52E" w14:textId="0B361602" w:rsidR="00A13A2D" w:rsidRPr="00191ACB" w:rsidRDefault="00A13A2D" w:rsidP="00A13A2D">
      <w:pPr>
        <w:pStyle w:val="Caption"/>
        <w:rPr>
          <w:rFonts w:eastAsia="Calibri"/>
          <w:color w:val="000000" w:themeColor="text1"/>
          <w:sz w:val="24"/>
          <w:szCs w:val="24"/>
        </w:rPr>
      </w:pPr>
      <w:bookmarkStart w:id="448" w:name="_Toc56583824"/>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48</w:t>
      </w:r>
      <w:r w:rsidR="00875942">
        <w:rPr>
          <w:sz w:val="24"/>
          <w:szCs w:val="24"/>
        </w:rPr>
        <w:fldChar w:fldCharType="end"/>
      </w:r>
      <w:r w:rsidRPr="00191ACB">
        <w:rPr>
          <w:sz w:val="24"/>
          <w:szCs w:val="24"/>
        </w:rPr>
        <w:t>:Parameters and assumptions used in calculating emissions reduction under forestry</w:t>
      </w:r>
      <w:bookmarkEnd w:id="4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3"/>
        <w:gridCol w:w="1198"/>
        <w:gridCol w:w="900"/>
        <w:gridCol w:w="2248"/>
      </w:tblGrid>
      <w:tr w:rsidR="00245464" w:rsidRPr="001605E3" w14:paraId="589B9E84" w14:textId="77777777" w:rsidTr="005E626A">
        <w:trPr>
          <w:trHeight w:val="345"/>
        </w:trPr>
        <w:tc>
          <w:tcPr>
            <w:tcW w:w="2769" w:type="pct"/>
            <w:shd w:val="clear" w:color="auto" w:fill="auto"/>
            <w:noWrap/>
          </w:tcPr>
          <w:p w14:paraId="4A487389"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Parameter</w:t>
            </w:r>
          </w:p>
        </w:tc>
        <w:tc>
          <w:tcPr>
            <w:tcW w:w="615" w:type="pct"/>
            <w:shd w:val="clear" w:color="auto" w:fill="auto"/>
            <w:noWrap/>
          </w:tcPr>
          <w:p w14:paraId="58851FB1"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Musangu</w:t>
            </w:r>
          </w:p>
        </w:tc>
        <w:tc>
          <w:tcPr>
            <w:tcW w:w="462" w:type="pct"/>
          </w:tcPr>
          <w:p w14:paraId="061DA9BD"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Pine</w:t>
            </w:r>
          </w:p>
        </w:tc>
        <w:tc>
          <w:tcPr>
            <w:tcW w:w="1154" w:type="pct"/>
          </w:tcPr>
          <w:p w14:paraId="3B05625F"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Natural Regeneration</w:t>
            </w:r>
          </w:p>
        </w:tc>
      </w:tr>
      <w:tr w:rsidR="00245464" w:rsidRPr="001605E3" w14:paraId="231A1C98" w14:textId="77777777" w:rsidTr="005E626A">
        <w:trPr>
          <w:trHeight w:val="345"/>
        </w:trPr>
        <w:tc>
          <w:tcPr>
            <w:tcW w:w="2769" w:type="pct"/>
            <w:shd w:val="clear" w:color="auto" w:fill="auto"/>
            <w:noWrap/>
            <w:vAlign w:val="bottom"/>
            <w:hideMark/>
          </w:tcPr>
          <w:p w14:paraId="651D1D25" w14:textId="4D0C36C0"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Growth rate m</w:t>
            </w:r>
            <w:r w:rsidRPr="001605E3">
              <w:rPr>
                <w:rFonts w:ascii="Times New Roman" w:eastAsia="Calibri" w:hAnsi="Times New Roman" w:cs="Times New Roman"/>
                <w:color w:val="000000" w:themeColor="text1"/>
                <w:sz w:val="20"/>
                <w:szCs w:val="20"/>
                <w:vertAlign w:val="superscript"/>
              </w:rPr>
              <w:t>3</w:t>
            </w:r>
            <w:r w:rsidRPr="001605E3">
              <w:rPr>
                <w:rFonts w:ascii="Times New Roman" w:eastAsia="Calibri" w:hAnsi="Times New Roman" w:cs="Times New Roman"/>
                <w:color w:val="000000" w:themeColor="text1"/>
                <w:sz w:val="20"/>
                <w:szCs w:val="20"/>
              </w:rPr>
              <w:t>/year</w:t>
            </w:r>
            <w:r w:rsidR="001605E3" w:rsidRPr="001605E3">
              <w:rPr>
                <w:rFonts w:ascii="Times New Roman" w:eastAsia="Calibri" w:hAnsi="Times New Roman" w:cs="Times New Roman"/>
                <w:color w:val="000000" w:themeColor="text1"/>
                <w:sz w:val="20"/>
                <w:szCs w:val="20"/>
              </w:rPr>
              <w:t xml:space="preserve"> </w:t>
            </w:r>
            <w:r w:rsidRPr="001605E3">
              <w:rPr>
                <w:rFonts w:ascii="Times New Roman" w:eastAsia="Calibri" w:hAnsi="Times New Roman" w:cs="Times New Roman"/>
                <w:color w:val="000000" w:themeColor="text1"/>
                <w:sz w:val="20"/>
                <w:szCs w:val="20"/>
              </w:rPr>
              <w:t>(6-18 Years)</w:t>
            </w:r>
          </w:p>
        </w:tc>
        <w:tc>
          <w:tcPr>
            <w:tcW w:w="615" w:type="pct"/>
            <w:shd w:val="clear" w:color="auto" w:fill="auto"/>
            <w:noWrap/>
            <w:hideMark/>
          </w:tcPr>
          <w:p w14:paraId="28F40390"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3.5</w:t>
            </w:r>
          </w:p>
        </w:tc>
        <w:tc>
          <w:tcPr>
            <w:tcW w:w="462" w:type="pct"/>
          </w:tcPr>
          <w:p w14:paraId="34396D1A"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15</w:t>
            </w:r>
          </w:p>
        </w:tc>
        <w:tc>
          <w:tcPr>
            <w:tcW w:w="1154" w:type="pct"/>
          </w:tcPr>
          <w:p w14:paraId="1A1B445B"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1.5</w:t>
            </w:r>
          </w:p>
        </w:tc>
      </w:tr>
      <w:tr w:rsidR="00245464" w:rsidRPr="001605E3" w14:paraId="169A2E2A" w14:textId="77777777" w:rsidTr="005E626A">
        <w:trPr>
          <w:trHeight w:val="345"/>
        </w:trPr>
        <w:tc>
          <w:tcPr>
            <w:tcW w:w="2769" w:type="pct"/>
            <w:shd w:val="clear" w:color="auto" w:fill="auto"/>
            <w:noWrap/>
            <w:vAlign w:val="bottom"/>
            <w:hideMark/>
          </w:tcPr>
          <w:p w14:paraId="3BC7BC46"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Conversion 1m</w:t>
            </w:r>
            <w:r w:rsidRPr="001605E3">
              <w:rPr>
                <w:rFonts w:ascii="Times New Roman" w:eastAsia="Calibri" w:hAnsi="Times New Roman" w:cs="Times New Roman"/>
                <w:color w:val="000000" w:themeColor="text1"/>
                <w:sz w:val="20"/>
                <w:szCs w:val="20"/>
                <w:vertAlign w:val="superscript"/>
              </w:rPr>
              <w:t>3</w:t>
            </w:r>
            <w:r w:rsidRPr="001605E3">
              <w:rPr>
                <w:rFonts w:ascii="Times New Roman" w:eastAsia="Calibri" w:hAnsi="Times New Roman" w:cs="Times New Roman"/>
                <w:color w:val="000000" w:themeColor="text1"/>
                <w:sz w:val="20"/>
                <w:szCs w:val="20"/>
              </w:rPr>
              <w:t>=304 kg</w:t>
            </w:r>
          </w:p>
        </w:tc>
        <w:tc>
          <w:tcPr>
            <w:tcW w:w="615" w:type="pct"/>
            <w:shd w:val="clear" w:color="auto" w:fill="auto"/>
            <w:noWrap/>
            <w:hideMark/>
          </w:tcPr>
          <w:p w14:paraId="788EA716"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304</w:t>
            </w:r>
          </w:p>
        </w:tc>
        <w:tc>
          <w:tcPr>
            <w:tcW w:w="462" w:type="pct"/>
          </w:tcPr>
          <w:p w14:paraId="13ACF925"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304</w:t>
            </w:r>
          </w:p>
        </w:tc>
        <w:tc>
          <w:tcPr>
            <w:tcW w:w="1154" w:type="pct"/>
          </w:tcPr>
          <w:p w14:paraId="6DDEC78C"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304</w:t>
            </w:r>
          </w:p>
        </w:tc>
      </w:tr>
      <w:tr w:rsidR="00245464" w:rsidRPr="001605E3" w14:paraId="0D1532AA" w14:textId="77777777" w:rsidTr="005E626A">
        <w:trPr>
          <w:trHeight w:val="351"/>
        </w:trPr>
        <w:tc>
          <w:tcPr>
            <w:tcW w:w="2769" w:type="pct"/>
            <w:shd w:val="clear" w:color="auto" w:fill="auto"/>
            <w:vAlign w:val="bottom"/>
            <w:hideMark/>
          </w:tcPr>
          <w:p w14:paraId="33E9AEBE"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Carbon Fraction of Dry Matter (tonnes C/tonne dm.)</w:t>
            </w:r>
          </w:p>
        </w:tc>
        <w:tc>
          <w:tcPr>
            <w:tcW w:w="615" w:type="pct"/>
            <w:shd w:val="clear" w:color="auto" w:fill="auto"/>
            <w:noWrap/>
            <w:hideMark/>
          </w:tcPr>
          <w:p w14:paraId="26E16C51"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0.43</w:t>
            </w:r>
          </w:p>
        </w:tc>
        <w:tc>
          <w:tcPr>
            <w:tcW w:w="462" w:type="pct"/>
          </w:tcPr>
          <w:p w14:paraId="3105293B"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0.47</w:t>
            </w:r>
          </w:p>
        </w:tc>
        <w:tc>
          <w:tcPr>
            <w:tcW w:w="1154" w:type="pct"/>
          </w:tcPr>
          <w:p w14:paraId="2E0B930D"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0.43</w:t>
            </w:r>
          </w:p>
        </w:tc>
      </w:tr>
    </w:tbl>
    <w:p w14:paraId="01456E8A" w14:textId="77777777" w:rsidR="00245464" w:rsidRPr="00191ACB" w:rsidRDefault="00245464" w:rsidP="00245464">
      <w:pPr>
        <w:jc w:val="both"/>
        <w:rPr>
          <w:rFonts w:ascii="Times New Roman" w:eastAsia="Calibri" w:hAnsi="Times New Roman" w:cs="Times New Roman"/>
          <w:color w:val="000000" w:themeColor="text1"/>
          <w:sz w:val="24"/>
          <w:szCs w:val="24"/>
        </w:rPr>
      </w:pPr>
    </w:p>
    <w:p w14:paraId="5FAE623F" w14:textId="14030DA0" w:rsidR="00D326BE" w:rsidRPr="00191ACB" w:rsidRDefault="00245464" w:rsidP="000C4FCD">
      <w:pPr>
        <w:spacing w:after="120" w:line="276" w:lineRule="auto"/>
        <w:jc w:val="both"/>
        <w:rPr>
          <w:rFonts w:ascii="Times New Roman" w:eastAsia="Calibri" w:hAnsi="Times New Roman" w:cs="Times New Roman"/>
          <w:color w:val="000000" w:themeColor="text1"/>
          <w:sz w:val="24"/>
          <w:szCs w:val="24"/>
        </w:rPr>
        <w:sectPr w:rsidR="00D326BE" w:rsidRPr="00191ACB" w:rsidSect="000C4FCD">
          <w:pgSz w:w="11909" w:h="16834" w:code="9"/>
          <w:pgMar w:top="862" w:right="720" w:bottom="862" w:left="1440" w:header="720" w:footer="720" w:gutter="0"/>
          <w:cols w:space="720"/>
          <w:docGrid w:linePitch="360"/>
        </w:sectPr>
      </w:pPr>
      <w:r w:rsidRPr="00191ACB">
        <w:rPr>
          <w:rFonts w:ascii="Times New Roman" w:eastAsia="Calibri" w:hAnsi="Times New Roman" w:cs="Times New Roman"/>
          <w:color w:val="000000" w:themeColor="text1"/>
          <w:sz w:val="24"/>
          <w:szCs w:val="24"/>
        </w:rPr>
        <w:t xml:space="preserve">Details on mitigation actions from forestry and other land is provided in Table </w:t>
      </w:r>
      <w:r w:rsidR="00F11900" w:rsidRPr="00191ACB">
        <w:rPr>
          <w:rFonts w:ascii="Times New Roman" w:eastAsia="Calibri" w:hAnsi="Times New Roman" w:cs="Times New Roman"/>
          <w:color w:val="000000" w:themeColor="text1"/>
          <w:sz w:val="24"/>
          <w:szCs w:val="24"/>
        </w:rPr>
        <w:t>4</w:t>
      </w:r>
      <w:r w:rsidR="001605E3">
        <w:rPr>
          <w:rFonts w:ascii="Times New Roman" w:eastAsia="Calibri" w:hAnsi="Times New Roman" w:cs="Times New Roman"/>
          <w:color w:val="000000" w:themeColor="text1"/>
          <w:sz w:val="24"/>
          <w:szCs w:val="24"/>
        </w:rPr>
        <w:t>.</w:t>
      </w:r>
      <w:r w:rsidR="00F11900" w:rsidRPr="00191ACB">
        <w:rPr>
          <w:rFonts w:ascii="Times New Roman" w:eastAsia="Calibri" w:hAnsi="Times New Roman" w:cs="Times New Roman"/>
          <w:color w:val="000000" w:themeColor="text1"/>
          <w:sz w:val="24"/>
          <w:szCs w:val="24"/>
        </w:rPr>
        <w:t>4</w:t>
      </w:r>
      <w:r w:rsidR="00C140BE" w:rsidRPr="00191ACB">
        <w:rPr>
          <w:rFonts w:ascii="Times New Roman" w:eastAsia="Calibri" w:hAnsi="Times New Roman" w:cs="Times New Roman"/>
          <w:color w:val="000000" w:themeColor="text1"/>
          <w:sz w:val="24"/>
          <w:szCs w:val="24"/>
        </w:rPr>
        <w:t>9</w:t>
      </w:r>
      <w:r w:rsidRPr="00191ACB">
        <w:rPr>
          <w:rFonts w:ascii="Times New Roman" w:eastAsia="Calibri" w:hAnsi="Times New Roman" w:cs="Times New Roman"/>
          <w:color w:val="000000" w:themeColor="text1"/>
          <w:sz w:val="24"/>
          <w:szCs w:val="24"/>
        </w:rPr>
        <w:t>.</w:t>
      </w:r>
    </w:p>
    <w:p w14:paraId="3FFBFAFB" w14:textId="1A90BD49" w:rsidR="00245464" w:rsidRPr="00191ACB" w:rsidRDefault="00A13A2D" w:rsidP="00A13A2D">
      <w:pPr>
        <w:pStyle w:val="Caption"/>
        <w:rPr>
          <w:rFonts w:eastAsia="Calibri"/>
          <w:color w:val="000000" w:themeColor="text1"/>
          <w:sz w:val="24"/>
          <w:szCs w:val="24"/>
        </w:rPr>
      </w:pPr>
      <w:bookmarkStart w:id="449" w:name="_Toc56583825"/>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49</w:t>
      </w:r>
      <w:r w:rsidR="00875942">
        <w:rPr>
          <w:sz w:val="24"/>
          <w:szCs w:val="24"/>
        </w:rPr>
        <w:fldChar w:fldCharType="end"/>
      </w:r>
      <w:r w:rsidRPr="00191ACB">
        <w:rPr>
          <w:sz w:val="24"/>
          <w:szCs w:val="24"/>
        </w:rPr>
        <w:t>: Forest Mitigation Actions</w:t>
      </w:r>
      <w:bookmarkEnd w:id="449"/>
    </w:p>
    <w:tbl>
      <w:tblPr>
        <w:tblStyle w:val="GridTable4-Accent11"/>
        <w:tblW w:w="5006" w:type="pct"/>
        <w:tblLayout w:type="fixed"/>
        <w:tblLook w:val="04A0" w:firstRow="1" w:lastRow="0" w:firstColumn="1" w:lastColumn="0" w:noHBand="0" w:noVBand="1"/>
      </w:tblPr>
      <w:tblGrid>
        <w:gridCol w:w="2144"/>
        <w:gridCol w:w="1654"/>
        <w:gridCol w:w="2147"/>
        <w:gridCol w:w="1983"/>
        <w:gridCol w:w="2150"/>
        <w:gridCol w:w="2135"/>
        <w:gridCol w:w="1463"/>
        <w:gridCol w:w="1442"/>
      </w:tblGrid>
      <w:tr w:rsidR="00245464" w:rsidRPr="00191ACB" w14:paraId="02A2D97B" w14:textId="77777777" w:rsidTr="00A91A48">
        <w:trPr>
          <w:cnfStyle w:val="100000000000" w:firstRow="1" w:lastRow="0" w:firstColumn="0" w:lastColumn="0" w:oddVBand="0" w:evenVBand="0" w:oddHBand="0"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709" w:type="pct"/>
          </w:tcPr>
          <w:p w14:paraId="40D84A4C"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547" w:type="pct"/>
          </w:tcPr>
          <w:p w14:paraId="44A71AA7"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710" w:type="pct"/>
          </w:tcPr>
          <w:p w14:paraId="59B658BA"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656" w:type="pct"/>
          </w:tcPr>
          <w:p w14:paraId="4376AC2A"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711" w:type="pct"/>
          </w:tcPr>
          <w:p w14:paraId="3AB7A3DF"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p w14:paraId="321668F8"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p>
          <w:p w14:paraId="20C5CC76"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p>
        </w:tc>
        <w:tc>
          <w:tcPr>
            <w:tcW w:w="706" w:type="pct"/>
          </w:tcPr>
          <w:p w14:paraId="5F418097"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484" w:type="pct"/>
          </w:tcPr>
          <w:p w14:paraId="6EEF03C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val="x-none" w:eastAsia="x-none"/>
              </w:rPr>
              <w:t xml:space="preserve">Estimated emission reduction </w:t>
            </w:r>
            <w:r w:rsidRPr="00191ACB">
              <w:rPr>
                <w:rFonts w:ascii="Times New Roman" w:hAnsi="Times New Roman"/>
                <w:color w:val="000000" w:themeColor="text1"/>
                <w:sz w:val="24"/>
                <w:szCs w:val="24"/>
                <w:lang w:eastAsia="x-none"/>
              </w:rPr>
              <w:t>cumulative by 2050 Gg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vertAlign w:val="subscript"/>
                <w:lang w:eastAsia="x-none"/>
              </w:rPr>
              <w:t>eq</w:t>
            </w:r>
          </w:p>
        </w:tc>
        <w:tc>
          <w:tcPr>
            <w:tcW w:w="477" w:type="pct"/>
          </w:tcPr>
          <w:p w14:paraId="627020B0"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nternational market mechanisms</w:t>
            </w:r>
          </w:p>
        </w:tc>
      </w:tr>
      <w:tr w:rsidR="00245464" w:rsidRPr="00191ACB" w14:paraId="367D6090" w14:textId="77777777" w:rsidTr="00A91A48">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709" w:type="pct"/>
          </w:tcPr>
          <w:p w14:paraId="3C7DF97C"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ZAFFICO</w:t>
            </w:r>
          </w:p>
        </w:tc>
        <w:tc>
          <w:tcPr>
            <w:tcW w:w="547" w:type="pct"/>
          </w:tcPr>
          <w:p w14:paraId="47D8CD8F"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Existing and planned Plantations Planned plantations and Eastern Province </w:t>
            </w:r>
          </w:p>
        </w:tc>
        <w:tc>
          <w:tcPr>
            <w:tcW w:w="710" w:type="pct"/>
          </w:tcPr>
          <w:p w14:paraId="6352CAAD"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Algorithms in equations 28 and 29</w:t>
            </w:r>
          </w:p>
        </w:tc>
        <w:tc>
          <w:tcPr>
            <w:tcW w:w="656" w:type="pct"/>
          </w:tcPr>
          <w:p w14:paraId="7A3645FB"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Hectares of forest planted</w:t>
            </w:r>
          </w:p>
        </w:tc>
        <w:tc>
          <w:tcPr>
            <w:tcW w:w="711" w:type="pct"/>
          </w:tcPr>
          <w:p w14:paraId="0F27A70C"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 xml:space="preserve">To provide resource for timber production </w:t>
            </w:r>
          </w:p>
        </w:tc>
        <w:tc>
          <w:tcPr>
            <w:tcW w:w="706" w:type="pct"/>
          </w:tcPr>
          <w:p w14:paraId="7F402A6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Ongoing</w:t>
            </w:r>
          </w:p>
        </w:tc>
        <w:tc>
          <w:tcPr>
            <w:tcW w:w="484" w:type="pct"/>
          </w:tcPr>
          <w:p w14:paraId="5BA6E63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eastAsia="Times New Roman" w:hAnsi="Times New Roman"/>
                <w:color w:val="000000" w:themeColor="text1"/>
                <w:sz w:val="24"/>
                <w:szCs w:val="24"/>
              </w:rPr>
              <w:t>33.4</w:t>
            </w:r>
          </w:p>
        </w:tc>
        <w:tc>
          <w:tcPr>
            <w:tcW w:w="477" w:type="pct"/>
          </w:tcPr>
          <w:p w14:paraId="2CD9B18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245464" w:rsidRPr="00191ACB" w14:paraId="01CC8DD7" w14:textId="77777777" w:rsidTr="00A91A48">
        <w:trPr>
          <w:trHeight w:val="768"/>
        </w:trPr>
        <w:tc>
          <w:tcPr>
            <w:cnfStyle w:val="001000000000" w:firstRow="0" w:lastRow="0" w:firstColumn="1" w:lastColumn="0" w:oddVBand="0" w:evenVBand="0" w:oddHBand="0" w:evenHBand="0" w:firstRowFirstColumn="0" w:firstRowLastColumn="0" w:lastRowFirstColumn="0" w:lastRowLastColumn="0"/>
            <w:tcW w:w="709" w:type="pct"/>
          </w:tcPr>
          <w:p w14:paraId="02EE5533"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SNV- Agroforestry (to reduce agricultural expansion) </w:t>
            </w:r>
          </w:p>
        </w:tc>
        <w:tc>
          <w:tcPr>
            <w:tcW w:w="547" w:type="pct"/>
          </w:tcPr>
          <w:p w14:paraId="0C4733B0"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Agroforestry in eastern province</w:t>
            </w:r>
          </w:p>
        </w:tc>
        <w:tc>
          <w:tcPr>
            <w:tcW w:w="710" w:type="pct"/>
          </w:tcPr>
          <w:p w14:paraId="22969639"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Algorithms in equations 28 and 29</w:t>
            </w:r>
          </w:p>
        </w:tc>
        <w:tc>
          <w:tcPr>
            <w:tcW w:w="656" w:type="pct"/>
          </w:tcPr>
          <w:p w14:paraId="060DC46B"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Hectares of under agro –forestry </w:t>
            </w:r>
          </w:p>
        </w:tc>
        <w:tc>
          <w:tcPr>
            <w:tcW w:w="711" w:type="pct"/>
          </w:tcPr>
          <w:p w14:paraId="5934FE8B"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reduce deforestation and GHG emissions from forests</w:t>
            </w:r>
          </w:p>
        </w:tc>
        <w:tc>
          <w:tcPr>
            <w:tcW w:w="706" w:type="pct"/>
          </w:tcPr>
          <w:p w14:paraId="61160F7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Ongoing</w:t>
            </w:r>
          </w:p>
        </w:tc>
        <w:tc>
          <w:tcPr>
            <w:tcW w:w="484" w:type="pct"/>
          </w:tcPr>
          <w:p w14:paraId="265D59F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color w:val="000000" w:themeColor="text1"/>
                <w:sz w:val="24"/>
                <w:szCs w:val="24"/>
              </w:rPr>
            </w:pPr>
            <w:r w:rsidRPr="00191ACB">
              <w:rPr>
                <w:rFonts w:ascii="Times New Roman" w:eastAsia="Times New Roman" w:hAnsi="Times New Roman"/>
                <w:color w:val="000000" w:themeColor="text1"/>
                <w:sz w:val="24"/>
                <w:szCs w:val="24"/>
              </w:rPr>
              <w:t>4.0</w:t>
            </w:r>
          </w:p>
        </w:tc>
        <w:tc>
          <w:tcPr>
            <w:tcW w:w="477" w:type="pct"/>
          </w:tcPr>
          <w:p w14:paraId="665263D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245464" w:rsidRPr="00191ACB" w14:paraId="3CAA8129" w14:textId="77777777" w:rsidTr="00A91A48">
        <w:trPr>
          <w:cnfStyle w:val="000000100000" w:firstRow="0" w:lastRow="0" w:firstColumn="0" w:lastColumn="0" w:oddVBand="0" w:evenVBand="0" w:oddHBand="1" w:evenHBand="0" w:firstRowFirstColumn="0" w:firstRowLastColumn="0" w:lastRowFirstColumn="0" w:lastRowLastColumn="0"/>
          <w:trHeight w:val="768"/>
        </w:trPr>
        <w:tc>
          <w:tcPr>
            <w:cnfStyle w:val="001000000000" w:firstRow="0" w:lastRow="0" w:firstColumn="1" w:lastColumn="0" w:oddVBand="0" w:evenVBand="0" w:oddHBand="0" w:evenHBand="0" w:firstRowFirstColumn="0" w:firstRowLastColumn="0" w:lastRowFirstColumn="0" w:lastRowLastColumn="0"/>
            <w:tcW w:w="709" w:type="pct"/>
          </w:tcPr>
          <w:p w14:paraId="1F6A3212"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 xml:space="preserve">SNV rehabilitation of tree stamps (to reduce agricultural expansion) </w:t>
            </w:r>
          </w:p>
        </w:tc>
        <w:tc>
          <w:tcPr>
            <w:tcW w:w="547" w:type="pct"/>
          </w:tcPr>
          <w:p w14:paraId="480FA28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Rehabilitation of tree stamps (to reduce agricultural expansion) in eastern province</w:t>
            </w:r>
          </w:p>
        </w:tc>
        <w:tc>
          <w:tcPr>
            <w:tcW w:w="710" w:type="pct"/>
          </w:tcPr>
          <w:p w14:paraId="1ADAD23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Algorithms in equations 28 and 29</w:t>
            </w:r>
          </w:p>
        </w:tc>
        <w:tc>
          <w:tcPr>
            <w:tcW w:w="656" w:type="pct"/>
          </w:tcPr>
          <w:p w14:paraId="57BE374E"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 xml:space="preserve">Hectares of tree stamp rehabilitated </w:t>
            </w:r>
          </w:p>
        </w:tc>
        <w:tc>
          <w:tcPr>
            <w:tcW w:w="711" w:type="pct"/>
          </w:tcPr>
          <w:p w14:paraId="375C8A3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To reduce deforestation and GHG emissions from forests</w:t>
            </w:r>
          </w:p>
        </w:tc>
        <w:tc>
          <w:tcPr>
            <w:tcW w:w="706" w:type="pct"/>
          </w:tcPr>
          <w:p w14:paraId="742E785A"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Ongoing</w:t>
            </w:r>
          </w:p>
        </w:tc>
        <w:tc>
          <w:tcPr>
            <w:tcW w:w="484" w:type="pct"/>
          </w:tcPr>
          <w:p w14:paraId="35CC0CE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b/>
                <w:color w:val="000000" w:themeColor="text1"/>
                <w:sz w:val="24"/>
                <w:szCs w:val="24"/>
              </w:rPr>
            </w:pPr>
            <w:r w:rsidRPr="00191ACB">
              <w:rPr>
                <w:rFonts w:ascii="Times New Roman" w:eastAsia="Times New Roman" w:hAnsi="Times New Roman"/>
                <w:color w:val="000000" w:themeColor="text1"/>
                <w:sz w:val="24"/>
                <w:szCs w:val="24"/>
              </w:rPr>
              <w:t>0.6</w:t>
            </w:r>
          </w:p>
        </w:tc>
        <w:tc>
          <w:tcPr>
            <w:tcW w:w="477" w:type="pct"/>
          </w:tcPr>
          <w:p w14:paraId="7016FB10"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bl>
    <w:p w14:paraId="7429CE8B" w14:textId="77777777"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p>
    <w:p w14:paraId="0C780196" w14:textId="77777777" w:rsidR="00B23833" w:rsidRPr="00191ACB" w:rsidRDefault="00B23833" w:rsidP="005E626A">
      <w:pPr>
        <w:spacing w:after="120" w:line="240" w:lineRule="auto"/>
        <w:jc w:val="both"/>
        <w:rPr>
          <w:rFonts w:ascii="Times New Roman" w:eastAsia="Calibri" w:hAnsi="Times New Roman" w:cs="Times New Roman"/>
          <w:color w:val="000000" w:themeColor="text1"/>
          <w:sz w:val="24"/>
          <w:szCs w:val="24"/>
        </w:rPr>
        <w:sectPr w:rsidR="00B23833" w:rsidRPr="00191ACB" w:rsidSect="00D326BE">
          <w:pgSz w:w="16834" w:h="11909" w:orient="landscape" w:code="9"/>
          <w:pgMar w:top="720" w:right="862" w:bottom="1440" w:left="862" w:header="720" w:footer="720" w:gutter="0"/>
          <w:cols w:space="720"/>
          <w:docGrid w:linePitch="360"/>
        </w:sectPr>
      </w:pPr>
    </w:p>
    <w:p w14:paraId="1F792B47" w14:textId="1749FCE8" w:rsidR="00B23833" w:rsidRPr="00191ACB" w:rsidRDefault="00B23833" w:rsidP="005E626A">
      <w:pPr>
        <w:spacing w:after="120" w:line="240" w:lineRule="auto"/>
        <w:jc w:val="both"/>
        <w:rPr>
          <w:rFonts w:ascii="Times New Roman" w:eastAsia="Calibri" w:hAnsi="Times New Roman" w:cs="Times New Roman"/>
          <w:color w:val="000000" w:themeColor="text1"/>
          <w:sz w:val="24"/>
          <w:szCs w:val="24"/>
        </w:rPr>
      </w:pPr>
    </w:p>
    <w:p w14:paraId="3EC712E0" w14:textId="269E9FE8" w:rsidR="00D326BE" w:rsidRPr="001605E3" w:rsidRDefault="00D326BE" w:rsidP="00D21C5B">
      <w:pPr>
        <w:pStyle w:val="Heading5"/>
        <w:numPr>
          <w:ilvl w:val="4"/>
          <w:numId w:val="36"/>
        </w:numPr>
        <w:ind w:left="993" w:hanging="993"/>
        <w:rPr>
          <w:rFonts w:cs="Times New Roman"/>
          <w:szCs w:val="24"/>
        </w:rPr>
      </w:pPr>
      <w:bookmarkStart w:id="450" w:name="_Toc26264955"/>
      <w:r w:rsidRPr="001605E3">
        <w:rPr>
          <w:rFonts w:cs="Times New Roman"/>
          <w:szCs w:val="24"/>
        </w:rPr>
        <w:t>Emissions Reductions under NAMAs</w:t>
      </w:r>
      <w:bookmarkEnd w:id="450"/>
    </w:p>
    <w:p w14:paraId="072680CD" w14:textId="409C9F65" w:rsidR="00B23833" w:rsidRPr="00191ACB" w:rsidRDefault="00D326BE" w:rsidP="000C4FCD">
      <w:pPr>
        <w:spacing w:after="120" w:line="276" w:lineRule="auto"/>
        <w:jc w:val="both"/>
        <w:rPr>
          <w:rFonts w:ascii="Times New Roman" w:eastAsia="Calibri" w:hAnsi="Times New Roman" w:cs="Times New Roman"/>
          <w:color w:val="000000" w:themeColor="text1"/>
          <w:sz w:val="24"/>
          <w:szCs w:val="24"/>
          <w:lang w:eastAsia="en-GB"/>
        </w:rPr>
      </w:pPr>
      <w:r w:rsidRPr="00191ACB">
        <w:rPr>
          <w:rFonts w:ascii="Times New Roman" w:eastAsia="Calibri" w:hAnsi="Times New Roman" w:cs="Times New Roman"/>
          <w:color w:val="000000" w:themeColor="text1"/>
          <w:sz w:val="24"/>
          <w:szCs w:val="24"/>
        </w:rPr>
        <w:t xml:space="preserve">The charcoal NAMA proposes implementation of sustainable wood harvesting through introduction, and promotion of coupe system in selected customary areas. It also proposes promoting sustainable charcoal production through introduction and promotion of charcoal retort kilns in selected customary areas. The NAMA further aspires to promoting use of improved cook stoves in selected areas aimed at reducing energy losses thereby contributing to reduction in deforestation and GHG emissions. The boundary for this NAMA is Rufunsa, Kapiri Mposhi and Masaiti as the main charcoal production areas. The charcoal NAMA will establish the alternate coupe and shelterbelt strip system in the three project areas namely Rufunsa, Kapiri Mposhi and Masaiti to promote sustainable forest wood harvesting for charcoal production. The strip wood harvesting method comprising coupes and shelterbelt strips will be demarcated by Forest Department in the three charcoal production areas located in the customary land. </w:t>
      </w:r>
      <w:r w:rsidRPr="00191ACB">
        <w:rPr>
          <w:rFonts w:ascii="Times New Roman" w:eastAsia="Calibri" w:hAnsi="Times New Roman" w:cs="Times New Roman"/>
          <w:color w:val="000000" w:themeColor="text1"/>
          <w:sz w:val="24"/>
          <w:szCs w:val="24"/>
          <w:lang w:eastAsia="en-GB"/>
        </w:rPr>
        <w:t>In each of the three selected sites, a total of 10,000 h</w:t>
      </w:r>
      <w:r w:rsidR="00B23833" w:rsidRPr="00191ACB">
        <w:rPr>
          <w:rFonts w:ascii="Times New Roman" w:eastAsia="Calibri" w:hAnsi="Times New Roman" w:cs="Times New Roman"/>
          <w:color w:val="000000" w:themeColor="text1"/>
          <w:sz w:val="24"/>
          <w:szCs w:val="24"/>
          <w:lang w:eastAsia="en-GB"/>
        </w:rPr>
        <w:t>a</w:t>
      </w:r>
      <w:r w:rsidRPr="00191ACB">
        <w:rPr>
          <w:rFonts w:ascii="Times New Roman" w:eastAsia="Calibri" w:hAnsi="Times New Roman" w:cs="Times New Roman"/>
          <w:color w:val="000000" w:themeColor="text1"/>
          <w:sz w:val="24"/>
          <w:szCs w:val="24"/>
          <w:lang w:eastAsia="en-GB"/>
        </w:rPr>
        <w:t xml:space="preserve"> will be demarcated into 5,000 h</w:t>
      </w:r>
      <w:r w:rsidR="00B23833" w:rsidRPr="00191ACB">
        <w:rPr>
          <w:rFonts w:ascii="Times New Roman" w:eastAsia="Calibri" w:hAnsi="Times New Roman" w:cs="Times New Roman"/>
          <w:color w:val="000000" w:themeColor="text1"/>
          <w:sz w:val="24"/>
          <w:szCs w:val="24"/>
          <w:lang w:eastAsia="en-GB"/>
        </w:rPr>
        <w:t>a</w:t>
      </w:r>
      <w:r w:rsidRPr="00191ACB">
        <w:rPr>
          <w:rFonts w:ascii="Times New Roman" w:eastAsia="Calibri" w:hAnsi="Times New Roman" w:cs="Times New Roman"/>
          <w:color w:val="000000" w:themeColor="text1"/>
          <w:sz w:val="24"/>
          <w:szCs w:val="24"/>
          <w:lang w:eastAsia="en-GB"/>
        </w:rPr>
        <w:t xml:space="preserve"> for coupe strips and 5,000 h</w:t>
      </w:r>
      <w:r w:rsidR="00B23833" w:rsidRPr="00191ACB">
        <w:rPr>
          <w:rFonts w:ascii="Times New Roman" w:eastAsia="Calibri" w:hAnsi="Times New Roman" w:cs="Times New Roman"/>
          <w:color w:val="000000" w:themeColor="text1"/>
          <w:sz w:val="24"/>
          <w:szCs w:val="24"/>
          <w:lang w:eastAsia="en-GB"/>
        </w:rPr>
        <w:t>a</w:t>
      </w:r>
      <w:r w:rsidRPr="00191ACB">
        <w:rPr>
          <w:rFonts w:ascii="Times New Roman" w:eastAsia="Calibri" w:hAnsi="Times New Roman" w:cs="Times New Roman"/>
          <w:color w:val="000000" w:themeColor="text1"/>
          <w:sz w:val="24"/>
          <w:szCs w:val="24"/>
          <w:lang w:eastAsia="en-GB"/>
        </w:rPr>
        <w:t xml:space="preserve"> for shelterbelt strips (Table </w:t>
      </w:r>
      <w:r w:rsidR="00F11900" w:rsidRPr="00191ACB">
        <w:rPr>
          <w:rFonts w:ascii="Times New Roman" w:eastAsia="Calibri" w:hAnsi="Times New Roman" w:cs="Times New Roman"/>
          <w:color w:val="000000" w:themeColor="text1"/>
          <w:sz w:val="24"/>
          <w:szCs w:val="24"/>
          <w:lang w:eastAsia="en-GB"/>
        </w:rPr>
        <w:t>4.5</w:t>
      </w:r>
      <w:r w:rsidR="00C140BE" w:rsidRPr="00191ACB">
        <w:rPr>
          <w:rFonts w:ascii="Times New Roman" w:eastAsia="Calibri" w:hAnsi="Times New Roman" w:cs="Times New Roman"/>
          <w:color w:val="000000" w:themeColor="text1"/>
          <w:sz w:val="24"/>
          <w:szCs w:val="24"/>
          <w:lang w:eastAsia="en-GB"/>
        </w:rPr>
        <w:t>0</w:t>
      </w:r>
      <w:r w:rsidRPr="00191ACB">
        <w:rPr>
          <w:rFonts w:ascii="Times New Roman" w:eastAsia="Calibri" w:hAnsi="Times New Roman" w:cs="Times New Roman"/>
          <w:color w:val="000000" w:themeColor="text1"/>
          <w:sz w:val="24"/>
          <w:szCs w:val="24"/>
          <w:lang w:eastAsia="en-GB"/>
        </w:rPr>
        <w:t>).</w:t>
      </w:r>
      <w:r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lang w:eastAsia="en-GB"/>
        </w:rPr>
        <w:t xml:space="preserve">The strips will be alternated to promote natural regeneration to take place in areas where the woody biomass is cleared for charcoal production without subsequent conversion to agriculture. </w:t>
      </w:r>
      <w:bookmarkStart w:id="451" w:name="_Toc19284655"/>
      <w:bookmarkStart w:id="452" w:name="_Toc19706002"/>
    </w:p>
    <w:bookmarkEnd w:id="451"/>
    <w:bookmarkEnd w:id="452"/>
    <w:p w14:paraId="2C8CCD98" w14:textId="4DFA55EF" w:rsidR="00245464" w:rsidRPr="00191ACB" w:rsidRDefault="00245464" w:rsidP="00B23833">
      <w:pPr>
        <w:spacing w:after="120" w:line="240" w:lineRule="auto"/>
        <w:jc w:val="both"/>
        <w:rPr>
          <w:rFonts w:ascii="Times New Roman" w:eastAsia="Calibri" w:hAnsi="Times New Roman" w:cs="Times New Roman"/>
          <w:color w:val="000000" w:themeColor="text1"/>
          <w:sz w:val="24"/>
          <w:szCs w:val="24"/>
        </w:rPr>
      </w:pPr>
    </w:p>
    <w:p w14:paraId="17BF9F13" w14:textId="4B5F894E" w:rsidR="00A13A2D" w:rsidRPr="00191ACB" w:rsidRDefault="00A13A2D" w:rsidP="00A13A2D">
      <w:pPr>
        <w:pStyle w:val="Caption"/>
        <w:rPr>
          <w:rFonts w:eastAsia="Calibri"/>
          <w:color w:val="000000" w:themeColor="text1"/>
          <w:sz w:val="24"/>
          <w:szCs w:val="24"/>
        </w:rPr>
      </w:pPr>
      <w:bookmarkStart w:id="453" w:name="_Toc56583826"/>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50</w:t>
      </w:r>
      <w:r w:rsidR="00875942">
        <w:rPr>
          <w:sz w:val="24"/>
          <w:szCs w:val="24"/>
        </w:rPr>
        <w:fldChar w:fldCharType="end"/>
      </w:r>
      <w:r w:rsidRPr="00191ACB">
        <w:rPr>
          <w:sz w:val="24"/>
          <w:szCs w:val="24"/>
        </w:rPr>
        <w:t>:Proposed hectarage under coupes and shelterbelt strip system</w:t>
      </w:r>
      <w:bookmarkEnd w:id="453"/>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1"/>
        <w:gridCol w:w="2299"/>
        <w:gridCol w:w="1660"/>
        <w:gridCol w:w="1351"/>
        <w:gridCol w:w="2313"/>
      </w:tblGrid>
      <w:tr w:rsidR="00245464" w:rsidRPr="00191ACB" w14:paraId="783F998C" w14:textId="77777777" w:rsidTr="00A91A48">
        <w:tc>
          <w:tcPr>
            <w:tcW w:w="2031" w:type="dxa"/>
          </w:tcPr>
          <w:p w14:paraId="30B80993"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Charcoal production areas</w:t>
            </w:r>
          </w:p>
        </w:tc>
        <w:tc>
          <w:tcPr>
            <w:tcW w:w="0" w:type="auto"/>
          </w:tcPr>
          <w:p w14:paraId="1F541F93" w14:textId="06EBCC80" w:rsidR="00245464" w:rsidRPr="00191ACB" w:rsidRDefault="00536FE0"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w:t>
            </w:r>
            <w:r w:rsidR="00245464" w:rsidRPr="00191ACB">
              <w:rPr>
                <w:rFonts w:ascii="Times New Roman" w:eastAsia="Calibri" w:hAnsi="Times New Roman" w:cs="Times New Roman"/>
                <w:color w:val="000000" w:themeColor="text1"/>
                <w:sz w:val="24"/>
                <w:szCs w:val="24"/>
              </w:rPr>
              <w:t>lternate coupes and shelterbelt strips</w:t>
            </w:r>
            <w:r w:rsidRPr="00191ACB">
              <w:rPr>
                <w:rFonts w:ascii="Times New Roman" w:eastAsia="Calibri" w:hAnsi="Times New Roman" w:cs="Times New Roman"/>
                <w:color w:val="000000" w:themeColor="text1"/>
                <w:sz w:val="24"/>
                <w:szCs w:val="24"/>
              </w:rPr>
              <w:t xml:space="preserve"> area </w:t>
            </w:r>
            <w:r w:rsidR="00245464" w:rsidRPr="00191ACB">
              <w:rPr>
                <w:rFonts w:ascii="Times New Roman" w:eastAsia="Calibri" w:hAnsi="Times New Roman" w:cs="Times New Roman"/>
                <w:color w:val="000000" w:themeColor="text1"/>
                <w:sz w:val="24"/>
                <w:szCs w:val="24"/>
              </w:rPr>
              <w:t>(ha)</w:t>
            </w:r>
          </w:p>
        </w:tc>
        <w:tc>
          <w:tcPr>
            <w:tcW w:w="0" w:type="auto"/>
          </w:tcPr>
          <w:p w14:paraId="794C15B4" w14:textId="6C1A44AB" w:rsidR="00245464" w:rsidRPr="00191ACB" w:rsidRDefault="00536FE0" w:rsidP="00536FE0">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w:t>
            </w:r>
            <w:r w:rsidR="00245464" w:rsidRPr="00191ACB">
              <w:rPr>
                <w:rFonts w:ascii="Times New Roman" w:eastAsia="Calibri" w:hAnsi="Times New Roman" w:cs="Times New Roman"/>
                <w:color w:val="000000" w:themeColor="text1"/>
                <w:sz w:val="24"/>
                <w:szCs w:val="24"/>
              </w:rPr>
              <w:t>helterbelt strip</w:t>
            </w:r>
            <w:r w:rsidRPr="00191ACB">
              <w:rPr>
                <w:rFonts w:ascii="Times New Roman" w:eastAsia="Calibri" w:hAnsi="Times New Roman" w:cs="Times New Roman"/>
                <w:color w:val="000000" w:themeColor="text1"/>
                <w:sz w:val="24"/>
                <w:szCs w:val="24"/>
              </w:rPr>
              <w:t xml:space="preserve"> area</w:t>
            </w:r>
            <w:r w:rsidR="00245464" w:rsidRPr="00191ACB">
              <w:rPr>
                <w:rFonts w:ascii="Times New Roman" w:eastAsia="Calibri" w:hAnsi="Times New Roman" w:cs="Times New Roman"/>
                <w:color w:val="000000" w:themeColor="text1"/>
                <w:sz w:val="24"/>
                <w:szCs w:val="24"/>
              </w:rPr>
              <w:t>(ha)</w:t>
            </w:r>
          </w:p>
        </w:tc>
        <w:tc>
          <w:tcPr>
            <w:tcW w:w="0" w:type="auto"/>
          </w:tcPr>
          <w:p w14:paraId="76E98948"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Hectares for coupe</w:t>
            </w:r>
          </w:p>
        </w:tc>
        <w:tc>
          <w:tcPr>
            <w:tcW w:w="0" w:type="auto"/>
          </w:tcPr>
          <w:p w14:paraId="784488C3"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Hectares harvested for charcoal production*</w:t>
            </w:r>
          </w:p>
        </w:tc>
      </w:tr>
      <w:tr w:rsidR="00245464" w:rsidRPr="00191ACB" w14:paraId="4685BD26" w14:textId="77777777" w:rsidTr="00A91A48">
        <w:tc>
          <w:tcPr>
            <w:tcW w:w="2031" w:type="dxa"/>
          </w:tcPr>
          <w:p w14:paraId="3AF281AD"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Rufunsa</w:t>
            </w:r>
          </w:p>
        </w:tc>
        <w:tc>
          <w:tcPr>
            <w:tcW w:w="0" w:type="auto"/>
          </w:tcPr>
          <w:p w14:paraId="0465A065"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10,000</w:t>
            </w:r>
          </w:p>
        </w:tc>
        <w:tc>
          <w:tcPr>
            <w:tcW w:w="0" w:type="auto"/>
          </w:tcPr>
          <w:p w14:paraId="49C6EE4D"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5,000</w:t>
            </w:r>
          </w:p>
        </w:tc>
        <w:tc>
          <w:tcPr>
            <w:tcW w:w="0" w:type="auto"/>
          </w:tcPr>
          <w:p w14:paraId="6FB0CEDF"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5,000</w:t>
            </w:r>
          </w:p>
        </w:tc>
        <w:tc>
          <w:tcPr>
            <w:tcW w:w="0" w:type="auto"/>
          </w:tcPr>
          <w:p w14:paraId="6CFD251D"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1000</w:t>
            </w:r>
          </w:p>
        </w:tc>
      </w:tr>
      <w:tr w:rsidR="00245464" w:rsidRPr="00191ACB" w14:paraId="30C674BD" w14:textId="77777777" w:rsidTr="00A91A48">
        <w:tc>
          <w:tcPr>
            <w:tcW w:w="2031" w:type="dxa"/>
          </w:tcPr>
          <w:p w14:paraId="13B63F23"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Kapiri Mposhi</w:t>
            </w:r>
          </w:p>
        </w:tc>
        <w:tc>
          <w:tcPr>
            <w:tcW w:w="0" w:type="auto"/>
          </w:tcPr>
          <w:p w14:paraId="51A0DD82"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10,000</w:t>
            </w:r>
          </w:p>
        </w:tc>
        <w:tc>
          <w:tcPr>
            <w:tcW w:w="0" w:type="auto"/>
          </w:tcPr>
          <w:p w14:paraId="235E9C1F"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5,000</w:t>
            </w:r>
          </w:p>
        </w:tc>
        <w:tc>
          <w:tcPr>
            <w:tcW w:w="0" w:type="auto"/>
          </w:tcPr>
          <w:p w14:paraId="7F980735"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5,000</w:t>
            </w:r>
          </w:p>
        </w:tc>
        <w:tc>
          <w:tcPr>
            <w:tcW w:w="0" w:type="auto"/>
          </w:tcPr>
          <w:p w14:paraId="06597411"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1000</w:t>
            </w:r>
          </w:p>
        </w:tc>
      </w:tr>
      <w:tr w:rsidR="00245464" w:rsidRPr="00191ACB" w14:paraId="186896C6" w14:textId="77777777" w:rsidTr="00A91A48">
        <w:tc>
          <w:tcPr>
            <w:tcW w:w="2031" w:type="dxa"/>
          </w:tcPr>
          <w:p w14:paraId="487931DA"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Mpongwe/Masaiti</w:t>
            </w:r>
          </w:p>
        </w:tc>
        <w:tc>
          <w:tcPr>
            <w:tcW w:w="0" w:type="auto"/>
          </w:tcPr>
          <w:p w14:paraId="6C7A6510"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10,000 </w:t>
            </w:r>
          </w:p>
        </w:tc>
        <w:tc>
          <w:tcPr>
            <w:tcW w:w="0" w:type="auto"/>
          </w:tcPr>
          <w:p w14:paraId="2E841418"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5,000</w:t>
            </w:r>
          </w:p>
        </w:tc>
        <w:tc>
          <w:tcPr>
            <w:tcW w:w="0" w:type="auto"/>
          </w:tcPr>
          <w:p w14:paraId="1C03AB2C"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5,000</w:t>
            </w:r>
          </w:p>
        </w:tc>
        <w:tc>
          <w:tcPr>
            <w:tcW w:w="0" w:type="auto"/>
          </w:tcPr>
          <w:p w14:paraId="53CA7147"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1000</w:t>
            </w:r>
          </w:p>
        </w:tc>
      </w:tr>
    </w:tbl>
    <w:p w14:paraId="7F6CE592" w14:textId="77777777" w:rsidR="00245464" w:rsidRPr="00191ACB" w:rsidRDefault="00245464" w:rsidP="00245464">
      <w:pPr>
        <w:spacing w:line="276" w:lineRule="auto"/>
        <w:jc w:val="both"/>
        <w:rPr>
          <w:rFonts w:ascii="Times New Roman" w:eastAsia="Calibri" w:hAnsi="Times New Roman" w:cs="Times New Roman"/>
          <w:color w:val="000000" w:themeColor="text1"/>
          <w:sz w:val="24"/>
          <w:szCs w:val="24"/>
        </w:rPr>
      </w:pPr>
    </w:p>
    <w:p w14:paraId="0FB0025C" w14:textId="77777777" w:rsidR="00245464" w:rsidRPr="00191ACB" w:rsidRDefault="00245464"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In additional to sustainable wood harvesting, the NAMA will establish charcoal retorts which will enhance sustainable charcoal production in three charcoal production areas. The proposed technology for the retort is the industrial charcoal making technology which is the modified Adam Retort based on the original Adam retort principles. The retort capacity will be 16,000kg load of biomass per retort per run yielding (16000kg × 0.35) =5600* 4 runs per month =22400kg of charcoal per retort for four runs per month which when multiplied by 0.85 will translate to 19040kg of charcoal ready for sale . There will be five (5) cooperatives with 2 kilns per each cooperative. Each cooperative will produce 456 tonnes of charcoal. The total production to be produced in each strip will be 1,800 tonnes of charcoal. This will be the production figure for each of the three charcoal production areas.</w:t>
      </w:r>
    </w:p>
    <w:p w14:paraId="6E5741AF" w14:textId="743B3AD7" w:rsidR="00245464" w:rsidRPr="00191ACB" w:rsidRDefault="00245464"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boundary for this NAMA is Kitwe, Ndola, and Lusaka as the main charcoal consumption areas. The target household population for Kitwe, Ndola and Lusaka are 110,000, 90,000, and 430,000, respectively by 2030. The ordinary charcoal and 3-stone stoves will be gradually replaced by electric stoves, gas stoves, improved Ziko cook stove, improved pulumusa cook stove, improved firewood stove and gel stove. The combined emissions reductions for the charcoal and agriculture NAMA are projected to increase from 3198.8 Gg CO</w:t>
      </w:r>
      <w:r w:rsidRPr="000C4FCD">
        <w:rPr>
          <w:rFonts w:ascii="Times New Roman" w:eastAsia="Calibri" w:hAnsi="Times New Roman" w:cs="Times New Roman"/>
          <w:color w:val="000000" w:themeColor="text1"/>
          <w:sz w:val="24"/>
          <w:szCs w:val="24"/>
        </w:rPr>
        <w:t xml:space="preserve">2 eq. </w:t>
      </w:r>
      <w:r w:rsidRPr="00191ACB">
        <w:rPr>
          <w:rFonts w:ascii="Times New Roman" w:eastAsia="Calibri" w:hAnsi="Times New Roman" w:cs="Times New Roman"/>
          <w:color w:val="000000" w:themeColor="text1"/>
          <w:sz w:val="24"/>
          <w:szCs w:val="24"/>
        </w:rPr>
        <w:t>in 2025 to 3494.4 Gg CO</w:t>
      </w:r>
      <w:r w:rsidRPr="000C4FCD">
        <w:rPr>
          <w:rFonts w:ascii="Times New Roman" w:eastAsia="Calibri" w:hAnsi="Times New Roman" w:cs="Times New Roman"/>
          <w:color w:val="000000" w:themeColor="text1"/>
          <w:sz w:val="24"/>
          <w:szCs w:val="24"/>
        </w:rPr>
        <w:t>2 eq</w:t>
      </w:r>
      <w:r w:rsidRPr="00191ACB">
        <w:rPr>
          <w:rFonts w:ascii="Times New Roman" w:eastAsia="Calibri" w:hAnsi="Times New Roman" w:cs="Times New Roman"/>
          <w:color w:val="000000" w:themeColor="text1"/>
          <w:sz w:val="24"/>
          <w:szCs w:val="24"/>
        </w:rPr>
        <w:t>. in 2050</w:t>
      </w:r>
      <w:r w:rsidR="005B5FDA"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(Table </w:t>
      </w:r>
      <w:r w:rsidR="00F11900" w:rsidRPr="00191ACB">
        <w:rPr>
          <w:rFonts w:ascii="Times New Roman" w:eastAsia="Calibri" w:hAnsi="Times New Roman" w:cs="Times New Roman"/>
          <w:color w:val="000000" w:themeColor="text1"/>
          <w:sz w:val="24"/>
          <w:szCs w:val="24"/>
        </w:rPr>
        <w:t>4.5</w:t>
      </w:r>
      <w:r w:rsidR="00C140BE" w:rsidRPr="00191ACB">
        <w:rPr>
          <w:rFonts w:ascii="Times New Roman" w:eastAsia="Calibri" w:hAnsi="Times New Roman" w:cs="Times New Roman"/>
          <w:color w:val="000000" w:themeColor="text1"/>
          <w:sz w:val="24"/>
          <w:szCs w:val="24"/>
        </w:rPr>
        <w:t>1</w:t>
      </w:r>
      <w:r w:rsidRPr="00191ACB">
        <w:rPr>
          <w:rFonts w:ascii="Times New Roman" w:eastAsia="Calibri" w:hAnsi="Times New Roman" w:cs="Times New Roman"/>
          <w:color w:val="000000" w:themeColor="text1"/>
          <w:sz w:val="24"/>
          <w:szCs w:val="24"/>
        </w:rPr>
        <w:t xml:space="preserve">). Due to challenges in mobilise funding for NAMAs, the commencement of implementation of both NAMAs was delayed until 2025 for the purpose of determining the period of contribution to emissions </w:t>
      </w:r>
      <w:r w:rsidRPr="00191ACB">
        <w:rPr>
          <w:rFonts w:ascii="Times New Roman" w:eastAsia="Calibri" w:hAnsi="Times New Roman" w:cs="Times New Roman"/>
          <w:color w:val="000000" w:themeColor="text1"/>
          <w:sz w:val="24"/>
          <w:szCs w:val="24"/>
        </w:rPr>
        <w:lastRenderedPageBreak/>
        <w:t>reduction. It is for this reason that the emission reduction contribution from these interventions were assumed to occur from 2025 onwards.</w:t>
      </w:r>
    </w:p>
    <w:p w14:paraId="79118DD4" w14:textId="1631D96F" w:rsidR="00A13A2D" w:rsidRPr="00191ACB" w:rsidRDefault="00A13A2D" w:rsidP="00245464">
      <w:pPr>
        <w:jc w:val="both"/>
        <w:rPr>
          <w:rFonts w:ascii="Times New Roman" w:eastAsia="Calibri" w:hAnsi="Times New Roman" w:cs="Times New Roman"/>
          <w:color w:val="000000" w:themeColor="text1"/>
          <w:sz w:val="24"/>
          <w:szCs w:val="24"/>
        </w:rPr>
      </w:pPr>
    </w:p>
    <w:p w14:paraId="116F3225" w14:textId="77777777" w:rsidR="00A13A2D" w:rsidRPr="00191ACB" w:rsidRDefault="00A13A2D" w:rsidP="00245464">
      <w:pPr>
        <w:jc w:val="both"/>
        <w:rPr>
          <w:rFonts w:ascii="Times New Roman" w:eastAsia="Calibri" w:hAnsi="Times New Roman" w:cs="Times New Roman"/>
          <w:color w:val="000000" w:themeColor="text1"/>
          <w:sz w:val="24"/>
          <w:szCs w:val="24"/>
        </w:rPr>
      </w:pPr>
    </w:p>
    <w:p w14:paraId="247FD49B" w14:textId="5832DEED" w:rsidR="00245464" w:rsidRPr="00191ACB" w:rsidRDefault="00A13A2D" w:rsidP="00A13A2D">
      <w:pPr>
        <w:pStyle w:val="Caption"/>
        <w:rPr>
          <w:rFonts w:eastAsia="Calibri"/>
          <w:color w:val="000000" w:themeColor="text1"/>
          <w:sz w:val="24"/>
          <w:szCs w:val="24"/>
        </w:rPr>
      </w:pPr>
      <w:bookmarkStart w:id="454" w:name="_Toc56583827"/>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51</w:t>
      </w:r>
      <w:r w:rsidR="00875942">
        <w:rPr>
          <w:sz w:val="24"/>
          <w:szCs w:val="24"/>
        </w:rPr>
        <w:fldChar w:fldCharType="end"/>
      </w:r>
      <w:r w:rsidRPr="00191ACB">
        <w:rPr>
          <w:sz w:val="24"/>
          <w:szCs w:val="24"/>
        </w:rPr>
        <w:t>:Projected emissions reduction potential for charcoal and agriculture NAMA (Gg CO2 eq.)</w:t>
      </w:r>
      <w:bookmarkEnd w:id="454"/>
    </w:p>
    <w:tbl>
      <w:tblPr>
        <w:tblW w:w="5000" w:type="pct"/>
        <w:tblLook w:val="04A0" w:firstRow="1" w:lastRow="0" w:firstColumn="1" w:lastColumn="0" w:noHBand="0" w:noVBand="1"/>
      </w:tblPr>
      <w:tblGrid>
        <w:gridCol w:w="2116"/>
        <w:gridCol w:w="696"/>
        <w:gridCol w:w="802"/>
        <w:gridCol w:w="741"/>
        <w:gridCol w:w="876"/>
        <w:gridCol w:w="876"/>
        <w:gridCol w:w="876"/>
        <w:gridCol w:w="876"/>
        <w:gridCol w:w="1004"/>
        <w:gridCol w:w="876"/>
      </w:tblGrid>
      <w:tr w:rsidR="00245464" w:rsidRPr="00191ACB" w14:paraId="4906DE58" w14:textId="77777777" w:rsidTr="00A91A48">
        <w:trPr>
          <w:trHeight w:val="300"/>
        </w:trPr>
        <w:tc>
          <w:tcPr>
            <w:tcW w:w="9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0C05DD"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 </w:t>
            </w:r>
          </w:p>
        </w:tc>
        <w:tc>
          <w:tcPr>
            <w:tcW w:w="315" w:type="pct"/>
            <w:tcBorders>
              <w:top w:val="single" w:sz="4" w:space="0" w:color="auto"/>
              <w:left w:val="nil"/>
              <w:bottom w:val="single" w:sz="4" w:space="0" w:color="auto"/>
              <w:right w:val="single" w:sz="4" w:space="0" w:color="auto"/>
            </w:tcBorders>
            <w:shd w:val="clear" w:color="auto" w:fill="auto"/>
            <w:noWrap/>
            <w:vAlign w:val="center"/>
            <w:hideMark/>
          </w:tcPr>
          <w:p w14:paraId="0349DB09"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2010</w:t>
            </w:r>
          </w:p>
        </w:tc>
        <w:tc>
          <w:tcPr>
            <w:tcW w:w="463" w:type="pct"/>
            <w:tcBorders>
              <w:top w:val="single" w:sz="4" w:space="0" w:color="auto"/>
              <w:left w:val="nil"/>
              <w:bottom w:val="single" w:sz="4" w:space="0" w:color="auto"/>
              <w:right w:val="single" w:sz="4" w:space="0" w:color="auto"/>
            </w:tcBorders>
            <w:shd w:val="clear" w:color="auto" w:fill="auto"/>
            <w:noWrap/>
            <w:vAlign w:val="center"/>
            <w:hideMark/>
          </w:tcPr>
          <w:p w14:paraId="4364A363"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2015</w:t>
            </w:r>
          </w:p>
        </w:tc>
        <w:tc>
          <w:tcPr>
            <w:tcW w:w="431" w:type="pct"/>
            <w:tcBorders>
              <w:top w:val="single" w:sz="4" w:space="0" w:color="auto"/>
              <w:left w:val="nil"/>
              <w:bottom w:val="single" w:sz="4" w:space="0" w:color="auto"/>
              <w:right w:val="single" w:sz="4" w:space="0" w:color="auto"/>
            </w:tcBorders>
            <w:shd w:val="clear" w:color="auto" w:fill="auto"/>
            <w:noWrap/>
            <w:vAlign w:val="center"/>
            <w:hideMark/>
          </w:tcPr>
          <w:p w14:paraId="06DCF2E0"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2020</w:t>
            </w:r>
          </w:p>
        </w:tc>
        <w:tc>
          <w:tcPr>
            <w:tcW w:w="447" w:type="pct"/>
            <w:tcBorders>
              <w:top w:val="single" w:sz="4" w:space="0" w:color="auto"/>
              <w:left w:val="nil"/>
              <w:bottom w:val="single" w:sz="4" w:space="0" w:color="auto"/>
              <w:right w:val="single" w:sz="4" w:space="0" w:color="auto"/>
            </w:tcBorders>
            <w:shd w:val="clear" w:color="auto" w:fill="auto"/>
            <w:noWrap/>
            <w:vAlign w:val="center"/>
            <w:hideMark/>
          </w:tcPr>
          <w:p w14:paraId="655E20B0"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2025</w:t>
            </w:r>
          </w:p>
        </w:tc>
        <w:tc>
          <w:tcPr>
            <w:tcW w:w="447" w:type="pct"/>
            <w:tcBorders>
              <w:top w:val="single" w:sz="4" w:space="0" w:color="auto"/>
              <w:left w:val="nil"/>
              <w:bottom w:val="single" w:sz="4" w:space="0" w:color="auto"/>
              <w:right w:val="single" w:sz="4" w:space="0" w:color="auto"/>
            </w:tcBorders>
            <w:shd w:val="clear" w:color="auto" w:fill="auto"/>
            <w:noWrap/>
            <w:vAlign w:val="center"/>
            <w:hideMark/>
          </w:tcPr>
          <w:p w14:paraId="6718EB4F"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2030</w:t>
            </w:r>
          </w:p>
        </w:tc>
        <w:tc>
          <w:tcPr>
            <w:tcW w:w="447" w:type="pct"/>
            <w:tcBorders>
              <w:top w:val="single" w:sz="4" w:space="0" w:color="auto"/>
              <w:left w:val="nil"/>
              <w:bottom w:val="single" w:sz="4" w:space="0" w:color="auto"/>
              <w:right w:val="single" w:sz="4" w:space="0" w:color="auto"/>
            </w:tcBorders>
            <w:shd w:val="clear" w:color="auto" w:fill="auto"/>
            <w:noWrap/>
            <w:vAlign w:val="center"/>
            <w:hideMark/>
          </w:tcPr>
          <w:p w14:paraId="42081AB4"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2035</w:t>
            </w:r>
          </w:p>
        </w:tc>
        <w:tc>
          <w:tcPr>
            <w:tcW w:w="470" w:type="pct"/>
            <w:tcBorders>
              <w:top w:val="single" w:sz="4" w:space="0" w:color="auto"/>
              <w:left w:val="nil"/>
              <w:bottom w:val="single" w:sz="4" w:space="0" w:color="auto"/>
              <w:right w:val="single" w:sz="4" w:space="0" w:color="auto"/>
            </w:tcBorders>
            <w:shd w:val="clear" w:color="auto" w:fill="auto"/>
            <w:noWrap/>
            <w:vAlign w:val="center"/>
            <w:hideMark/>
          </w:tcPr>
          <w:p w14:paraId="4BF53F89"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2040</w:t>
            </w:r>
          </w:p>
        </w:tc>
        <w:tc>
          <w:tcPr>
            <w:tcW w:w="593" w:type="pct"/>
            <w:tcBorders>
              <w:top w:val="single" w:sz="4" w:space="0" w:color="auto"/>
              <w:left w:val="nil"/>
              <w:bottom w:val="single" w:sz="4" w:space="0" w:color="auto"/>
              <w:right w:val="single" w:sz="4" w:space="0" w:color="auto"/>
            </w:tcBorders>
            <w:shd w:val="clear" w:color="auto" w:fill="auto"/>
            <w:noWrap/>
            <w:vAlign w:val="center"/>
            <w:hideMark/>
          </w:tcPr>
          <w:p w14:paraId="1A9343F0"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2045</w:t>
            </w:r>
          </w:p>
        </w:tc>
        <w:tc>
          <w:tcPr>
            <w:tcW w:w="487" w:type="pct"/>
            <w:tcBorders>
              <w:top w:val="single" w:sz="4" w:space="0" w:color="auto"/>
              <w:left w:val="nil"/>
              <w:bottom w:val="single" w:sz="4" w:space="0" w:color="auto"/>
              <w:right w:val="single" w:sz="4" w:space="0" w:color="auto"/>
            </w:tcBorders>
            <w:shd w:val="clear" w:color="auto" w:fill="auto"/>
            <w:noWrap/>
            <w:vAlign w:val="center"/>
            <w:hideMark/>
          </w:tcPr>
          <w:p w14:paraId="1EA20783"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2050</w:t>
            </w:r>
          </w:p>
        </w:tc>
      </w:tr>
      <w:tr w:rsidR="00245464" w:rsidRPr="00191ACB" w14:paraId="5C063A61" w14:textId="77777777" w:rsidTr="00A91A48">
        <w:trPr>
          <w:trHeight w:val="300"/>
        </w:trPr>
        <w:tc>
          <w:tcPr>
            <w:tcW w:w="900" w:type="pct"/>
            <w:tcBorders>
              <w:top w:val="nil"/>
              <w:left w:val="single" w:sz="4" w:space="0" w:color="auto"/>
              <w:bottom w:val="single" w:sz="4" w:space="0" w:color="auto"/>
              <w:right w:val="single" w:sz="4" w:space="0" w:color="auto"/>
            </w:tcBorders>
            <w:shd w:val="clear" w:color="auto" w:fill="auto"/>
            <w:noWrap/>
            <w:vAlign w:val="center"/>
            <w:hideMark/>
          </w:tcPr>
          <w:p w14:paraId="278CA0D3"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Charcoal NAMA</w:t>
            </w:r>
          </w:p>
        </w:tc>
        <w:tc>
          <w:tcPr>
            <w:tcW w:w="315" w:type="pct"/>
            <w:tcBorders>
              <w:top w:val="nil"/>
              <w:left w:val="nil"/>
              <w:bottom w:val="single" w:sz="4" w:space="0" w:color="auto"/>
              <w:right w:val="single" w:sz="4" w:space="0" w:color="auto"/>
            </w:tcBorders>
            <w:shd w:val="clear" w:color="auto" w:fill="auto"/>
            <w:noWrap/>
            <w:vAlign w:val="center"/>
            <w:hideMark/>
          </w:tcPr>
          <w:p w14:paraId="590283BC"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63" w:type="pct"/>
            <w:tcBorders>
              <w:top w:val="nil"/>
              <w:left w:val="nil"/>
              <w:bottom w:val="single" w:sz="4" w:space="0" w:color="auto"/>
              <w:right w:val="single" w:sz="4" w:space="0" w:color="auto"/>
            </w:tcBorders>
            <w:shd w:val="clear" w:color="auto" w:fill="auto"/>
            <w:noWrap/>
            <w:vAlign w:val="center"/>
            <w:hideMark/>
          </w:tcPr>
          <w:p w14:paraId="5084AF45"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31" w:type="pct"/>
            <w:tcBorders>
              <w:top w:val="nil"/>
              <w:left w:val="nil"/>
              <w:bottom w:val="single" w:sz="4" w:space="0" w:color="auto"/>
              <w:right w:val="single" w:sz="4" w:space="0" w:color="auto"/>
            </w:tcBorders>
            <w:shd w:val="clear" w:color="auto" w:fill="auto"/>
            <w:noWrap/>
            <w:vAlign w:val="center"/>
            <w:hideMark/>
          </w:tcPr>
          <w:p w14:paraId="0D44BA18"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47" w:type="pct"/>
            <w:tcBorders>
              <w:top w:val="nil"/>
              <w:left w:val="nil"/>
              <w:bottom w:val="single" w:sz="4" w:space="0" w:color="auto"/>
              <w:right w:val="single" w:sz="4" w:space="0" w:color="auto"/>
            </w:tcBorders>
            <w:shd w:val="clear" w:color="auto" w:fill="auto"/>
            <w:noWrap/>
            <w:vAlign w:val="center"/>
            <w:hideMark/>
          </w:tcPr>
          <w:p w14:paraId="20A3DDE6"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3197.8</w:t>
            </w:r>
          </w:p>
        </w:tc>
        <w:tc>
          <w:tcPr>
            <w:tcW w:w="447" w:type="pct"/>
            <w:tcBorders>
              <w:top w:val="nil"/>
              <w:left w:val="nil"/>
              <w:bottom w:val="single" w:sz="4" w:space="0" w:color="auto"/>
              <w:right w:val="single" w:sz="4" w:space="0" w:color="auto"/>
            </w:tcBorders>
            <w:shd w:val="clear" w:color="auto" w:fill="auto"/>
            <w:noWrap/>
            <w:vAlign w:val="center"/>
            <w:hideMark/>
          </w:tcPr>
          <w:p w14:paraId="4984765A"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3255</w:t>
            </w:r>
          </w:p>
        </w:tc>
        <w:tc>
          <w:tcPr>
            <w:tcW w:w="447" w:type="pct"/>
            <w:tcBorders>
              <w:top w:val="nil"/>
              <w:left w:val="nil"/>
              <w:bottom w:val="single" w:sz="4" w:space="0" w:color="auto"/>
              <w:right w:val="single" w:sz="4" w:space="0" w:color="auto"/>
            </w:tcBorders>
            <w:shd w:val="clear" w:color="auto" w:fill="auto"/>
            <w:noWrap/>
            <w:vAlign w:val="center"/>
            <w:hideMark/>
          </w:tcPr>
          <w:p w14:paraId="79BD4491"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3312.7</w:t>
            </w:r>
          </w:p>
        </w:tc>
        <w:tc>
          <w:tcPr>
            <w:tcW w:w="470" w:type="pct"/>
            <w:tcBorders>
              <w:top w:val="nil"/>
              <w:left w:val="nil"/>
              <w:bottom w:val="single" w:sz="4" w:space="0" w:color="auto"/>
              <w:right w:val="single" w:sz="4" w:space="0" w:color="auto"/>
            </w:tcBorders>
            <w:shd w:val="clear" w:color="auto" w:fill="auto"/>
            <w:noWrap/>
            <w:vAlign w:val="center"/>
            <w:hideMark/>
          </w:tcPr>
          <w:p w14:paraId="6CFC61C3"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3371.6</w:t>
            </w:r>
          </w:p>
        </w:tc>
        <w:tc>
          <w:tcPr>
            <w:tcW w:w="593" w:type="pct"/>
            <w:tcBorders>
              <w:top w:val="nil"/>
              <w:left w:val="nil"/>
              <w:bottom w:val="single" w:sz="4" w:space="0" w:color="auto"/>
              <w:right w:val="single" w:sz="4" w:space="0" w:color="auto"/>
            </w:tcBorders>
            <w:shd w:val="clear" w:color="auto" w:fill="auto"/>
            <w:noWrap/>
            <w:vAlign w:val="center"/>
            <w:hideMark/>
          </w:tcPr>
          <w:p w14:paraId="293F760B"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3431.4</w:t>
            </w:r>
          </w:p>
        </w:tc>
        <w:tc>
          <w:tcPr>
            <w:tcW w:w="487" w:type="pct"/>
            <w:tcBorders>
              <w:top w:val="nil"/>
              <w:left w:val="nil"/>
              <w:bottom w:val="single" w:sz="4" w:space="0" w:color="auto"/>
              <w:right w:val="single" w:sz="4" w:space="0" w:color="auto"/>
            </w:tcBorders>
            <w:shd w:val="clear" w:color="auto" w:fill="auto"/>
            <w:noWrap/>
            <w:vAlign w:val="center"/>
            <w:hideMark/>
          </w:tcPr>
          <w:p w14:paraId="02A055BF"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3492.3</w:t>
            </w:r>
          </w:p>
        </w:tc>
      </w:tr>
      <w:tr w:rsidR="00245464" w:rsidRPr="00191ACB" w14:paraId="01751B4D" w14:textId="77777777" w:rsidTr="00A91A48">
        <w:trPr>
          <w:trHeight w:val="300"/>
        </w:trPr>
        <w:tc>
          <w:tcPr>
            <w:tcW w:w="900" w:type="pct"/>
            <w:tcBorders>
              <w:top w:val="nil"/>
              <w:left w:val="single" w:sz="4" w:space="0" w:color="auto"/>
              <w:bottom w:val="single" w:sz="4" w:space="0" w:color="auto"/>
              <w:right w:val="single" w:sz="4" w:space="0" w:color="auto"/>
            </w:tcBorders>
            <w:shd w:val="clear" w:color="auto" w:fill="auto"/>
            <w:noWrap/>
            <w:vAlign w:val="center"/>
            <w:hideMark/>
          </w:tcPr>
          <w:p w14:paraId="75FA8BB4"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Agriculture NAMA</w:t>
            </w:r>
          </w:p>
        </w:tc>
        <w:tc>
          <w:tcPr>
            <w:tcW w:w="315" w:type="pct"/>
            <w:tcBorders>
              <w:top w:val="nil"/>
              <w:left w:val="nil"/>
              <w:bottom w:val="single" w:sz="4" w:space="0" w:color="auto"/>
              <w:right w:val="single" w:sz="4" w:space="0" w:color="auto"/>
            </w:tcBorders>
            <w:shd w:val="clear" w:color="auto" w:fill="auto"/>
            <w:noWrap/>
            <w:vAlign w:val="center"/>
            <w:hideMark/>
          </w:tcPr>
          <w:p w14:paraId="27CE81E3"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63" w:type="pct"/>
            <w:tcBorders>
              <w:top w:val="nil"/>
              <w:left w:val="nil"/>
              <w:bottom w:val="single" w:sz="4" w:space="0" w:color="auto"/>
              <w:right w:val="single" w:sz="4" w:space="0" w:color="auto"/>
            </w:tcBorders>
            <w:shd w:val="clear" w:color="auto" w:fill="auto"/>
            <w:noWrap/>
            <w:vAlign w:val="center"/>
            <w:hideMark/>
          </w:tcPr>
          <w:p w14:paraId="3859A0EE"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31" w:type="pct"/>
            <w:tcBorders>
              <w:top w:val="nil"/>
              <w:left w:val="nil"/>
              <w:bottom w:val="single" w:sz="4" w:space="0" w:color="auto"/>
              <w:right w:val="single" w:sz="4" w:space="0" w:color="auto"/>
            </w:tcBorders>
            <w:shd w:val="clear" w:color="auto" w:fill="auto"/>
            <w:noWrap/>
            <w:vAlign w:val="center"/>
            <w:hideMark/>
          </w:tcPr>
          <w:p w14:paraId="617F9E87"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47" w:type="pct"/>
            <w:tcBorders>
              <w:top w:val="nil"/>
              <w:left w:val="nil"/>
              <w:bottom w:val="single" w:sz="4" w:space="0" w:color="auto"/>
              <w:right w:val="single" w:sz="4" w:space="0" w:color="auto"/>
            </w:tcBorders>
            <w:shd w:val="clear" w:color="auto" w:fill="auto"/>
            <w:noWrap/>
            <w:vAlign w:val="center"/>
            <w:hideMark/>
          </w:tcPr>
          <w:p w14:paraId="77F19999"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w:t>
            </w:r>
          </w:p>
        </w:tc>
        <w:tc>
          <w:tcPr>
            <w:tcW w:w="447" w:type="pct"/>
            <w:tcBorders>
              <w:top w:val="nil"/>
              <w:left w:val="nil"/>
              <w:bottom w:val="single" w:sz="4" w:space="0" w:color="auto"/>
              <w:right w:val="single" w:sz="4" w:space="0" w:color="auto"/>
            </w:tcBorders>
            <w:shd w:val="clear" w:color="auto" w:fill="auto"/>
            <w:noWrap/>
            <w:vAlign w:val="center"/>
            <w:hideMark/>
          </w:tcPr>
          <w:p w14:paraId="0A9E8CC1"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1.1</w:t>
            </w:r>
          </w:p>
        </w:tc>
        <w:tc>
          <w:tcPr>
            <w:tcW w:w="447" w:type="pct"/>
            <w:tcBorders>
              <w:top w:val="nil"/>
              <w:left w:val="nil"/>
              <w:bottom w:val="single" w:sz="4" w:space="0" w:color="auto"/>
              <w:right w:val="single" w:sz="4" w:space="0" w:color="auto"/>
            </w:tcBorders>
            <w:shd w:val="clear" w:color="auto" w:fill="auto"/>
            <w:noWrap/>
            <w:vAlign w:val="center"/>
            <w:hideMark/>
          </w:tcPr>
          <w:p w14:paraId="7F8A797D"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1.4</w:t>
            </w:r>
          </w:p>
        </w:tc>
        <w:tc>
          <w:tcPr>
            <w:tcW w:w="470" w:type="pct"/>
            <w:tcBorders>
              <w:top w:val="nil"/>
              <w:left w:val="nil"/>
              <w:bottom w:val="single" w:sz="4" w:space="0" w:color="auto"/>
              <w:right w:val="single" w:sz="4" w:space="0" w:color="auto"/>
            </w:tcBorders>
            <w:shd w:val="clear" w:color="auto" w:fill="auto"/>
            <w:noWrap/>
            <w:vAlign w:val="center"/>
            <w:hideMark/>
          </w:tcPr>
          <w:p w14:paraId="7E63A525"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1.6</w:t>
            </w:r>
          </w:p>
        </w:tc>
        <w:tc>
          <w:tcPr>
            <w:tcW w:w="593" w:type="pct"/>
            <w:tcBorders>
              <w:top w:val="nil"/>
              <w:left w:val="nil"/>
              <w:bottom w:val="single" w:sz="4" w:space="0" w:color="auto"/>
              <w:right w:val="single" w:sz="4" w:space="0" w:color="auto"/>
            </w:tcBorders>
            <w:shd w:val="clear" w:color="auto" w:fill="auto"/>
            <w:noWrap/>
            <w:vAlign w:val="center"/>
            <w:hideMark/>
          </w:tcPr>
          <w:p w14:paraId="4FC37CA5"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1.9</w:t>
            </w:r>
          </w:p>
        </w:tc>
        <w:tc>
          <w:tcPr>
            <w:tcW w:w="487" w:type="pct"/>
            <w:tcBorders>
              <w:top w:val="nil"/>
              <w:left w:val="nil"/>
              <w:bottom w:val="single" w:sz="4" w:space="0" w:color="auto"/>
              <w:right w:val="single" w:sz="4" w:space="0" w:color="auto"/>
            </w:tcBorders>
            <w:shd w:val="clear" w:color="auto" w:fill="auto"/>
            <w:noWrap/>
            <w:vAlign w:val="center"/>
            <w:hideMark/>
          </w:tcPr>
          <w:p w14:paraId="199197B1"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2.1</w:t>
            </w:r>
          </w:p>
        </w:tc>
      </w:tr>
      <w:tr w:rsidR="00245464" w:rsidRPr="00191ACB" w14:paraId="59F26D5B" w14:textId="77777777" w:rsidTr="00A91A48">
        <w:trPr>
          <w:trHeight w:val="300"/>
        </w:trPr>
        <w:tc>
          <w:tcPr>
            <w:tcW w:w="900" w:type="pct"/>
            <w:tcBorders>
              <w:top w:val="nil"/>
              <w:left w:val="single" w:sz="4" w:space="0" w:color="auto"/>
              <w:bottom w:val="single" w:sz="4" w:space="0" w:color="auto"/>
              <w:right w:val="single" w:sz="4" w:space="0" w:color="auto"/>
            </w:tcBorders>
            <w:shd w:val="clear" w:color="auto" w:fill="auto"/>
            <w:noWrap/>
            <w:vAlign w:val="bottom"/>
            <w:hideMark/>
          </w:tcPr>
          <w:p w14:paraId="04A4FCB8"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total</w:t>
            </w:r>
          </w:p>
        </w:tc>
        <w:tc>
          <w:tcPr>
            <w:tcW w:w="315" w:type="pct"/>
            <w:tcBorders>
              <w:top w:val="nil"/>
              <w:left w:val="nil"/>
              <w:bottom w:val="single" w:sz="4" w:space="0" w:color="auto"/>
              <w:right w:val="single" w:sz="4" w:space="0" w:color="auto"/>
            </w:tcBorders>
            <w:shd w:val="clear" w:color="auto" w:fill="auto"/>
            <w:noWrap/>
            <w:vAlign w:val="bottom"/>
            <w:hideMark/>
          </w:tcPr>
          <w:p w14:paraId="487FC49C"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63" w:type="pct"/>
            <w:tcBorders>
              <w:top w:val="nil"/>
              <w:left w:val="nil"/>
              <w:bottom w:val="single" w:sz="4" w:space="0" w:color="auto"/>
              <w:right w:val="single" w:sz="4" w:space="0" w:color="auto"/>
            </w:tcBorders>
            <w:shd w:val="clear" w:color="auto" w:fill="auto"/>
            <w:noWrap/>
            <w:vAlign w:val="bottom"/>
            <w:hideMark/>
          </w:tcPr>
          <w:p w14:paraId="68A6689F"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31" w:type="pct"/>
            <w:tcBorders>
              <w:top w:val="nil"/>
              <w:left w:val="nil"/>
              <w:bottom w:val="single" w:sz="4" w:space="0" w:color="auto"/>
              <w:right w:val="single" w:sz="4" w:space="0" w:color="auto"/>
            </w:tcBorders>
            <w:shd w:val="clear" w:color="auto" w:fill="auto"/>
            <w:noWrap/>
            <w:vAlign w:val="bottom"/>
            <w:hideMark/>
          </w:tcPr>
          <w:p w14:paraId="53089572"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0</w:t>
            </w:r>
          </w:p>
        </w:tc>
        <w:tc>
          <w:tcPr>
            <w:tcW w:w="447" w:type="pct"/>
            <w:tcBorders>
              <w:top w:val="nil"/>
              <w:left w:val="nil"/>
              <w:bottom w:val="single" w:sz="4" w:space="0" w:color="auto"/>
              <w:right w:val="single" w:sz="4" w:space="0" w:color="auto"/>
            </w:tcBorders>
            <w:shd w:val="clear" w:color="auto" w:fill="auto"/>
            <w:noWrap/>
            <w:vAlign w:val="bottom"/>
            <w:hideMark/>
          </w:tcPr>
          <w:p w14:paraId="0B5A0FA8"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3198.8</w:t>
            </w:r>
          </w:p>
        </w:tc>
        <w:tc>
          <w:tcPr>
            <w:tcW w:w="447" w:type="pct"/>
            <w:tcBorders>
              <w:top w:val="nil"/>
              <w:left w:val="nil"/>
              <w:bottom w:val="single" w:sz="4" w:space="0" w:color="auto"/>
              <w:right w:val="single" w:sz="4" w:space="0" w:color="auto"/>
            </w:tcBorders>
            <w:shd w:val="clear" w:color="auto" w:fill="auto"/>
            <w:noWrap/>
            <w:vAlign w:val="bottom"/>
            <w:hideMark/>
          </w:tcPr>
          <w:p w14:paraId="19176053"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3256.1</w:t>
            </w:r>
          </w:p>
        </w:tc>
        <w:tc>
          <w:tcPr>
            <w:tcW w:w="447" w:type="pct"/>
            <w:tcBorders>
              <w:top w:val="nil"/>
              <w:left w:val="nil"/>
              <w:bottom w:val="single" w:sz="4" w:space="0" w:color="auto"/>
              <w:right w:val="single" w:sz="4" w:space="0" w:color="auto"/>
            </w:tcBorders>
            <w:shd w:val="clear" w:color="auto" w:fill="auto"/>
            <w:noWrap/>
            <w:vAlign w:val="bottom"/>
            <w:hideMark/>
          </w:tcPr>
          <w:p w14:paraId="30D6FDC9"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3314.1</w:t>
            </w:r>
          </w:p>
        </w:tc>
        <w:tc>
          <w:tcPr>
            <w:tcW w:w="470" w:type="pct"/>
            <w:tcBorders>
              <w:top w:val="nil"/>
              <w:left w:val="nil"/>
              <w:bottom w:val="single" w:sz="4" w:space="0" w:color="auto"/>
              <w:right w:val="single" w:sz="4" w:space="0" w:color="auto"/>
            </w:tcBorders>
            <w:shd w:val="clear" w:color="auto" w:fill="auto"/>
            <w:noWrap/>
            <w:vAlign w:val="bottom"/>
            <w:hideMark/>
          </w:tcPr>
          <w:p w14:paraId="42D2D33F"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3373.2</w:t>
            </w:r>
          </w:p>
        </w:tc>
        <w:tc>
          <w:tcPr>
            <w:tcW w:w="593" w:type="pct"/>
            <w:tcBorders>
              <w:top w:val="nil"/>
              <w:left w:val="nil"/>
              <w:bottom w:val="single" w:sz="4" w:space="0" w:color="auto"/>
              <w:right w:val="single" w:sz="4" w:space="0" w:color="auto"/>
            </w:tcBorders>
            <w:shd w:val="clear" w:color="auto" w:fill="auto"/>
            <w:noWrap/>
            <w:vAlign w:val="bottom"/>
            <w:hideMark/>
          </w:tcPr>
          <w:p w14:paraId="2CFEFFD0"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3433.3</w:t>
            </w:r>
          </w:p>
        </w:tc>
        <w:tc>
          <w:tcPr>
            <w:tcW w:w="487" w:type="pct"/>
            <w:tcBorders>
              <w:top w:val="nil"/>
              <w:left w:val="nil"/>
              <w:bottom w:val="single" w:sz="4" w:space="0" w:color="auto"/>
              <w:right w:val="single" w:sz="4" w:space="0" w:color="auto"/>
            </w:tcBorders>
            <w:shd w:val="clear" w:color="auto" w:fill="auto"/>
            <w:noWrap/>
            <w:vAlign w:val="bottom"/>
            <w:hideMark/>
          </w:tcPr>
          <w:p w14:paraId="4DA8A5EE" w14:textId="77777777" w:rsidR="00245464" w:rsidRPr="00191ACB" w:rsidRDefault="00245464" w:rsidP="00245464">
            <w:pPr>
              <w:spacing w:after="0" w:line="240" w:lineRule="auto"/>
              <w:jc w:val="both"/>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3494.4</w:t>
            </w:r>
          </w:p>
        </w:tc>
      </w:tr>
    </w:tbl>
    <w:p w14:paraId="445A2A5A" w14:textId="77777777" w:rsidR="00245464" w:rsidRPr="00191ACB" w:rsidRDefault="00245464" w:rsidP="00245464">
      <w:pPr>
        <w:spacing w:after="0" w:line="276" w:lineRule="auto"/>
        <w:jc w:val="both"/>
        <w:rPr>
          <w:rFonts w:ascii="Times New Roman" w:eastAsia="Calibri" w:hAnsi="Times New Roman" w:cs="Times New Roman"/>
          <w:color w:val="000000" w:themeColor="text1"/>
          <w:sz w:val="24"/>
          <w:szCs w:val="24"/>
        </w:rPr>
      </w:pPr>
    </w:p>
    <w:p w14:paraId="6D887C04" w14:textId="77777777" w:rsidR="00D10127" w:rsidRPr="00191ACB" w:rsidRDefault="00D10127" w:rsidP="00245464">
      <w:pPr>
        <w:spacing w:after="0" w:line="276" w:lineRule="auto"/>
        <w:jc w:val="both"/>
        <w:rPr>
          <w:rFonts w:ascii="Times New Roman" w:eastAsia="Calibri" w:hAnsi="Times New Roman" w:cs="Times New Roman"/>
          <w:color w:val="000000" w:themeColor="text1"/>
          <w:sz w:val="24"/>
          <w:szCs w:val="24"/>
        </w:rPr>
      </w:pPr>
    </w:p>
    <w:p w14:paraId="5217A6EB" w14:textId="20BA3669" w:rsidR="00245464" w:rsidRPr="001605E3" w:rsidRDefault="00245464" w:rsidP="00D21C5B">
      <w:pPr>
        <w:pStyle w:val="Heading5"/>
        <w:numPr>
          <w:ilvl w:val="4"/>
          <w:numId w:val="36"/>
        </w:numPr>
        <w:ind w:left="993" w:hanging="993"/>
        <w:rPr>
          <w:rFonts w:eastAsia="Times New Roman" w:cs="Times New Roman"/>
          <w:color w:val="000000" w:themeColor="text1"/>
        </w:rPr>
      </w:pPr>
      <w:bookmarkStart w:id="455" w:name="_Toc11669344"/>
      <w:bookmarkStart w:id="456" w:name="_Toc26264956"/>
      <w:r w:rsidRPr="001605E3">
        <w:rPr>
          <w:rFonts w:cs="Times New Roman"/>
        </w:rPr>
        <w:t>Emission Reductions for AFOLU under NDC</w:t>
      </w:r>
      <w:bookmarkEnd w:id="455"/>
      <w:bookmarkEnd w:id="456"/>
    </w:p>
    <w:p w14:paraId="706B789C" w14:textId="542E71C4" w:rsidR="00245464" w:rsidRDefault="00245464"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Provided in Table </w:t>
      </w:r>
      <w:r w:rsidR="00F11900" w:rsidRPr="00191ACB">
        <w:rPr>
          <w:rFonts w:ascii="Times New Roman" w:eastAsia="Calibri" w:hAnsi="Times New Roman" w:cs="Times New Roman"/>
          <w:color w:val="000000" w:themeColor="text1"/>
          <w:sz w:val="24"/>
          <w:szCs w:val="24"/>
        </w:rPr>
        <w:t>4.52</w:t>
      </w:r>
      <w:r w:rsidRPr="00191ACB">
        <w:rPr>
          <w:rFonts w:ascii="Times New Roman" w:eastAsia="Calibri" w:hAnsi="Times New Roman" w:cs="Times New Roman"/>
          <w:color w:val="000000" w:themeColor="text1"/>
          <w:sz w:val="24"/>
          <w:szCs w:val="24"/>
        </w:rPr>
        <w:t xml:space="preserve"> are emission reduction potential for constrained scenario for NDC projects under AFOLU. Emissions reduction potential for agriculture under the constrained support NDC projects is expected to grow from 316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to 665.5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2020 and 2050, respectively. On the other hand, emissions from forestry are projected to increase from </w:t>
      </w:r>
      <w:r w:rsidRPr="00191ACB">
        <w:rPr>
          <w:rFonts w:ascii="Times New Roman" w:eastAsia="Times New Roman" w:hAnsi="Times New Roman" w:cs="Times New Roman"/>
          <w:color w:val="000000" w:themeColor="text1"/>
          <w:sz w:val="24"/>
          <w:szCs w:val="24"/>
        </w:rPr>
        <w:t>7,102.5</w:t>
      </w:r>
      <w:r w:rsidRPr="00191ACB">
        <w:rPr>
          <w:rFonts w:ascii="Times New Roman" w:eastAsia="Calibri" w:hAnsi="Times New Roman" w:cs="Times New Roman"/>
          <w:color w:val="000000" w:themeColor="text1"/>
          <w:sz w:val="24"/>
          <w:szCs w:val="24"/>
        </w:rPr>
        <w:t xml:space="preserve">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2020 to </w:t>
      </w:r>
      <w:r w:rsidRPr="00191ACB">
        <w:rPr>
          <w:rFonts w:ascii="Times New Roman" w:eastAsia="Times New Roman" w:hAnsi="Times New Roman" w:cs="Times New Roman"/>
          <w:color w:val="000000" w:themeColor="text1"/>
          <w:sz w:val="24"/>
          <w:szCs w:val="24"/>
        </w:rPr>
        <w:t>33,211.8</w:t>
      </w:r>
      <w:r w:rsidRPr="00191ACB">
        <w:rPr>
          <w:rFonts w:ascii="Times New Roman" w:eastAsia="Calibri" w:hAnsi="Times New Roman" w:cs="Times New Roman"/>
          <w:color w:val="000000" w:themeColor="text1"/>
          <w:sz w:val="24"/>
          <w:szCs w:val="24"/>
        </w:rPr>
        <w:t xml:space="preserve">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2050. This is on the assumption that original growth rates for the period 2020-2030 are maintained throughout the extended projected period of 2030 to 2050. </w:t>
      </w:r>
    </w:p>
    <w:p w14:paraId="14CF405A" w14:textId="77777777" w:rsidR="001605E3" w:rsidRPr="00191ACB" w:rsidRDefault="001605E3" w:rsidP="000C4FCD">
      <w:pPr>
        <w:spacing w:after="120" w:line="276" w:lineRule="auto"/>
        <w:jc w:val="both"/>
        <w:rPr>
          <w:rFonts w:ascii="Times New Roman" w:eastAsia="Calibri" w:hAnsi="Times New Roman" w:cs="Times New Roman"/>
          <w:color w:val="000000" w:themeColor="text1"/>
          <w:sz w:val="24"/>
          <w:szCs w:val="24"/>
        </w:rPr>
      </w:pPr>
    </w:p>
    <w:p w14:paraId="1A19AB7C" w14:textId="28BF2A00" w:rsidR="00245464" w:rsidRPr="00191ACB" w:rsidRDefault="00A13A2D" w:rsidP="00A13A2D">
      <w:pPr>
        <w:pStyle w:val="Caption"/>
        <w:rPr>
          <w:rFonts w:eastAsia="Calibri"/>
          <w:color w:val="000000" w:themeColor="text1"/>
          <w:sz w:val="24"/>
          <w:szCs w:val="24"/>
        </w:rPr>
      </w:pPr>
      <w:bookmarkStart w:id="457" w:name="_Toc19284657"/>
      <w:bookmarkStart w:id="458" w:name="_Toc19706004"/>
      <w:bookmarkStart w:id="459" w:name="_Toc56583828"/>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52</w:t>
      </w:r>
      <w:r w:rsidR="00875942">
        <w:rPr>
          <w:sz w:val="24"/>
          <w:szCs w:val="24"/>
        </w:rPr>
        <w:fldChar w:fldCharType="end"/>
      </w:r>
      <w:r w:rsidRPr="00191ACB">
        <w:rPr>
          <w:sz w:val="24"/>
          <w:szCs w:val="24"/>
        </w:rPr>
        <w:t>: Emissions reduction potential for constrained scenario under NDC Gg CO2 eq</w:t>
      </w:r>
      <w:r w:rsidR="00245464" w:rsidRPr="00191ACB">
        <w:rPr>
          <w:rFonts w:eastAsia="Calibri"/>
          <w:color w:val="000000" w:themeColor="text1"/>
          <w:sz w:val="24"/>
          <w:szCs w:val="24"/>
          <w:vertAlign w:val="subscript"/>
        </w:rPr>
        <w:t>.</w:t>
      </w:r>
      <w:bookmarkEnd w:id="457"/>
      <w:bookmarkEnd w:id="458"/>
      <w:bookmarkEnd w:id="459"/>
      <w:r w:rsidR="00245464" w:rsidRPr="00191ACB">
        <w:rPr>
          <w:rFonts w:eastAsia="Calibri"/>
          <w:color w:val="000000" w:themeColor="text1"/>
          <w:sz w:val="24"/>
          <w:szCs w:val="24"/>
        </w:rPr>
        <w:t xml:space="preserve"> </w:t>
      </w:r>
    </w:p>
    <w:tbl>
      <w:tblPr>
        <w:tblW w:w="4957" w:type="pct"/>
        <w:tblLayout w:type="fixed"/>
        <w:tblLook w:val="04A0" w:firstRow="1" w:lastRow="0" w:firstColumn="1" w:lastColumn="0" w:noHBand="0" w:noVBand="1"/>
      </w:tblPr>
      <w:tblGrid>
        <w:gridCol w:w="1343"/>
        <w:gridCol w:w="720"/>
        <w:gridCol w:w="630"/>
        <w:gridCol w:w="902"/>
        <w:gridCol w:w="991"/>
        <w:gridCol w:w="991"/>
        <w:gridCol w:w="1079"/>
        <w:gridCol w:w="900"/>
        <w:gridCol w:w="989"/>
        <w:gridCol w:w="1110"/>
      </w:tblGrid>
      <w:tr w:rsidR="00D326BE" w:rsidRPr="001605E3" w14:paraId="4FC64ED2" w14:textId="77777777" w:rsidTr="00536FE0">
        <w:trPr>
          <w:trHeight w:val="155"/>
        </w:trPr>
        <w:tc>
          <w:tcPr>
            <w:tcW w:w="69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D4803F" w14:textId="77777777" w:rsidR="00245464" w:rsidRPr="001605E3" w:rsidRDefault="00245464" w:rsidP="00536FE0">
            <w:pPr>
              <w:pStyle w:val="NoSpacing"/>
              <w:rPr>
                <w:rFonts w:ascii="Times New Roman" w:hAnsi="Times New Roman" w:cs="Times New Roman"/>
                <w:color w:val="000000" w:themeColor="text1"/>
                <w:sz w:val="20"/>
                <w:szCs w:val="20"/>
              </w:rPr>
            </w:pPr>
          </w:p>
          <w:p w14:paraId="2448E6AD" w14:textId="77777777" w:rsidR="00245464" w:rsidRPr="001605E3" w:rsidRDefault="00245464" w:rsidP="00536FE0">
            <w:pPr>
              <w:pStyle w:val="NoSpacing"/>
              <w:rPr>
                <w:rFonts w:ascii="Times New Roman" w:hAnsi="Times New Roman" w:cs="Times New Roman"/>
                <w:color w:val="000000" w:themeColor="text1"/>
                <w:sz w:val="20"/>
                <w:szCs w:val="20"/>
              </w:rPr>
            </w:pPr>
          </w:p>
        </w:tc>
        <w:tc>
          <w:tcPr>
            <w:tcW w:w="373" w:type="pct"/>
            <w:tcBorders>
              <w:top w:val="single" w:sz="4" w:space="0" w:color="auto"/>
              <w:left w:val="nil"/>
              <w:bottom w:val="single" w:sz="4" w:space="0" w:color="auto"/>
              <w:right w:val="single" w:sz="4" w:space="0" w:color="auto"/>
            </w:tcBorders>
            <w:shd w:val="clear" w:color="auto" w:fill="auto"/>
            <w:noWrap/>
            <w:vAlign w:val="bottom"/>
            <w:hideMark/>
          </w:tcPr>
          <w:p w14:paraId="1BC64302"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2010</w:t>
            </w:r>
          </w:p>
        </w:tc>
        <w:tc>
          <w:tcPr>
            <w:tcW w:w="326" w:type="pct"/>
            <w:tcBorders>
              <w:top w:val="single" w:sz="4" w:space="0" w:color="auto"/>
              <w:left w:val="nil"/>
              <w:bottom w:val="single" w:sz="4" w:space="0" w:color="auto"/>
              <w:right w:val="single" w:sz="4" w:space="0" w:color="auto"/>
            </w:tcBorders>
            <w:shd w:val="clear" w:color="auto" w:fill="auto"/>
            <w:noWrap/>
            <w:vAlign w:val="bottom"/>
            <w:hideMark/>
          </w:tcPr>
          <w:p w14:paraId="20055422"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2015</w:t>
            </w:r>
          </w:p>
        </w:tc>
        <w:tc>
          <w:tcPr>
            <w:tcW w:w="467" w:type="pct"/>
            <w:tcBorders>
              <w:top w:val="single" w:sz="4" w:space="0" w:color="auto"/>
              <w:left w:val="nil"/>
              <w:bottom w:val="single" w:sz="4" w:space="0" w:color="auto"/>
              <w:right w:val="single" w:sz="4" w:space="0" w:color="auto"/>
            </w:tcBorders>
            <w:shd w:val="clear" w:color="auto" w:fill="auto"/>
            <w:noWrap/>
            <w:vAlign w:val="bottom"/>
            <w:hideMark/>
          </w:tcPr>
          <w:p w14:paraId="07795CDE"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2020</w:t>
            </w:r>
          </w:p>
        </w:tc>
        <w:tc>
          <w:tcPr>
            <w:tcW w:w="513" w:type="pct"/>
            <w:tcBorders>
              <w:top w:val="single" w:sz="4" w:space="0" w:color="auto"/>
              <w:left w:val="nil"/>
              <w:bottom w:val="single" w:sz="4" w:space="0" w:color="auto"/>
              <w:right w:val="single" w:sz="4" w:space="0" w:color="auto"/>
            </w:tcBorders>
            <w:shd w:val="clear" w:color="auto" w:fill="auto"/>
            <w:noWrap/>
            <w:vAlign w:val="bottom"/>
            <w:hideMark/>
          </w:tcPr>
          <w:p w14:paraId="55EC732F"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2025</w:t>
            </w:r>
          </w:p>
        </w:tc>
        <w:tc>
          <w:tcPr>
            <w:tcW w:w="513" w:type="pct"/>
            <w:tcBorders>
              <w:top w:val="single" w:sz="4" w:space="0" w:color="auto"/>
              <w:left w:val="nil"/>
              <w:bottom w:val="single" w:sz="4" w:space="0" w:color="auto"/>
              <w:right w:val="single" w:sz="4" w:space="0" w:color="auto"/>
            </w:tcBorders>
            <w:shd w:val="clear" w:color="auto" w:fill="auto"/>
            <w:noWrap/>
            <w:vAlign w:val="bottom"/>
            <w:hideMark/>
          </w:tcPr>
          <w:p w14:paraId="6B0BB74D"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2030</w:t>
            </w:r>
          </w:p>
        </w:tc>
        <w:tc>
          <w:tcPr>
            <w:tcW w:w="559" w:type="pct"/>
            <w:tcBorders>
              <w:top w:val="single" w:sz="4" w:space="0" w:color="auto"/>
              <w:left w:val="nil"/>
              <w:bottom w:val="single" w:sz="4" w:space="0" w:color="auto"/>
              <w:right w:val="single" w:sz="4" w:space="0" w:color="auto"/>
            </w:tcBorders>
            <w:shd w:val="clear" w:color="auto" w:fill="auto"/>
            <w:noWrap/>
            <w:vAlign w:val="bottom"/>
            <w:hideMark/>
          </w:tcPr>
          <w:p w14:paraId="3B83EE06"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2035</w:t>
            </w:r>
          </w:p>
        </w:tc>
        <w:tc>
          <w:tcPr>
            <w:tcW w:w="466" w:type="pct"/>
            <w:tcBorders>
              <w:top w:val="single" w:sz="4" w:space="0" w:color="auto"/>
              <w:left w:val="nil"/>
              <w:bottom w:val="single" w:sz="4" w:space="0" w:color="auto"/>
              <w:right w:val="single" w:sz="4" w:space="0" w:color="auto"/>
            </w:tcBorders>
            <w:shd w:val="clear" w:color="auto" w:fill="auto"/>
            <w:noWrap/>
            <w:vAlign w:val="bottom"/>
            <w:hideMark/>
          </w:tcPr>
          <w:p w14:paraId="4F4F2921"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2040</w:t>
            </w:r>
          </w:p>
        </w:tc>
        <w:tc>
          <w:tcPr>
            <w:tcW w:w="512" w:type="pct"/>
            <w:tcBorders>
              <w:top w:val="single" w:sz="4" w:space="0" w:color="auto"/>
              <w:left w:val="nil"/>
              <w:bottom w:val="single" w:sz="4" w:space="0" w:color="auto"/>
              <w:right w:val="single" w:sz="4" w:space="0" w:color="auto"/>
            </w:tcBorders>
            <w:shd w:val="clear" w:color="auto" w:fill="auto"/>
            <w:noWrap/>
            <w:vAlign w:val="bottom"/>
            <w:hideMark/>
          </w:tcPr>
          <w:p w14:paraId="2AE9C5BC"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2045</w:t>
            </w:r>
          </w:p>
        </w:tc>
        <w:tc>
          <w:tcPr>
            <w:tcW w:w="575" w:type="pct"/>
            <w:tcBorders>
              <w:top w:val="single" w:sz="4" w:space="0" w:color="auto"/>
              <w:left w:val="nil"/>
              <w:bottom w:val="single" w:sz="4" w:space="0" w:color="auto"/>
              <w:right w:val="single" w:sz="4" w:space="0" w:color="auto"/>
            </w:tcBorders>
            <w:shd w:val="clear" w:color="auto" w:fill="auto"/>
            <w:noWrap/>
            <w:vAlign w:val="bottom"/>
            <w:hideMark/>
          </w:tcPr>
          <w:p w14:paraId="6553829B"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2050</w:t>
            </w:r>
          </w:p>
        </w:tc>
      </w:tr>
      <w:tr w:rsidR="00D326BE" w:rsidRPr="001605E3" w14:paraId="1844ACB3" w14:textId="77777777" w:rsidTr="00A91A48">
        <w:trPr>
          <w:trHeight w:val="300"/>
        </w:trPr>
        <w:tc>
          <w:tcPr>
            <w:tcW w:w="695" w:type="pct"/>
            <w:tcBorders>
              <w:top w:val="nil"/>
              <w:left w:val="single" w:sz="4" w:space="0" w:color="auto"/>
              <w:bottom w:val="single" w:sz="4" w:space="0" w:color="auto"/>
              <w:right w:val="single" w:sz="4" w:space="0" w:color="auto"/>
            </w:tcBorders>
            <w:shd w:val="clear" w:color="auto" w:fill="auto"/>
            <w:noWrap/>
            <w:vAlign w:val="bottom"/>
            <w:hideMark/>
          </w:tcPr>
          <w:p w14:paraId="05CAB851"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 xml:space="preserve">NDC-Agriculture </w:t>
            </w:r>
          </w:p>
        </w:tc>
        <w:tc>
          <w:tcPr>
            <w:tcW w:w="373" w:type="pct"/>
            <w:tcBorders>
              <w:top w:val="nil"/>
              <w:left w:val="nil"/>
              <w:bottom w:val="single" w:sz="4" w:space="0" w:color="auto"/>
              <w:right w:val="single" w:sz="4" w:space="0" w:color="auto"/>
            </w:tcBorders>
            <w:shd w:val="clear" w:color="auto" w:fill="auto"/>
            <w:noWrap/>
            <w:vAlign w:val="bottom"/>
            <w:hideMark/>
          </w:tcPr>
          <w:p w14:paraId="4D0DAFBA"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0.0</w:t>
            </w:r>
          </w:p>
        </w:tc>
        <w:tc>
          <w:tcPr>
            <w:tcW w:w="326" w:type="pct"/>
            <w:tcBorders>
              <w:top w:val="nil"/>
              <w:left w:val="nil"/>
              <w:bottom w:val="single" w:sz="4" w:space="0" w:color="auto"/>
              <w:right w:val="single" w:sz="4" w:space="0" w:color="auto"/>
            </w:tcBorders>
            <w:shd w:val="clear" w:color="auto" w:fill="auto"/>
            <w:noWrap/>
            <w:vAlign w:val="bottom"/>
            <w:hideMark/>
          </w:tcPr>
          <w:p w14:paraId="211B442B"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0.0</w:t>
            </w:r>
          </w:p>
        </w:tc>
        <w:tc>
          <w:tcPr>
            <w:tcW w:w="467" w:type="pct"/>
            <w:tcBorders>
              <w:top w:val="nil"/>
              <w:left w:val="nil"/>
              <w:bottom w:val="single" w:sz="4" w:space="0" w:color="auto"/>
              <w:right w:val="single" w:sz="4" w:space="0" w:color="auto"/>
            </w:tcBorders>
            <w:shd w:val="clear" w:color="auto" w:fill="auto"/>
            <w:noWrap/>
            <w:vAlign w:val="bottom"/>
            <w:hideMark/>
          </w:tcPr>
          <w:p w14:paraId="2E12F80B"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316.0</w:t>
            </w:r>
          </w:p>
        </w:tc>
        <w:tc>
          <w:tcPr>
            <w:tcW w:w="513" w:type="pct"/>
            <w:tcBorders>
              <w:top w:val="nil"/>
              <w:left w:val="nil"/>
              <w:bottom w:val="single" w:sz="4" w:space="0" w:color="auto"/>
              <w:right w:val="single" w:sz="4" w:space="0" w:color="auto"/>
            </w:tcBorders>
            <w:shd w:val="clear" w:color="auto" w:fill="auto"/>
            <w:noWrap/>
            <w:vAlign w:val="bottom"/>
            <w:hideMark/>
          </w:tcPr>
          <w:p w14:paraId="28C29058"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374.2</w:t>
            </w:r>
          </w:p>
        </w:tc>
        <w:tc>
          <w:tcPr>
            <w:tcW w:w="513" w:type="pct"/>
            <w:tcBorders>
              <w:top w:val="nil"/>
              <w:left w:val="nil"/>
              <w:bottom w:val="single" w:sz="4" w:space="0" w:color="auto"/>
              <w:right w:val="single" w:sz="4" w:space="0" w:color="auto"/>
            </w:tcBorders>
            <w:shd w:val="clear" w:color="auto" w:fill="auto"/>
            <w:noWrap/>
            <w:vAlign w:val="bottom"/>
            <w:hideMark/>
          </w:tcPr>
          <w:p w14:paraId="4B284B59"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432.4</w:t>
            </w:r>
          </w:p>
        </w:tc>
        <w:tc>
          <w:tcPr>
            <w:tcW w:w="559" w:type="pct"/>
            <w:tcBorders>
              <w:top w:val="nil"/>
              <w:left w:val="nil"/>
              <w:bottom w:val="single" w:sz="4" w:space="0" w:color="auto"/>
              <w:right w:val="single" w:sz="4" w:space="0" w:color="auto"/>
            </w:tcBorders>
            <w:shd w:val="clear" w:color="auto" w:fill="auto"/>
            <w:noWrap/>
            <w:vAlign w:val="bottom"/>
            <w:hideMark/>
          </w:tcPr>
          <w:p w14:paraId="63DF64D4"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490.6</w:t>
            </w:r>
          </w:p>
        </w:tc>
        <w:tc>
          <w:tcPr>
            <w:tcW w:w="466" w:type="pct"/>
            <w:tcBorders>
              <w:top w:val="nil"/>
              <w:left w:val="nil"/>
              <w:bottom w:val="single" w:sz="4" w:space="0" w:color="auto"/>
              <w:right w:val="single" w:sz="4" w:space="0" w:color="auto"/>
            </w:tcBorders>
            <w:shd w:val="clear" w:color="auto" w:fill="auto"/>
            <w:noWrap/>
            <w:vAlign w:val="bottom"/>
            <w:hideMark/>
          </w:tcPr>
          <w:p w14:paraId="0C2C0E82"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548.8</w:t>
            </w:r>
          </w:p>
        </w:tc>
        <w:tc>
          <w:tcPr>
            <w:tcW w:w="512" w:type="pct"/>
            <w:tcBorders>
              <w:top w:val="nil"/>
              <w:left w:val="nil"/>
              <w:bottom w:val="single" w:sz="4" w:space="0" w:color="auto"/>
              <w:right w:val="single" w:sz="4" w:space="0" w:color="auto"/>
            </w:tcBorders>
            <w:shd w:val="clear" w:color="auto" w:fill="auto"/>
            <w:noWrap/>
            <w:vAlign w:val="bottom"/>
            <w:hideMark/>
          </w:tcPr>
          <w:p w14:paraId="11353D83"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607.0</w:t>
            </w:r>
          </w:p>
        </w:tc>
        <w:tc>
          <w:tcPr>
            <w:tcW w:w="575" w:type="pct"/>
            <w:tcBorders>
              <w:top w:val="nil"/>
              <w:left w:val="nil"/>
              <w:bottom w:val="single" w:sz="4" w:space="0" w:color="auto"/>
              <w:right w:val="single" w:sz="4" w:space="0" w:color="auto"/>
            </w:tcBorders>
            <w:shd w:val="clear" w:color="auto" w:fill="auto"/>
            <w:noWrap/>
            <w:vAlign w:val="bottom"/>
            <w:hideMark/>
          </w:tcPr>
          <w:p w14:paraId="42858B7A"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665.2</w:t>
            </w:r>
          </w:p>
        </w:tc>
      </w:tr>
      <w:tr w:rsidR="00D326BE" w:rsidRPr="001605E3" w14:paraId="27345DFC" w14:textId="77777777" w:rsidTr="00A91A48">
        <w:trPr>
          <w:trHeight w:val="300"/>
        </w:trPr>
        <w:tc>
          <w:tcPr>
            <w:tcW w:w="695" w:type="pct"/>
            <w:tcBorders>
              <w:top w:val="nil"/>
              <w:left w:val="single" w:sz="4" w:space="0" w:color="auto"/>
              <w:bottom w:val="single" w:sz="4" w:space="0" w:color="auto"/>
              <w:right w:val="single" w:sz="4" w:space="0" w:color="auto"/>
            </w:tcBorders>
            <w:shd w:val="clear" w:color="auto" w:fill="auto"/>
            <w:noWrap/>
            <w:vAlign w:val="bottom"/>
            <w:hideMark/>
          </w:tcPr>
          <w:p w14:paraId="1DA21FA7"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 xml:space="preserve">NDC-Land Use Change and Forestry </w:t>
            </w:r>
          </w:p>
        </w:tc>
        <w:tc>
          <w:tcPr>
            <w:tcW w:w="373" w:type="pct"/>
            <w:tcBorders>
              <w:top w:val="nil"/>
              <w:left w:val="nil"/>
              <w:bottom w:val="single" w:sz="4" w:space="0" w:color="auto"/>
              <w:right w:val="single" w:sz="4" w:space="0" w:color="auto"/>
            </w:tcBorders>
            <w:shd w:val="clear" w:color="auto" w:fill="auto"/>
            <w:noWrap/>
            <w:vAlign w:val="bottom"/>
            <w:hideMark/>
          </w:tcPr>
          <w:p w14:paraId="6FA50E3A"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0.0</w:t>
            </w:r>
          </w:p>
        </w:tc>
        <w:tc>
          <w:tcPr>
            <w:tcW w:w="326" w:type="pct"/>
            <w:tcBorders>
              <w:top w:val="nil"/>
              <w:left w:val="nil"/>
              <w:bottom w:val="single" w:sz="4" w:space="0" w:color="auto"/>
              <w:right w:val="single" w:sz="4" w:space="0" w:color="auto"/>
            </w:tcBorders>
            <w:shd w:val="clear" w:color="auto" w:fill="auto"/>
            <w:noWrap/>
            <w:vAlign w:val="bottom"/>
            <w:hideMark/>
          </w:tcPr>
          <w:p w14:paraId="2A1FA8A1"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0.0</w:t>
            </w:r>
          </w:p>
        </w:tc>
        <w:tc>
          <w:tcPr>
            <w:tcW w:w="467" w:type="pct"/>
            <w:tcBorders>
              <w:top w:val="nil"/>
              <w:left w:val="nil"/>
              <w:bottom w:val="single" w:sz="4" w:space="0" w:color="auto"/>
              <w:right w:val="single" w:sz="4" w:space="0" w:color="auto"/>
            </w:tcBorders>
            <w:shd w:val="clear" w:color="auto" w:fill="auto"/>
            <w:noWrap/>
            <w:vAlign w:val="bottom"/>
            <w:hideMark/>
          </w:tcPr>
          <w:p w14:paraId="1B94EF26"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7,102.5</w:t>
            </w:r>
          </w:p>
        </w:tc>
        <w:tc>
          <w:tcPr>
            <w:tcW w:w="513" w:type="pct"/>
            <w:tcBorders>
              <w:top w:val="nil"/>
              <w:left w:val="nil"/>
              <w:bottom w:val="single" w:sz="4" w:space="0" w:color="auto"/>
              <w:right w:val="single" w:sz="4" w:space="0" w:color="auto"/>
            </w:tcBorders>
            <w:shd w:val="clear" w:color="auto" w:fill="auto"/>
            <w:noWrap/>
            <w:vAlign w:val="bottom"/>
            <w:hideMark/>
          </w:tcPr>
          <w:p w14:paraId="3BA7434C"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11,454.1</w:t>
            </w:r>
          </w:p>
        </w:tc>
        <w:tc>
          <w:tcPr>
            <w:tcW w:w="513" w:type="pct"/>
            <w:tcBorders>
              <w:top w:val="nil"/>
              <w:left w:val="nil"/>
              <w:bottom w:val="single" w:sz="4" w:space="0" w:color="auto"/>
              <w:right w:val="single" w:sz="4" w:space="0" w:color="auto"/>
            </w:tcBorders>
            <w:shd w:val="clear" w:color="auto" w:fill="auto"/>
            <w:noWrap/>
            <w:vAlign w:val="bottom"/>
            <w:hideMark/>
          </w:tcPr>
          <w:p w14:paraId="1ACD80D2"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15,805.6</w:t>
            </w:r>
          </w:p>
        </w:tc>
        <w:tc>
          <w:tcPr>
            <w:tcW w:w="559" w:type="pct"/>
            <w:tcBorders>
              <w:top w:val="nil"/>
              <w:left w:val="nil"/>
              <w:bottom w:val="single" w:sz="4" w:space="0" w:color="auto"/>
              <w:right w:val="single" w:sz="4" w:space="0" w:color="auto"/>
            </w:tcBorders>
            <w:shd w:val="clear" w:color="auto" w:fill="auto"/>
            <w:noWrap/>
            <w:vAlign w:val="bottom"/>
            <w:hideMark/>
          </w:tcPr>
          <w:p w14:paraId="58D3B355"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20,157.2</w:t>
            </w:r>
          </w:p>
        </w:tc>
        <w:tc>
          <w:tcPr>
            <w:tcW w:w="466" w:type="pct"/>
            <w:tcBorders>
              <w:top w:val="nil"/>
              <w:left w:val="nil"/>
              <w:bottom w:val="single" w:sz="4" w:space="0" w:color="auto"/>
              <w:right w:val="single" w:sz="4" w:space="0" w:color="auto"/>
            </w:tcBorders>
            <w:shd w:val="clear" w:color="auto" w:fill="auto"/>
            <w:noWrap/>
            <w:vAlign w:val="bottom"/>
            <w:hideMark/>
          </w:tcPr>
          <w:p w14:paraId="4C93A2D0"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24508.7</w:t>
            </w:r>
          </w:p>
        </w:tc>
        <w:tc>
          <w:tcPr>
            <w:tcW w:w="512" w:type="pct"/>
            <w:tcBorders>
              <w:top w:val="nil"/>
              <w:left w:val="nil"/>
              <w:bottom w:val="single" w:sz="4" w:space="0" w:color="auto"/>
              <w:right w:val="single" w:sz="4" w:space="0" w:color="auto"/>
            </w:tcBorders>
            <w:shd w:val="clear" w:color="auto" w:fill="auto"/>
            <w:noWrap/>
            <w:vAlign w:val="bottom"/>
            <w:hideMark/>
          </w:tcPr>
          <w:p w14:paraId="56D9E4B8"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28,860.3</w:t>
            </w:r>
          </w:p>
        </w:tc>
        <w:tc>
          <w:tcPr>
            <w:tcW w:w="575" w:type="pct"/>
            <w:tcBorders>
              <w:top w:val="nil"/>
              <w:left w:val="nil"/>
              <w:bottom w:val="single" w:sz="4" w:space="0" w:color="auto"/>
              <w:right w:val="single" w:sz="4" w:space="0" w:color="auto"/>
            </w:tcBorders>
            <w:shd w:val="clear" w:color="auto" w:fill="auto"/>
            <w:noWrap/>
            <w:vAlign w:val="bottom"/>
            <w:hideMark/>
          </w:tcPr>
          <w:p w14:paraId="00285AE9" w14:textId="77777777" w:rsidR="00245464" w:rsidRPr="001605E3" w:rsidRDefault="00245464" w:rsidP="00536FE0">
            <w:pPr>
              <w:pStyle w:val="NoSpacing"/>
              <w:rPr>
                <w:rFonts w:ascii="Times New Roman" w:hAnsi="Times New Roman" w:cs="Times New Roman"/>
                <w:color w:val="000000" w:themeColor="text1"/>
                <w:sz w:val="20"/>
                <w:szCs w:val="20"/>
              </w:rPr>
            </w:pPr>
            <w:r w:rsidRPr="001605E3">
              <w:rPr>
                <w:rFonts w:ascii="Times New Roman" w:hAnsi="Times New Roman" w:cs="Times New Roman"/>
                <w:color w:val="000000" w:themeColor="text1"/>
                <w:sz w:val="20"/>
                <w:szCs w:val="20"/>
              </w:rPr>
              <w:t>33,211.8</w:t>
            </w:r>
          </w:p>
        </w:tc>
      </w:tr>
    </w:tbl>
    <w:p w14:paraId="033C6185" w14:textId="77777777" w:rsidR="00536FE0" w:rsidRPr="00191ACB" w:rsidRDefault="00536FE0" w:rsidP="00245464">
      <w:pPr>
        <w:jc w:val="both"/>
        <w:rPr>
          <w:rFonts w:ascii="Times New Roman" w:eastAsia="Calibri" w:hAnsi="Times New Roman" w:cs="Times New Roman"/>
          <w:color w:val="000000" w:themeColor="text1"/>
          <w:sz w:val="24"/>
          <w:szCs w:val="24"/>
        </w:rPr>
      </w:pPr>
    </w:p>
    <w:p w14:paraId="5011EC5F" w14:textId="38CF23B1" w:rsidR="00245464" w:rsidRPr="00191ACB" w:rsidRDefault="00245464"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Emission reduction potential for agriculture in the enhance</w:t>
      </w:r>
      <w:r w:rsidR="00080E21" w:rsidRPr="00191ACB">
        <w:rPr>
          <w:rFonts w:ascii="Times New Roman" w:eastAsia="Calibri" w:hAnsi="Times New Roman" w:cs="Times New Roman"/>
          <w:color w:val="000000" w:themeColor="text1"/>
          <w:sz w:val="24"/>
          <w:szCs w:val="24"/>
        </w:rPr>
        <w:t>d</w:t>
      </w:r>
      <w:r w:rsidRPr="00191ACB">
        <w:rPr>
          <w:rFonts w:ascii="Times New Roman" w:eastAsia="Calibri" w:hAnsi="Times New Roman" w:cs="Times New Roman"/>
          <w:color w:val="000000" w:themeColor="text1"/>
          <w:sz w:val="24"/>
          <w:szCs w:val="24"/>
        </w:rPr>
        <w:t xml:space="preserve"> support scenario is expected to grow from </w:t>
      </w:r>
      <w:r w:rsidRPr="00191ACB">
        <w:rPr>
          <w:rFonts w:ascii="Times New Roman" w:eastAsia="Times New Roman" w:hAnsi="Times New Roman" w:cs="Times New Roman"/>
          <w:color w:val="000000" w:themeColor="text1"/>
          <w:sz w:val="24"/>
          <w:szCs w:val="24"/>
        </w:rPr>
        <w:t>687.2</w:t>
      </w:r>
      <w:r w:rsidRPr="00191ACB">
        <w:rPr>
          <w:rFonts w:ascii="Times New Roman" w:eastAsia="Calibri" w:hAnsi="Times New Roman" w:cs="Times New Roman"/>
          <w:color w:val="000000" w:themeColor="text1"/>
          <w:sz w:val="24"/>
          <w:szCs w:val="24"/>
        </w:rPr>
        <w:t xml:space="preserve">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to </w:t>
      </w:r>
      <w:r w:rsidRPr="00191ACB">
        <w:rPr>
          <w:rFonts w:ascii="Times New Roman" w:eastAsia="Times New Roman" w:hAnsi="Times New Roman" w:cs="Times New Roman"/>
          <w:color w:val="000000" w:themeColor="text1"/>
          <w:sz w:val="24"/>
          <w:szCs w:val="24"/>
        </w:rPr>
        <w:t xml:space="preserve">2,321.6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2020 and 2050, respectively while that for forestry are projected to increase from </w:t>
      </w:r>
      <w:r w:rsidRPr="00191ACB">
        <w:rPr>
          <w:rFonts w:ascii="Times New Roman" w:eastAsia="Times New Roman" w:hAnsi="Times New Roman" w:cs="Times New Roman"/>
          <w:color w:val="000000" w:themeColor="text1"/>
          <w:sz w:val="24"/>
          <w:szCs w:val="24"/>
        </w:rPr>
        <w:t xml:space="preserve">11,971.3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2020 to </w:t>
      </w:r>
      <w:r w:rsidRPr="00191ACB">
        <w:rPr>
          <w:rFonts w:ascii="Times New Roman" w:eastAsia="Times New Roman" w:hAnsi="Times New Roman" w:cs="Times New Roman"/>
          <w:color w:val="000000" w:themeColor="text1"/>
          <w:sz w:val="24"/>
          <w:szCs w:val="24"/>
        </w:rPr>
        <w:t>62,493.4</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2050. Provided in Table </w:t>
      </w:r>
      <w:r w:rsidR="00F11900" w:rsidRPr="00191ACB">
        <w:rPr>
          <w:rFonts w:ascii="Times New Roman" w:eastAsia="Calibri" w:hAnsi="Times New Roman" w:cs="Times New Roman"/>
          <w:color w:val="000000" w:themeColor="text1"/>
          <w:sz w:val="24"/>
          <w:szCs w:val="24"/>
        </w:rPr>
        <w:t>4.53</w:t>
      </w:r>
      <w:r w:rsidRPr="00191ACB">
        <w:rPr>
          <w:rFonts w:ascii="Times New Roman" w:eastAsia="Calibri" w:hAnsi="Times New Roman" w:cs="Times New Roman"/>
          <w:color w:val="000000" w:themeColor="text1"/>
          <w:sz w:val="24"/>
          <w:szCs w:val="24"/>
        </w:rPr>
        <w:t xml:space="preserve"> are emissions reduction potential for enhanced support scenario.</w:t>
      </w:r>
    </w:p>
    <w:p w14:paraId="25DA1EED" w14:textId="77777777" w:rsidR="00A13A2D" w:rsidRPr="00191ACB" w:rsidRDefault="00A13A2D" w:rsidP="00245464">
      <w:pPr>
        <w:jc w:val="both"/>
        <w:rPr>
          <w:rFonts w:ascii="Times New Roman" w:eastAsia="Calibri" w:hAnsi="Times New Roman" w:cs="Times New Roman"/>
          <w:color w:val="000000" w:themeColor="text1"/>
          <w:sz w:val="24"/>
          <w:szCs w:val="24"/>
        </w:rPr>
      </w:pPr>
    </w:p>
    <w:p w14:paraId="5AA5E0E3" w14:textId="0FEE52EA" w:rsidR="00245464" w:rsidRPr="00191ACB" w:rsidRDefault="00A13A2D" w:rsidP="00A13A2D">
      <w:pPr>
        <w:pStyle w:val="Caption"/>
        <w:rPr>
          <w:rFonts w:eastAsia="Calibri"/>
          <w:color w:val="000000" w:themeColor="text1"/>
          <w:sz w:val="24"/>
          <w:szCs w:val="24"/>
        </w:rPr>
      </w:pPr>
      <w:bookmarkStart w:id="460" w:name="_Toc56583829"/>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53</w:t>
      </w:r>
      <w:r w:rsidR="00875942">
        <w:rPr>
          <w:sz w:val="24"/>
          <w:szCs w:val="24"/>
        </w:rPr>
        <w:fldChar w:fldCharType="end"/>
      </w:r>
      <w:r w:rsidRPr="00191ACB">
        <w:rPr>
          <w:sz w:val="24"/>
          <w:szCs w:val="24"/>
        </w:rPr>
        <w:t>: Emissions reduction potential for enhanced support scenario under NDC Gg CO2 eq</w:t>
      </w:r>
      <w:bookmarkEnd w:id="460"/>
    </w:p>
    <w:tbl>
      <w:tblPr>
        <w:tblW w:w="4953" w:type="pct"/>
        <w:tblLayout w:type="fixed"/>
        <w:tblLook w:val="04A0" w:firstRow="1" w:lastRow="0" w:firstColumn="1" w:lastColumn="0" w:noHBand="0" w:noVBand="1"/>
      </w:tblPr>
      <w:tblGrid>
        <w:gridCol w:w="1595"/>
        <w:gridCol w:w="747"/>
        <w:gridCol w:w="714"/>
        <w:gridCol w:w="1032"/>
        <w:gridCol w:w="949"/>
        <w:gridCol w:w="899"/>
        <w:gridCol w:w="1032"/>
        <w:gridCol w:w="940"/>
        <w:gridCol w:w="940"/>
        <w:gridCol w:w="799"/>
      </w:tblGrid>
      <w:tr w:rsidR="00D326BE" w:rsidRPr="001605E3" w14:paraId="77ABD1CC" w14:textId="77777777" w:rsidTr="00536FE0">
        <w:trPr>
          <w:trHeight w:val="300"/>
        </w:trPr>
        <w:tc>
          <w:tcPr>
            <w:tcW w:w="82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B13F48"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w:t>
            </w:r>
          </w:p>
        </w:tc>
        <w:tc>
          <w:tcPr>
            <w:tcW w:w="387" w:type="pct"/>
            <w:tcBorders>
              <w:top w:val="single" w:sz="4" w:space="0" w:color="auto"/>
              <w:left w:val="nil"/>
              <w:bottom w:val="single" w:sz="4" w:space="0" w:color="auto"/>
              <w:right w:val="single" w:sz="4" w:space="0" w:color="auto"/>
            </w:tcBorders>
            <w:shd w:val="clear" w:color="auto" w:fill="auto"/>
            <w:noWrap/>
            <w:vAlign w:val="bottom"/>
            <w:hideMark/>
          </w:tcPr>
          <w:p w14:paraId="32D56654"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2010</w:t>
            </w:r>
          </w:p>
        </w:tc>
        <w:tc>
          <w:tcPr>
            <w:tcW w:w="370" w:type="pct"/>
            <w:tcBorders>
              <w:top w:val="single" w:sz="4" w:space="0" w:color="auto"/>
              <w:left w:val="nil"/>
              <w:bottom w:val="single" w:sz="4" w:space="0" w:color="auto"/>
              <w:right w:val="single" w:sz="4" w:space="0" w:color="auto"/>
            </w:tcBorders>
            <w:shd w:val="clear" w:color="auto" w:fill="auto"/>
            <w:noWrap/>
            <w:vAlign w:val="bottom"/>
            <w:hideMark/>
          </w:tcPr>
          <w:p w14:paraId="3FC36EB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2015</w:t>
            </w:r>
          </w:p>
        </w:tc>
        <w:tc>
          <w:tcPr>
            <w:tcW w:w="535" w:type="pct"/>
            <w:tcBorders>
              <w:top w:val="single" w:sz="4" w:space="0" w:color="auto"/>
              <w:left w:val="nil"/>
              <w:bottom w:val="single" w:sz="4" w:space="0" w:color="auto"/>
              <w:right w:val="single" w:sz="4" w:space="0" w:color="auto"/>
            </w:tcBorders>
            <w:shd w:val="clear" w:color="auto" w:fill="auto"/>
            <w:noWrap/>
            <w:vAlign w:val="bottom"/>
            <w:hideMark/>
          </w:tcPr>
          <w:p w14:paraId="477A75C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2020</w:t>
            </w:r>
          </w:p>
        </w:tc>
        <w:tc>
          <w:tcPr>
            <w:tcW w:w="492" w:type="pct"/>
            <w:tcBorders>
              <w:top w:val="single" w:sz="4" w:space="0" w:color="auto"/>
              <w:left w:val="nil"/>
              <w:bottom w:val="single" w:sz="4" w:space="0" w:color="auto"/>
              <w:right w:val="single" w:sz="4" w:space="0" w:color="auto"/>
            </w:tcBorders>
            <w:shd w:val="clear" w:color="auto" w:fill="auto"/>
            <w:noWrap/>
            <w:vAlign w:val="bottom"/>
            <w:hideMark/>
          </w:tcPr>
          <w:p w14:paraId="40047E2D"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2025</w:t>
            </w:r>
          </w:p>
        </w:tc>
        <w:tc>
          <w:tcPr>
            <w:tcW w:w="466" w:type="pct"/>
            <w:tcBorders>
              <w:top w:val="single" w:sz="4" w:space="0" w:color="auto"/>
              <w:left w:val="nil"/>
              <w:bottom w:val="single" w:sz="4" w:space="0" w:color="auto"/>
              <w:right w:val="single" w:sz="4" w:space="0" w:color="auto"/>
            </w:tcBorders>
            <w:shd w:val="clear" w:color="auto" w:fill="auto"/>
            <w:noWrap/>
            <w:vAlign w:val="bottom"/>
            <w:hideMark/>
          </w:tcPr>
          <w:p w14:paraId="07695101"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2030</w:t>
            </w:r>
          </w:p>
        </w:tc>
        <w:tc>
          <w:tcPr>
            <w:tcW w:w="535" w:type="pct"/>
            <w:tcBorders>
              <w:top w:val="single" w:sz="4" w:space="0" w:color="auto"/>
              <w:left w:val="nil"/>
              <w:bottom w:val="single" w:sz="4" w:space="0" w:color="auto"/>
              <w:right w:val="single" w:sz="4" w:space="0" w:color="auto"/>
            </w:tcBorders>
            <w:shd w:val="clear" w:color="auto" w:fill="auto"/>
            <w:noWrap/>
            <w:vAlign w:val="bottom"/>
            <w:hideMark/>
          </w:tcPr>
          <w:p w14:paraId="6E553FDE"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2035</w:t>
            </w:r>
          </w:p>
        </w:tc>
        <w:tc>
          <w:tcPr>
            <w:tcW w:w="487" w:type="pct"/>
            <w:tcBorders>
              <w:top w:val="single" w:sz="4" w:space="0" w:color="auto"/>
              <w:left w:val="nil"/>
              <w:bottom w:val="single" w:sz="4" w:space="0" w:color="auto"/>
              <w:right w:val="single" w:sz="4" w:space="0" w:color="auto"/>
            </w:tcBorders>
            <w:shd w:val="clear" w:color="auto" w:fill="auto"/>
            <w:noWrap/>
            <w:vAlign w:val="bottom"/>
            <w:hideMark/>
          </w:tcPr>
          <w:p w14:paraId="578023CE"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2040</w:t>
            </w:r>
          </w:p>
        </w:tc>
        <w:tc>
          <w:tcPr>
            <w:tcW w:w="487" w:type="pct"/>
            <w:tcBorders>
              <w:top w:val="single" w:sz="4" w:space="0" w:color="auto"/>
              <w:left w:val="nil"/>
              <w:bottom w:val="single" w:sz="4" w:space="0" w:color="auto"/>
              <w:right w:val="single" w:sz="4" w:space="0" w:color="auto"/>
            </w:tcBorders>
            <w:shd w:val="clear" w:color="auto" w:fill="auto"/>
            <w:noWrap/>
            <w:vAlign w:val="bottom"/>
            <w:hideMark/>
          </w:tcPr>
          <w:p w14:paraId="69EA6EEC"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2045</w:t>
            </w:r>
          </w:p>
        </w:tc>
        <w:tc>
          <w:tcPr>
            <w:tcW w:w="414" w:type="pct"/>
            <w:tcBorders>
              <w:top w:val="single" w:sz="4" w:space="0" w:color="auto"/>
              <w:left w:val="nil"/>
              <w:bottom w:val="single" w:sz="4" w:space="0" w:color="auto"/>
              <w:right w:val="single" w:sz="4" w:space="0" w:color="auto"/>
            </w:tcBorders>
            <w:shd w:val="clear" w:color="auto" w:fill="auto"/>
            <w:noWrap/>
            <w:vAlign w:val="bottom"/>
            <w:hideMark/>
          </w:tcPr>
          <w:p w14:paraId="61AE52D0"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2050</w:t>
            </w:r>
          </w:p>
        </w:tc>
      </w:tr>
      <w:tr w:rsidR="00D326BE" w:rsidRPr="001605E3" w14:paraId="71C5C557" w14:textId="77777777" w:rsidTr="00536FE0">
        <w:trPr>
          <w:trHeight w:val="300"/>
        </w:trPr>
        <w:tc>
          <w:tcPr>
            <w:tcW w:w="827" w:type="pct"/>
            <w:tcBorders>
              <w:top w:val="nil"/>
              <w:left w:val="single" w:sz="4" w:space="0" w:color="auto"/>
              <w:bottom w:val="single" w:sz="4" w:space="0" w:color="auto"/>
              <w:right w:val="single" w:sz="4" w:space="0" w:color="auto"/>
            </w:tcBorders>
            <w:shd w:val="clear" w:color="auto" w:fill="auto"/>
            <w:noWrap/>
            <w:vAlign w:val="bottom"/>
            <w:hideMark/>
          </w:tcPr>
          <w:p w14:paraId="159C6FF4"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xml:space="preserve">NDC-Agriculture </w:t>
            </w:r>
          </w:p>
        </w:tc>
        <w:tc>
          <w:tcPr>
            <w:tcW w:w="387" w:type="pct"/>
            <w:tcBorders>
              <w:top w:val="nil"/>
              <w:left w:val="nil"/>
              <w:bottom w:val="single" w:sz="4" w:space="0" w:color="auto"/>
              <w:right w:val="single" w:sz="4" w:space="0" w:color="auto"/>
            </w:tcBorders>
            <w:shd w:val="clear" w:color="auto" w:fill="auto"/>
            <w:noWrap/>
            <w:vAlign w:val="bottom"/>
            <w:hideMark/>
          </w:tcPr>
          <w:p w14:paraId="2D7FAC66"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70" w:type="pct"/>
            <w:tcBorders>
              <w:top w:val="nil"/>
              <w:left w:val="nil"/>
              <w:bottom w:val="single" w:sz="4" w:space="0" w:color="auto"/>
              <w:right w:val="single" w:sz="4" w:space="0" w:color="auto"/>
            </w:tcBorders>
            <w:shd w:val="clear" w:color="auto" w:fill="auto"/>
            <w:noWrap/>
            <w:vAlign w:val="bottom"/>
            <w:hideMark/>
          </w:tcPr>
          <w:p w14:paraId="160586D8"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535" w:type="pct"/>
            <w:tcBorders>
              <w:top w:val="nil"/>
              <w:left w:val="nil"/>
              <w:bottom w:val="single" w:sz="4" w:space="0" w:color="auto"/>
              <w:right w:val="single" w:sz="4" w:space="0" w:color="auto"/>
            </w:tcBorders>
            <w:shd w:val="clear" w:color="auto" w:fill="auto"/>
            <w:noWrap/>
            <w:vAlign w:val="bottom"/>
            <w:hideMark/>
          </w:tcPr>
          <w:p w14:paraId="6D12D260"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687.2</w:t>
            </w:r>
          </w:p>
        </w:tc>
        <w:tc>
          <w:tcPr>
            <w:tcW w:w="492" w:type="pct"/>
            <w:tcBorders>
              <w:top w:val="nil"/>
              <w:left w:val="nil"/>
              <w:bottom w:val="single" w:sz="4" w:space="0" w:color="auto"/>
              <w:right w:val="single" w:sz="4" w:space="0" w:color="auto"/>
            </w:tcBorders>
            <w:shd w:val="clear" w:color="auto" w:fill="auto"/>
            <w:noWrap/>
            <w:vAlign w:val="bottom"/>
            <w:hideMark/>
          </w:tcPr>
          <w:p w14:paraId="061D98C7"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959.6</w:t>
            </w:r>
          </w:p>
        </w:tc>
        <w:tc>
          <w:tcPr>
            <w:tcW w:w="466" w:type="pct"/>
            <w:tcBorders>
              <w:top w:val="nil"/>
              <w:left w:val="nil"/>
              <w:bottom w:val="single" w:sz="4" w:space="0" w:color="auto"/>
              <w:right w:val="single" w:sz="4" w:space="0" w:color="auto"/>
            </w:tcBorders>
            <w:shd w:val="clear" w:color="auto" w:fill="auto"/>
            <w:noWrap/>
            <w:vAlign w:val="bottom"/>
            <w:hideMark/>
          </w:tcPr>
          <w:p w14:paraId="387AACFC"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1232.0</w:t>
            </w:r>
          </w:p>
        </w:tc>
        <w:tc>
          <w:tcPr>
            <w:tcW w:w="535" w:type="pct"/>
            <w:tcBorders>
              <w:top w:val="nil"/>
              <w:left w:val="nil"/>
              <w:bottom w:val="single" w:sz="4" w:space="0" w:color="auto"/>
              <w:right w:val="single" w:sz="4" w:space="0" w:color="auto"/>
            </w:tcBorders>
            <w:shd w:val="clear" w:color="auto" w:fill="auto"/>
            <w:noWrap/>
            <w:vAlign w:val="bottom"/>
            <w:hideMark/>
          </w:tcPr>
          <w:p w14:paraId="554B1D35"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1504.4</w:t>
            </w:r>
          </w:p>
        </w:tc>
        <w:tc>
          <w:tcPr>
            <w:tcW w:w="487" w:type="pct"/>
            <w:tcBorders>
              <w:top w:val="nil"/>
              <w:left w:val="nil"/>
              <w:bottom w:val="single" w:sz="4" w:space="0" w:color="auto"/>
              <w:right w:val="single" w:sz="4" w:space="0" w:color="auto"/>
            </w:tcBorders>
            <w:shd w:val="clear" w:color="auto" w:fill="auto"/>
            <w:noWrap/>
            <w:vAlign w:val="bottom"/>
            <w:hideMark/>
          </w:tcPr>
          <w:p w14:paraId="3DAC560B"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1776.8</w:t>
            </w:r>
          </w:p>
        </w:tc>
        <w:tc>
          <w:tcPr>
            <w:tcW w:w="487" w:type="pct"/>
            <w:tcBorders>
              <w:top w:val="nil"/>
              <w:left w:val="nil"/>
              <w:bottom w:val="single" w:sz="4" w:space="0" w:color="auto"/>
              <w:right w:val="single" w:sz="4" w:space="0" w:color="auto"/>
            </w:tcBorders>
            <w:shd w:val="clear" w:color="auto" w:fill="auto"/>
            <w:noWrap/>
            <w:vAlign w:val="bottom"/>
            <w:hideMark/>
          </w:tcPr>
          <w:p w14:paraId="176DAB08"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2049.2</w:t>
            </w:r>
          </w:p>
        </w:tc>
        <w:tc>
          <w:tcPr>
            <w:tcW w:w="414" w:type="pct"/>
            <w:tcBorders>
              <w:top w:val="nil"/>
              <w:left w:val="nil"/>
              <w:bottom w:val="single" w:sz="4" w:space="0" w:color="auto"/>
              <w:right w:val="single" w:sz="4" w:space="0" w:color="auto"/>
            </w:tcBorders>
            <w:shd w:val="clear" w:color="auto" w:fill="auto"/>
            <w:noWrap/>
            <w:vAlign w:val="bottom"/>
            <w:hideMark/>
          </w:tcPr>
          <w:p w14:paraId="65470CDF"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2321.6</w:t>
            </w:r>
          </w:p>
        </w:tc>
      </w:tr>
      <w:tr w:rsidR="00D326BE" w:rsidRPr="001605E3" w14:paraId="42DCDED8" w14:textId="77777777" w:rsidTr="00536FE0">
        <w:trPr>
          <w:trHeight w:val="300"/>
        </w:trPr>
        <w:tc>
          <w:tcPr>
            <w:tcW w:w="827" w:type="pct"/>
            <w:tcBorders>
              <w:top w:val="nil"/>
              <w:left w:val="single" w:sz="4" w:space="0" w:color="auto"/>
              <w:bottom w:val="single" w:sz="4" w:space="0" w:color="auto"/>
              <w:right w:val="single" w:sz="4" w:space="0" w:color="auto"/>
            </w:tcBorders>
            <w:shd w:val="clear" w:color="auto" w:fill="auto"/>
            <w:noWrap/>
            <w:vAlign w:val="bottom"/>
            <w:hideMark/>
          </w:tcPr>
          <w:p w14:paraId="4B307DE3"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xml:space="preserve">NDC-Land Use Change and Forestry </w:t>
            </w:r>
          </w:p>
        </w:tc>
        <w:tc>
          <w:tcPr>
            <w:tcW w:w="387" w:type="pct"/>
            <w:tcBorders>
              <w:top w:val="nil"/>
              <w:left w:val="nil"/>
              <w:bottom w:val="single" w:sz="4" w:space="0" w:color="auto"/>
              <w:right w:val="single" w:sz="4" w:space="0" w:color="auto"/>
            </w:tcBorders>
            <w:shd w:val="clear" w:color="auto" w:fill="auto"/>
            <w:noWrap/>
            <w:vAlign w:val="bottom"/>
            <w:hideMark/>
          </w:tcPr>
          <w:p w14:paraId="1E5A3ADE"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370" w:type="pct"/>
            <w:tcBorders>
              <w:top w:val="nil"/>
              <w:left w:val="nil"/>
              <w:bottom w:val="single" w:sz="4" w:space="0" w:color="auto"/>
              <w:right w:val="single" w:sz="4" w:space="0" w:color="auto"/>
            </w:tcBorders>
            <w:shd w:val="clear" w:color="auto" w:fill="auto"/>
            <w:noWrap/>
            <w:vAlign w:val="bottom"/>
            <w:hideMark/>
          </w:tcPr>
          <w:p w14:paraId="0691227B"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0.0</w:t>
            </w:r>
          </w:p>
        </w:tc>
        <w:tc>
          <w:tcPr>
            <w:tcW w:w="535" w:type="pct"/>
            <w:tcBorders>
              <w:top w:val="nil"/>
              <w:left w:val="nil"/>
              <w:bottom w:val="single" w:sz="4" w:space="0" w:color="auto"/>
              <w:right w:val="single" w:sz="4" w:space="0" w:color="auto"/>
            </w:tcBorders>
            <w:shd w:val="clear" w:color="auto" w:fill="auto"/>
            <w:noWrap/>
            <w:vAlign w:val="bottom"/>
            <w:hideMark/>
          </w:tcPr>
          <w:p w14:paraId="08E47545"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11971.3</w:t>
            </w:r>
          </w:p>
        </w:tc>
        <w:tc>
          <w:tcPr>
            <w:tcW w:w="492" w:type="pct"/>
            <w:tcBorders>
              <w:top w:val="nil"/>
              <w:left w:val="nil"/>
              <w:bottom w:val="single" w:sz="4" w:space="0" w:color="auto"/>
              <w:right w:val="single" w:sz="4" w:space="0" w:color="auto"/>
            </w:tcBorders>
            <w:shd w:val="clear" w:color="auto" w:fill="auto"/>
            <w:noWrap/>
            <w:vAlign w:val="bottom"/>
            <w:hideMark/>
          </w:tcPr>
          <w:p w14:paraId="3F738E77"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20391.7</w:t>
            </w:r>
          </w:p>
        </w:tc>
        <w:tc>
          <w:tcPr>
            <w:tcW w:w="466" w:type="pct"/>
            <w:tcBorders>
              <w:top w:val="nil"/>
              <w:left w:val="nil"/>
              <w:bottom w:val="single" w:sz="4" w:space="0" w:color="auto"/>
              <w:right w:val="single" w:sz="4" w:space="0" w:color="auto"/>
            </w:tcBorders>
            <w:shd w:val="clear" w:color="auto" w:fill="auto"/>
            <w:noWrap/>
            <w:vAlign w:val="bottom"/>
            <w:hideMark/>
          </w:tcPr>
          <w:p w14:paraId="4F2D4020"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28812.0</w:t>
            </w:r>
          </w:p>
        </w:tc>
        <w:tc>
          <w:tcPr>
            <w:tcW w:w="535" w:type="pct"/>
            <w:tcBorders>
              <w:top w:val="nil"/>
              <w:left w:val="nil"/>
              <w:bottom w:val="single" w:sz="4" w:space="0" w:color="auto"/>
              <w:right w:val="single" w:sz="4" w:space="0" w:color="auto"/>
            </w:tcBorders>
            <w:shd w:val="clear" w:color="auto" w:fill="auto"/>
            <w:noWrap/>
            <w:vAlign w:val="bottom"/>
            <w:hideMark/>
          </w:tcPr>
          <w:p w14:paraId="1601DDC0"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37232.4</w:t>
            </w:r>
          </w:p>
        </w:tc>
        <w:tc>
          <w:tcPr>
            <w:tcW w:w="487" w:type="pct"/>
            <w:tcBorders>
              <w:top w:val="nil"/>
              <w:left w:val="nil"/>
              <w:bottom w:val="single" w:sz="4" w:space="0" w:color="auto"/>
              <w:right w:val="single" w:sz="4" w:space="0" w:color="auto"/>
            </w:tcBorders>
            <w:shd w:val="clear" w:color="auto" w:fill="auto"/>
            <w:noWrap/>
            <w:vAlign w:val="bottom"/>
            <w:hideMark/>
          </w:tcPr>
          <w:p w14:paraId="60A4C539"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45652.7</w:t>
            </w:r>
          </w:p>
        </w:tc>
        <w:tc>
          <w:tcPr>
            <w:tcW w:w="487" w:type="pct"/>
            <w:tcBorders>
              <w:top w:val="nil"/>
              <w:left w:val="nil"/>
              <w:bottom w:val="single" w:sz="4" w:space="0" w:color="auto"/>
              <w:right w:val="single" w:sz="4" w:space="0" w:color="auto"/>
            </w:tcBorders>
            <w:shd w:val="clear" w:color="auto" w:fill="auto"/>
            <w:noWrap/>
            <w:vAlign w:val="bottom"/>
            <w:hideMark/>
          </w:tcPr>
          <w:p w14:paraId="2C2EF792"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54073.0</w:t>
            </w:r>
          </w:p>
        </w:tc>
        <w:tc>
          <w:tcPr>
            <w:tcW w:w="414" w:type="pct"/>
            <w:tcBorders>
              <w:top w:val="nil"/>
              <w:left w:val="nil"/>
              <w:bottom w:val="single" w:sz="4" w:space="0" w:color="auto"/>
              <w:right w:val="single" w:sz="4" w:space="0" w:color="auto"/>
            </w:tcBorders>
            <w:shd w:val="clear" w:color="auto" w:fill="auto"/>
            <w:noWrap/>
            <w:vAlign w:val="bottom"/>
            <w:hideMark/>
          </w:tcPr>
          <w:p w14:paraId="20DC6A0B" w14:textId="71F47367" w:rsidR="00245464" w:rsidRPr="001605E3" w:rsidRDefault="00536FE0" w:rsidP="00536FE0">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62493</w:t>
            </w:r>
          </w:p>
        </w:tc>
      </w:tr>
    </w:tbl>
    <w:p w14:paraId="2E5DDCD0" w14:textId="77777777" w:rsidR="00245464" w:rsidRPr="00191ACB" w:rsidRDefault="00245464" w:rsidP="00245464">
      <w:pPr>
        <w:spacing w:after="0" w:line="240" w:lineRule="auto"/>
        <w:ind w:left="720"/>
        <w:jc w:val="both"/>
        <w:rPr>
          <w:rFonts w:ascii="Times New Roman" w:eastAsia="Times New Roman" w:hAnsi="Times New Roman" w:cs="Times New Roman"/>
          <w:color w:val="000000" w:themeColor="text1"/>
          <w:sz w:val="24"/>
          <w:szCs w:val="24"/>
          <w:lang w:val="x-none" w:eastAsia="x-none"/>
        </w:rPr>
      </w:pPr>
    </w:p>
    <w:p w14:paraId="736E8DCD" w14:textId="77777777" w:rsidR="00C27BFD" w:rsidRPr="00191ACB" w:rsidRDefault="00C27BFD" w:rsidP="00563558">
      <w:pPr>
        <w:pStyle w:val="Heading2"/>
        <w:rPr>
          <w:rFonts w:ascii="Times New Roman" w:eastAsia="Times New Roman" w:hAnsi="Times New Roman" w:cs="Times New Roman"/>
          <w:b/>
          <w:color w:val="000000" w:themeColor="text1"/>
          <w:sz w:val="24"/>
          <w:szCs w:val="24"/>
        </w:rPr>
      </w:pPr>
      <w:bookmarkStart w:id="461" w:name="_Toc26264957"/>
    </w:p>
    <w:p w14:paraId="61ECD0F5" w14:textId="4FE0C1A2" w:rsidR="00245464" w:rsidRPr="00191ACB" w:rsidRDefault="00F11900" w:rsidP="00D21C5B">
      <w:pPr>
        <w:pStyle w:val="Heading3"/>
        <w:numPr>
          <w:ilvl w:val="2"/>
          <w:numId w:val="36"/>
        </w:numPr>
        <w:ind w:left="851" w:hanging="709"/>
      </w:pPr>
      <w:bookmarkStart w:id="462" w:name="_Toc57902877"/>
      <w:bookmarkEnd w:id="461"/>
      <w:r w:rsidRPr="001605E3">
        <w:rPr>
          <w:color w:val="auto"/>
        </w:rPr>
        <w:t>Waste</w:t>
      </w:r>
      <w:bookmarkEnd w:id="462"/>
      <w:r w:rsidR="00245464" w:rsidRPr="00191ACB">
        <w:t xml:space="preserve">  </w:t>
      </w:r>
    </w:p>
    <w:p w14:paraId="55192616" w14:textId="78707301" w:rsidR="00245464" w:rsidRPr="00191ACB" w:rsidRDefault="00245464" w:rsidP="00D21C5B">
      <w:pPr>
        <w:pStyle w:val="Heading4"/>
        <w:numPr>
          <w:ilvl w:val="3"/>
          <w:numId w:val="36"/>
        </w:numPr>
        <w:ind w:left="851" w:hanging="709"/>
      </w:pPr>
      <w:bookmarkStart w:id="463" w:name="_Toc11669346"/>
      <w:bookmarkStart w:id="464" w:name="_Toc26264958"/>
      <w:r w:rsidRPr="00191ACB">
        <w:t xml:space="preserve">Baseline Emissions </w:t>
      </w:r>
      <w:r w:rsidR="003772F2" w:rsidRPr="00191ACB">
        <w:t xml:space="preserve">for </w:t>
      </w:r>
      <w:r w:rsidRPr="00191ACB">
        <w:t>Waste</w:t>
      </w:r>
      <w:bookmarkEnd w:id="463"/>
      <w:bookmarkEnd w:id="464"/>
      <w:r w:rsidRPr="00191ACB">
        <w:t xml:space="preserve"> </w:t>
      </w:r>
    </w:p>
    <w:p w14:paraId="2E5E8F49" w14:textId="3EE9117D" w:rsidR="00563558" w:rsidRPr="00191ACB" w:rsidRDefault="00245464"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Baseline emissions in the waste sector are projected to increase almost three times from 305.9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2010 to </w:t>
      </w:r>
      <w:r w:rsidR="006E4714" w:rsidRPr="00191ACB">
        <w:rPr>
          <w:rFonts w:ascii="Times New Roman" w:hAnsi="Times New Roman" w:cs="Times New Roman"/>
          <w:color w:val="000000" w:themeColor="text1"/>
          <w:sz w:val="24"/>
          <w:szCs w:val="24"/>
        </w:rPr>
        <w:t>885.5</w:t>
      </w:r>
      <w:r w:rsidRPr="00191ACB">
        <w:rPr>
          <w:rFonts w:ascii="Times New Roman" w:eastAsia="Calibri" w:hAnsi="Times New Roman" w:cs="Times New Roman"/>
          <w:color w:val="000000" w:themeColor="text1"/>
          <w:sz w:val="24"/>
          <w:szCs w:val="24"/>
        </w:rPr>
        <w:t xml:space="preserve">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in 2050 driven by population and economic growth</w:t>
      </w:r>
      <w:r w:rsidR="00536FE0" w:rsidRPr="00191ACB">
        <w:rPr>
          <w:rFonts w:ascii="Times New Roman" w:eastAsia="Calibri" w:hAnsi="Times New Roman" w:cs="Times New Roman"/>
          <w:color w:val="000000" w:themeColor="text1"/>
          <w:sz w:val="24"/>
          <w:szCs w:val="24"/>
        </w:rPr>
        <w:t>.</w:t>
      </w:r>
      <w:bookmarkStart w:id="465" w:name="_Toc11669347"/>
      <w:bookmarkStart w:id="466" w:name="_Toc26264959"/>
    </w:p>
    <w:p w14:paraId="640FCD2D" w14:textId="77777777" w:rsidR="00D10127" w:rsidRPr="00191ACB" w:rsidRDefault="00D10127" w:rsidP="005E626A">
      <w:pPr>
        <w:spacing w:after="120" w:line="240" w:lineRule="auto"/>
        <w:jc w:val="both"/>
        <w:rPr>
          <w:rFonts w:ascii="Times New Roman" w:eastAsia="Times New Roman" w:hAnsi="Times New Roman" w:cs="Times New Roman"/>
          <w:b/>
          <w:color w:val="000000" w:themeColor="text1"/>
          <w:sz w:val="24"/>
          <w:szCs w:val="24"/>
        </w:rPr>
      </w:pPr>
    </w:p>
    <w:p w14:paraId="7CABAB4C" w14:textId="5CF39F32" w:rsidR="00245464" w:rsidRPr="00191ACB" w:rsidRDefault="00245464" w:rsidP="00D21C5B">
      <w:pPr>
        <w:pStyle w:val="Heading4"/>
        <w:numPr>
          <w:ilvl w:val="3"/>
          <w:numId w:val="36"/>
        </w:numPr>
        <w:ind w:left="851" w:hanging="709"/>
      </w:pPr>
      <w:r w:rsidRPr="00191ACB">
        <w:t>Emission reductions actions under Waste</w:t>
      </w:r>
      <w:bookmarkEnd w:id="465"/>
      <w:bookmarkEnd w:id="466"/>
      <w:r w:rsidRPr="00191ACB">
        <w:t xml:space="preserve">  </w:t>
      </w:r>
    </w:p>
    <w:p w14:paraId="60D78342" w14:textId="77777777" w:rsidR="00245464" w:rsidRPr="00191ACB" w:rsidRDefault="00245464"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Under the waste sector, mitigation actions planned are those contained in the Waste NAMA and NDC. Incidentally the Waste NAMA mitigation actions are based on almost same facilities as with the actions identified in the NDC. Except under NDC the scope and coverage is slightly larger compared to the NAMAs. The NDC waste mitigation interventions covers country wide solid waste and liquid waste handling facilities, whereas the NAMA focuses on Livingstone, Lusaka, and Copperbelt towns. In order to avoid double counting of emissions reductions from both NDC and the NAMAs, the NDC mitigation actions were adopted in this analysis.   </w:t>
      </w:r>
    </w:p>
    <w:p w14:paraId="46D37689" w14:textId="2DCECC63" w:rsidR="00245464" w:rsidRPr="00191ACB" w:rsidRDefault="00245464" w:rsidP="000C4FCD">
      <w:pPr>
        <w:spacing w:after="120" w:line="276" w:lineRule="auto"/>
        <w:jc w:val="both"/>
        <w:rPr>
          <w:rFonts w:ascii="Times New Roman" w:eastAsiaTheme="minorEastAsia" w:hAnsi="Times New Roman" w:cs="Times New Roman"/>
          <w:color w:val="000000" w:themeColor="text1"/>
          <w:kern w:val="24"/>
          <w:sz w:val="24"/>
          <w:szCs w:val="24"/>
        </w:rPr>
      </w:pPr>
      <w:r w:rsidRPr="00191ACB">
        <w:rPr>
          <w:rFonts w:ascii="Times New Roman" w:eastAsia="Calibri" w:hAnsi="Times New Roman" w:cs="Times New Roman"/>
          <w:color w:val="000000" w:themeColor="text1"/>
          <w:sz w:val="24"/>
          <w:szCs w:val="24"/>
        </w:rPr>
        <w:t xml:space="preserve">The proposed NAMA interventions will involve </w:t>
      </w:r>
      <w:r w:rsidRPr="00191ACB">
        <w:rPr>
          <w:rFonts w:ascii="Times New Roman" w:eastAsiaTheme="minorEastAsia" w:hAnsi="Times New Roman" w:cs="Times New Roman"/>
          <w:color w:val="000000" w:themeColor="text1"/>
          <w:kern w:val="24"/>
          <w:sz w:val="24"/>
          <w:szCs w:val="24"/>
        </w:rPr>
        <w:t>construction and installation of Mechanical Biological Treatment (MBT) plants, corresponding anaerobic digesters and gas engines in Lusaka, Kitwe, Ndola and Livingstone cities. The cities of Lusaka, Kitwe, Ndola and Livingstone are estimated to have waste handling capacities of 150 000, 75 000, 50 000 and 25 000 tonnes per annum of with corresponding sizes of biogas plants of 7736m</w:t>
      </w:r>
      <w:r w:rsidRPr="00191ACB">
        <w:rPr>
          <w:rFonts w:ascii="Times New Roman" w:eastAsiaTheme="minorEastAsia" w:hAnsi="Times New Roman" w:cs="Times New Roman"/>
          <w:color w:val="000000" w:themeColor="text1"/>
          <w:kern w:val="24"/>
          <w:sz w:val="24"/>
          <w:szCs w:val="24"/>
          <w:vertAlign w:val="superscript"/>
        </w:rPr>
        <w:t>3</w:t>
      </w:r>
      <w:r w:rsidRPr="00191ACB">
        <w:rPr>
          <w:rFonts w:ascii="Times New Roman" w:eastAsiaTheme="minorEastAsia" w:hAnsi="Times New Roman" w:cs="Times New Roman"/>
          <w:color w:val="000000" w:themeColor="text1"/>
          <w:kern w:val="24"/>
          <w:sz w:val="24"/>
          <w:szCs w:val="24"/>
        </w:rPr>
        <w:t>, 2579m</w:t>
      </w:r>
      <w:r w:rsidRPr="00191ACB">
        <w:rPr>
          <w:rFonts w:ascii="Times New Roman" w:eastAsiaTheme="minorEastAsia" w:hAnsi="Times New Roman" w:cs="Times New Roman"/>
          <w:color w:val="000000" w:themeColor="text1"/>
          <w:kern w:val="24"/>
          <w:sz w:val="24"/>
          <w:szCs w:val="24"/>
          <w:vertAlign w:val="superscript"/>
        </w:rPr>
        <w:t>3</w:t>
      </w:r>
      <w:r w:rsidRPr="00191ACB">
        <w:rPr>
          <w:rFonts w:ascii="Times New Roman" w:eastAsiaTheme="minorEastAsia" w:hAnsi="Times New Roman" w:cs="Times New Roman"/>
          <w:color w:val="000000" w:themeColor="text1"/>
          <w:kern w:val="24"/>
          <w:sz w:val="24"/>
          <w:szCs w:val="24"/>
        </w:rPr>
        <w:t>, 3868m</w:t>
      </w:r>
      <w:r w:rsidRPr="00191ACB">
        <w:rPr>
          <w:rFonts w:ascii="Times New Roman" w:eastAsiaTheme="minorEastAsia" w:hAnsi="Times New Roman" w:cs="Times New Roman"/>
          <w:color w:val="000000" w:themeColor="text1"/>
          <w:kern w:val="24"/>
          <w:sz w:val="24"/>
          <w:szCs w:val="24"/>
          <w:vertAlign w:val="superscript"/>
        </w:rPr>
        <w:t>3</w:t>
      </w:r>
      <w:r w:rsidRPr="00191ACB">
        <w:rPr>
          <w:rFonts w:ascii="Times New Roman" w:eastAsiaTheme="minorEastAsia" w:hAnsi="Times New Roman" w:cs="Times New Roman"/>
          <w:color w:val="000000" w:themeColor="text1"/>
          <w:kern w:val="24"/>
          <w:sz w:val="24"/>
          <w:szCs w:val="24"/>
        </w:rPr>
        <w:t>, and 1289m</w:t>
      </w:r>
      <w:r w:rsidRPr="00191ACB">
        <w:rPr>
          <w:rFonts w:ascii="Times New Roman" w:eastAsiaTheme="minorEastAsia" w:hAnsi="Times New Roman" w:cs="Times New Roman"/>
          <w:color w:val="000000" w:themeColor="text1"/>
          <w:kern w:val="24"/>
          <w:sz w:val="24"/>
          <w:szCs w:val="24"/>
          <w:vertAlign w:val="superscript"/>
        </w:rPr>
        <w:t>3</w:t>
      </w:r>
      <w:r w:rsidRPr="00191ACB">
        <w:rPr>
          <w:rFonts w:ascii="Times New Roman" w:eastAsiaTheme="minorEastAsia" w:hAnsi="Times New Roman" w:cs="Times New Roman"/>
          <w:color w:val="000000" w:themeColor="text1"/>
          <w:kern w:val="24"/>
          <w:sz w:val="24"/>
          <w:szCs w:val="24"/>
        </w:rPr>
        <w:t>, respectively.  The Waste NAMA will a</w:t>
      </w:r>
      <w:r w:rsidRPr="00191ACB">
        <w:rPr>
          <w:rFonts w:ascii="Times New Roman" w:eastAsiaTheme="minorEastAsia" w:hAnsi="Times New Roman" w:cs="Times New Roman"/>
          <w:bCs/>
          <w:color w:val="000000" w:themeColor="text1"/>
          <w:kern w:val="24"/>
          <w:sz w:val="24"/>
          <w:szCs w:val="24"/>
        </w:rPr>
        <w:t>lso consider activi</w:t>
      </w:r>
      <w:r w:rsidRPr="00191ACB">
        <w:rPr>
          <w:rFonts w:ascii="Times New Roman" w:eastAsiaTheme="minorEastAsia" w:hAnsi="Times New Roman" w:cs="Times New Roman"/>
          <w:color w:val="000000" w:themeColor="text1"/>
          <w:kern w:val="24"/>
          <w:sz w:val="24"/>
          <w:szCs w:val="24"/>
        </w:rPr>
        <w:t xml:space="preserve">ties aimed at increasing the collection and disposal of municipal solid waste, and encourage waste segregation at source to facilitate waste recycling. Emissions reduction potential for waste under the NDC constrained scenario are projected to increase from 400.7 </w:t>
      </w:r>
      <w:r w:rsidRPr="00191ACB">
        <w:rPr>
          <w:rFonts w:ascii="Times New Roman" w:eastAsia="Calibri" w:hAnsi="Times New Roman" w:cs="Times New Roman"/>
          <w:color w:val="000000" w:themeColor="text1"/>
          <w:sz w:val="24"/>
          <w:szCs w:val="24"/>
        </w:rPr>
        <w:t>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in 2020 to 1,121.4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in 2050 (Table</w:t>
      </w:r>
      <w:r w:rsidR="00F11900" w:rsidRPr="00191ACB">
        <w:rPr>
          <w:rFonts w:ascii="Times New Roman" w:eastAsia="Calibri" w:hAnsi="Times New Roman" w:cs="Times New Roman"/>
          <w:color w:val="000000" w:themeColor="text1"/>
          <w:sz w:val="24"/>
          <w:szCs w:val="24"/>
        </w:rPr>
        <w:t xml:space="preserve"> 4.54</w:t>
      </w:r>
      <w:r w:rsidRPr="00191ACB">
        <w:rPr>
          <w:rFonts w:ascii="Times New Roman" w:eastAsia="Calibri" w:hAnsi="Times New Roman" w:cs="Times New Roman"/>
          <w:color w:val="000000" w:themeColor="text1"/>
          <w:sz w:val="24"/>
          <w:szCs w:val="24"/>
        </w:rPr>
        <w:t>). On the other hand, emissions under the enhanced scenario are projected to increase from 799.6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to 1,401.7 Gg CO</w:t>
      </w:r>
      <w:r w:rsidRPr="00191ACB">
        <w:rPr>
          <w:rFonts w:ascii="Times New Roman" w:eastAsia="Calibri" w:hAnsi="Times New Roman" w:cs="Times New Roman"/>
          <w:color w:val="000000" w:themeColor="text1"/>
          <w:sz w:val="24"/>
          <w:szCs w:val="24"/>
          <w:vertAlign w:val="subscript"/>
        </w:rPr>
        <w:t>2 eq.</w:t>
      </w:r>
      <w:r w:rsidRPr="00191ACB">
        <w:rPr>
          <w:rFonts w:ascii="Times New Roman" w:eastAsia="Calibri" w:hAnsi="Times New Roman" w:cs="Times New Roman"/>
          <w:color w:val="000000" w:themeColor="text1"/>
          <w:sz w:val="24"/>
          <w:szCs w:val="24"/>
        </w:rPr>
        <w:t xml:space="preserve"> in 2050.</w:t>
      </w:r>
    </w:p>
    <w:p w14:paraId="39772D67" w14:textId="26A74CD2" w:rsidR="00245464" w:rsidRPr="00191ACB" w:rsidRDefault="00245464" w:rsidP="00245464">
      <w:pPr>
        <w:spacing w:after="0" w:line="240" w:lineRule="auto"/>
        <w:jc w:val="both"/>
        <w:rPr>
          <w:rFonts w:ascii="Times New Roman" w:eastAsia="Calibri" w:hAnsi="Times New Roman" w:cs="Times New Roman"/>
          <w:color w:val="000000" w:themeColor="text1"/>
          <w:sz w:val="24"/>
          <w:szCs w:val="24"/>
        </w:rPr>
      </w:pPr>
    </w:p>
    <w:p w14:paraId="7B3ACFB4" w14:textId="21367063" w:rsidR="00A13A2D" w:rsidRPr="00191ACB" w:rsidRDefault="00A13A2D" w:rsidP="00A13A2D">
      <w:pPr>
        <w:pStyle w:val="Caption"/>
        <w:rPr>
          <w:rFonts w:eastAsia="Calibri"/>
          <w:color w:val="000000" w:themeColor="text1"/>
          <w:sz w:val="24"/>
          <w:szCs w:val="24"/>
        </w:rPr>
      </w:pPr>
      <w:bookmarkStart w:id="467" w:name="_Toc56583830"/>
      <w:r w:rsidRPr="00191ACB">
        <w:rPr>
          <w:sz w:val="24"/>
          <w:szCs w:val="24"/>
        </w:rPr>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54</w:t>
      </w:r>
      <w:r w:rsidR="00875942">
        <w:rPr>
          <w:sz w:val="24"/>
          <w:szCs w:val="24"/>
        </w:rPr>
        <w:fldChar w:fldCharType="end"/>
      </w:r>
      <w:r w:rsidRPr="00191ACB">
        <w:rPr>
          <w:sz w:val="24"/>
          <w:szCs w:val="24"/>
        </w:rPr>
        <w:t>: Mitigation potential for constrained and enhanced support scenario under NDC Gg CO2 eq.</w:t>
      </w:r>
      <w:bookmarkEnd w:id="467"/>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4"/>
        <w:gridCol w:w="842"/>
        <w:gridCol w:w="751"/>
        <w:gridCol w:w="749"/>
        <w:gridCol w:w="753"/>
        <w:gridCol w:w="753"/>
        <w:gridCol w:w="845"/>
        <w:gridCol w:w="1030"/>
        <w:gridCol w:w="843"/>
        <w:gridCol w:w="1284"/>
      </w:tblGrid>
      <w:tr w:rsidR="00D326BE" w:rsidRPr="001605E3" w14:paraId="6F9CE8CC" w14:textId="77777777" w:rsidTr="00A91A48">
        <w:trPr>
          <w:trHeight w:val="300"/>
        </w:trPr>
        <w:tc>
          <w:tcPr>
            <w:tcW w:w="922" w:type="pct"/>
            <w:shd w:val="clear" w:color="auto" w:fill="auto"/>
            <w:noWrap/>
            <w:vAlign w:val="bottom"/>
            <w:hideMark/>
          </w:tcPr>
          <w:p w14:paraId="2C1594C5"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 </w:t>
            </w:r>
          </w:p>
        </w:tc>
        <w:tc>
          <w:tcPr>
            <w:tcW w:w="438" w:type="pct"/>
            <w:shd w:val="clear" w:color="auto" w:fill="auto"/>
            <w:noWrap/>
            <w:vAlign w:val="bottom"/>
            <w:hideMark/>
          </w:tcPr>
          <w:p w14:paraId="52F926ED"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2010</w:t>
            </w:r>
          </w:p>
        </w:tc>
        <w:tc>
          <w:tcPr>
            <w:tcW w:w="390" w:type="pct"/>
            <w:shd w:val="clear" w:color="auto" w:fill="auto"/>
            <w:noWrap/>
            <w:vAlign w:val="bottom"/>
            <w:hideMark/>
          </w:tcPr>
          <w:p w14:paraId="3B573860"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2015</w:t>
            </w:r>
          </w:p>
        </w:tc>
        <w:tc>
          <w:tcPr>
            <w:tcW w:w="389" w:type="pct"/>
            <w:shd w:val="clear" w:color="auto" w:fill="auto"/>
            <w:noWrap/>
            <w:vAlign w:val="bottom"/>
            <w:hideMark/>
          </w:tcPr>
          <w:p w14:paraId="1C1A9265"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2020</w:t>
            </w:r>
          </w:p>
        </w:tc>
        <w:tc>
          <w:tcPr>
            <w:tcW w:w="391" w:type="pct"/>
            <w:shd w:val="clear" w:color="auto" w:fill="auto"/>
            <w:noWrap/>
            <w:vAlign w:val="bottom"/>
            <w:hideMark/>
          </w:tcPr>
          <w:p w14:paraId="426EE629"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2025</w:t>
            </w:r>
          </w:p>
        </w:tc>
        <w:tc>
          <w:tcPr>
            <w:tcW w:w="391" w:type="pct"/>
            <w:shd w:val="clear" w:color="auto" w:fill="auto"/>
            <w:noWrap/>
            <w:vAlign w:val="bottom"/>
            <w:hideMark/>
          </w:tcPr>
          <w:p w14:paraId="338098F3"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2030</w:t>
            </w:r>
          </w:p>
        </w:tc>
        <w:tc>
          <w:tcPr>
            <w:tcW w:w="439" w:type="pct"/>
            <w:shd w:val="clear" w:color="auto" w:fill="auto"/>
            <w:noWrap/>
            <w:vAlign w:val="bottom"/>
            <w:hideMark/>
          </w:tcPr>
          <w:p w14:paraId="677864E3"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2035</w:t>
            </w:r>
          </w:p>
        </w:tc>
        <w:tc>
          <w:tcPr>
            <w:tcW w:w="535" w:type="pct"/>
            <w:shd w:val="clear" w:color="auto" w:fill="auto"/>
            <w:noWrap/>
            <w:vAlign w:val="bottom"/>
            <w:hideMark/>
          </w:tcPr>
          <w:p w14:paraId="10C344AA"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2040</w:t>
            </w:r>
          </w:p>
        </w:tc>
        <w:tc>
          <w:tcPr>
            <w:tcW w:w="438" w:type="pct"/>
            <w:shd w:val="clear" w:color="auto" w:fill="auto"/>
            <w:noWrap/>
            <w:vAlign w:val="bottom"/>
            <w:hideMark/>
          </w:tcPr>
          <w:p w14:paraId="2E2DEC53"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2045</w:t>
            </w:r>
          </w:p>
        </w:tc>
        <w:tc>
          <w:tcPr>
            <w:tcW w:w="668" w:type="pct"/>
            <w:shd w:val="clear" w:color="auto" w:fill="auto"/>
            <w:noWrap/>
            <w:vAlign w:val="bottom"/>
            <w:hideMark/>
          </w:tcPr>
          <w:p w14:paraId="32CFF954" w14:textId="77777777" w:rsidR="00245464" w:rsidRPr="001605E3" w:rsidRDefault="00245464" w:rsidP="00245464">
            <w:pPr>
              <w:spacing w:after="0" w:line="240" w:lineRule="auto"/>
              <w:jc w:val="both"/>
              <w:rPr>
                <w:rFonts w:ascii="Times New Roman" w:eastAsia="Times New Roman" w:hAnsi="Times New Roman" w:cs="Times New Roman"/>
                <w:color w:val="000000" w:themeColor="text1"/>
                <w:sz w:val="20"/>
                <w:szCs w:val="20"/>
              </w:rPr>
            </w:pPr>
            <w:r w:rsidRPr="001605E3">
              <w:rPr>
                <w:rFonts w:ascii="Times New Roman" w:eastAsia="Times New Roman" w:hAnsi="Times New Roman" w:cs="Times New Roman"/>
                <w:color w:val="000000" w:themeColor="text1"/>
                <w:sz w:val="20"/>
                <w:szCs w:val="20"/>
              </w:rPr>
              <w:t>2050</w:t>
            </w:r>
          </w:p>
        </w:tc>
      </w:tr>
      <w:tr w:rsidR="00D326BE" w:rsidRPr="001605E3" w14:paraId="39DAD030" w14:textId="77777777" w:rsidTr="00A91A48">
        <w:trPr>
          <w:trHeight w:val="238"/>
        </w:trPr>
        <w:tc>
          <w:tcPr>
            <w:tcW w:w="922" w:type="pct"/>
            <w:shd w:val="clear" w:color="auto" w:fill="auto"/>
            <w:noWrap/>
            <w:vAlign w:val="bottom"/>
            <w:hideMark/>
          </w:tcPr>
          <w:p w14:paraId="719BDFC7"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NDC-Waste Constrained scenario</w:t>
            </w:r>
          </w:p>
        </w:tc>
        <w:tc>
          <w:tcPr>
            <w:tcW w:w="438" w:type="pct"/>
            <w:shd w:val="clear" w:color="auto" w:fill="auto"/>
            <w:noWrap/>
            <w:vAlign w:val="bottom"/>
            <w:hideMark/>
          </w:tcPr>
          <w:p w14:paraId="03E4D74C"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0.0</w:t>
            </w:r>
          </w:p>
        </w:tc>
        <w:tc>
          <w:tcPr>
            <w:tcW w:w="390" w:type="pct"/>
            <w:shd w:val="clear" w:color="auto" w:fill="auto"/>
            <w:noWrap/>
            <w:vAlign w:val="bottom"/>
            <w:hideMark/>
          </w:tcPr>
          <w:p w14:paraId="7D2437C7"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0.0</w:t>
            </w:r>
          </w:p>
        </w:tc>
        <w:tc>
          <w:tcPr>
            <w:tcW w:w="389" w:type="pct"/>
            <w:shd w:val="clear" w:color="auto" w:fill="auto"/>
            <w:noWrap/>
            <w:vAlign w:val="bottom"/>
            <w:hideMark/>
          </w:tcPr>
          <w:p w14:paraId="717CBDD5"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400.7</w:t>
            </w:r>
          </w:p>
        </w:tc>
        <w:tc>
          <w:tcPr>
            <w:tcW w:w="391" w:type="pct"/>
            <w:shd w:val="clear" w:color="auto" w:fill="auto"/>
            <w:noWrap/>
            <w:vAlign w:val="bottom"/>
            <w:hideMark/>
          </w:tcPr>
          <w:p w14:paraId="598B8DFC"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520.8</w:t>
            </w:r>
          </w:p>
        </w:tc>
        <w:tc>
          <w:tcPr>
            <w:tcW w:w="391" w:type="pct"/>
            <w:shd w:val="clear" w:color="auto" w:fill="auto"/>
            <w:noWrap/>
            <w:vAlign w:val="bottom"/>
            <w:hideMark/>
          </w:tcPr>
          <w:p w14:paraId="59D2F541"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640.9</w:t>
            </w:r>
          </w:p>
        </w:tc>
        <w:tc>
          <w:tcPr>
            <w:tcW w:w="439" w:type="pct"/>
            <w:shd w:val="clear" w:color="auto" w:fill="auto"/>
            <w:noWrap/>
            <w:vAlign w:val="bottom"/>
            <w:hideMark/>
          </w:tcPr>
          <w:p w14:paraId="0D17B05C"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761.0</w:t>
            </w:r>
          </w:p>
        </w:tc>
        <w:tc>
          <w:tcPr>
            <w:tcW w:w="535" w:type="pct"/>
            <w:shd w:val="clear" w:color="auto" w:fill="auto"/>
            <w:noWrap/>
            <w:vAlign w:val="bottom"/>
            <w:hideMark/>
          </w:tcPr>
          <w:p w14:paraId="60D5628E"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881.2</w:t>
            </w:r>
          </w:p>
        </w:tc>
        <w:tc>
          <w:tcPr>
            <w:tcW w:w="438" w:type="pct"/>
            <w:shd w:val="clear" w:color="auto" w:fill="auto"/>
            <w:noWrap/>
            <w:vAlign w:val="bottom"/>
            <w:hideMark/>
          </w:tcPr>
          <w:p w14:paraId="7532D712"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1001.3</w:t>
            </w:r>
          </w:p>
        </w:tc>
        <w:tc>
          <w:tcPr>
            <w:tcW w:w="668" w:type="pct"/>
            <w:shd w:val="clear" w:color="auto" w:fill="auto"/>
            <w:noWrap/>
            <w:vAlign w:val="bottom"/>
            <w:hideMark/>
          </w:tcPr>
          <w:p w14:paraId="3A71C68D"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1121.4</w:t>
            </w:r>
          </w:p>
        </w:tc>
      </w:tr>
      <w:tr w:rsidR="00D326BE" w:rsidRPr="001605E3" w14:paraId="60C1F4C9" w14:textId="77777777" w:rsidTr="00A91A48">
        <w:trPr>
          <w:trHeight w:val="300"/>
        </w:trPr>
        <w:tc>
          <w:tcPr>
            <w:tcW w:w="922" w:type="pct"/>
            <w:shd w:val="clear" w:color="auto" w:fill="auto"/>
            <w:noWrap/>
            <w:vAlign w:val="bottom"/>
          </w:tcPr>
          <w:p w14:paraId="1A71876C" w14:textId="77777777" w:rsidR="00245464" w:rsidRPr="001605E3" w:rsidRDefault="00245464" w:rsidP="00245464">
            <w:pPr>
              <w:spacing w:after="0" w:line="240" w:lineRule="auto"/>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NDC-Waste Enhanced scenario</w:t>
            </w:r>
          </w:p>
        </w:tc>
        <w:tc>
          <w:tcPr>
            <w:tcW w:w="438" w:type="pct"/>
            <w:shd w:val="clear" w:color="auto" w:fill="auto"/>
            <w:noWrap/>
            <w:vAlign w:val="bottom"/>
          </w:tcPr>
          <w:p w14:paraId="106506BD"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0.0</w:t>
            </w:r>
          </w:p>
        </w:tc>
        <w:tc>
          <w:tcPr>
            <w:tcW w:w="390" w:type="pct"/>
            <w:shd w:val="clear" w:color="auto" w:fill="auto"/>
            <w:noWrap/>
            <w:vAlign w:val="bottom"/>
          </w:tcPr>
          <w:p w14:paraId="0EC04599"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0.0</w:t>
            </w:r>
          </w:p>
        </w:tc>
        <w:tc>
          <w:tcPr>
            <w:tcW w:w="389" w:type="pct"/>
            <w:shd w:val="clear" w:color="auto" w:fill="auto"/>
            <w:noWrap/>
            <w:vAlign w:val="bottom"/>
          </w:tcPr>
          <w:p w14:paraId="013AB642"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679.1</w:t>
            </w:r>
          </w:p>
        </w:tc>
        <w:tc>
          <w:tcPr>
            <w:tcW w:w="391" w:type="pct"/>
            <w:shd w:val="clear" w:color="auto" w:fill="auto"/>
            <w:noWrap/>
            <w:vAlign w:val="bottom"/>
          </w:tcPr>
          <w:p w14:paraId="446EB3E1"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799.6</w:t>
            </w:r>
          </w:p>
        </w:tc>
        <w:tc>
          <w:tcPr>
            <w:tcW w:w="391" w:type="pct"/>
            <w:shd w:val="clear" w:color="auto" w:fill="auto"/>
            <w:noWrap/>
            <w:vAlign w:val="bottom"/>
          </w:tcPr>
          <w:p w14:paraId="65F79787"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920.0</w:t>
            </w:r>
          </w:p>
        </w:tc>
        <w:tc>
          <w:tcPr>
            <w:tcW w:w="439" w:type="pct"/>
            <w:shd w:val="clear" w:color="auto" w:fill="auto"/>
            <w:noWrap/>
            <w:vAlign w:val="bottom"/>
          </w:tcPr>
          <w:p w14:paraId="667D04B6"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1040.4</w:t>
            </w:r>
          </w:p>
        </w:tc>
        <w:tc>
          <w:tcPr>
            <w:tcW w:w="535" w:type="pct"/>
            <w:shd w:val="clear" w:color="auto" w:fill="auto"/>
            <w:noWrap/>
            <w:vAlign w:val="bottom"/>
          </w:tcPr>
          <w:p w14:paraId="652A9ED2"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1160.9</w:t>
            </w:r>
          </w:p>
        </w:tc>
        <w:tc>
          <w:tcPr>
            <w:tcW w:w="438" w:type="pct"/>
            <w:shd w:val="clear" w:color="auto" w:fill="auto"/>
            <w:noWrap/>
            <w:vAlign w:val="bottom"/>
          </w:tcPr>
          <w:p w14:paraId="2F1BBCED"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1281.3</w:t>
            </w:r>
          </w:p>
        </w:tc>
        <w:tc>
          <w:tcPr>
            <w:tcW w:w="668" w:type="pct"/>
            <w:shd w:val="clear" w:color="auto" w:fill="auto"/>
            <w:noWrap/>
            <w:vAlign w:val="bottom"/>
          </w:tcPr>
          <w:p w14:paraId="562B9362" w14:textId="77777777" w:rsidR="00245464" w:rsidRPr="001605E3" w:rsidRDefault="00245464" w:rsidP="00245464">
            <w:pPr>
              <w:jc w:val="both"/>
              <w:rPr>
                <w:rFonts w:ascii="Times New Roman" w:eastAsia="Calibri" w:hAnsi="Times New Roman" w:cs="Times New Roman"/>
                <w:color w:val="000000" w:themeColor="text1"/>
                <w:sz w:val="20"/>
                <w:szCs w:val="20"/>
              </w:rPr>
            </w:pPr>
            <w:r w:rsidRPr="001605E3">
              <w:rPr>
                <w:rFonts w:ascii="Times New Roman" w:eastAsia="Calibri" w:hAnsi="Times New Roman" w:cs="Times New Roman"/>
                <w:color w:val="000000" w:themeColor="text1"/>
                <w:sz w:val="20"/>
                <w:szCs w:val="20"/>
              </w:rPr>
              <w:t>1401.7</w:t>
            </w:r>
          </w:p>
        </w:tc>
      </w:tr>
    </w:tbl>
    <w:p w14:paraId="0A2F69D0" w14:textId="77777777" w:rsidR="000C4FCD" w:rsidRDefault="000C4FCD" w:rsidP="000C4FCD">
      <w:pPr>
        <w:spacing w:after="120" w:line="276" w:lineRule="auto"/>
        <w:jc w:val="both"/>
        <w:rPr>
          <w:rFonts w:ascii="Times New Roman" w:eastAsia="Calibri" w:hAnsi="Times New Roman" w:cs="Times New Roman"/>
          <w:color w:val="000000" w:themeColor="text1"/>
          <w:sz w:val="24"/>
          <w:szCs w:val="24"/>
        </w:rPr>
      </w:pPr>
    </w:p>
    <w:p w14:paraId="0BD8A93A" w14:textId="4210663F" w:rsidR="00D326BE" w:rsidRPr="00191ACB" w:rsidRDefault="00245464" w:rsidP="000C4FCD">
      <w:pPr>
        <w:spacing w:after="120" w:line="276" w:lineRule="auto"/>
        <w:jc w:val="both"/>
        <w:rPr>
          <w:rFonts w:ascii="Times New Roman" w:eastAsia="Calibri" w:hAnsi="Times New Roman" w:cs="Times New Roman"/>
          <w:color w:val="000000" w:themeColor="text1"/>
          <w:sz w:val="24"/>
          <w:szCs w:val="24"/>
        </w:rPr>
        <w:sectPr w:rsidR="00D326BE" w:rsidRPr="00191ACB" w:rsidSect="00D326BE">
          <w:pgSz w:w="11909" w:h="16834" w:code="9"/>
          <w:pgMar w:top="862" w:right="720" w:bottom="862" w:left="1440" w:header="720" w:footer="720" w:gutter="0"/>
          <w:cols w:space="720"/>
          <w:docGrid w:linePitch="360"/>
        </w:sectPr>
      </w:pPr>
      <w:r w:rsidRPr="00191ACB">
        <w:rPr>
          <w:rFonts w:ascii="Times New Roman" w:eastAsia="Calibri" w:hAnsi="Times New Roman" w:cs="Times New Roman"/>
          <w:color w:val="000000" w:themeColor="text1"/>
          <w:sz w:val="24"/>
          <w:szCs w:val="24"/>
        </w:rPr>
        <w:t xml:space="preserve">Details of mitigation actions under Waste are provided in Table </w:t>
      </w:r>
      <w:r w:rsidR="00F11900" w:rsidRPr="00191ACB">
        <w:rPr>
          <w:rFonts w:ascii="Times New Roman" w:eastAsia="Calibri" w:hAnsi="Times New Roman" w:cs="Times New Roman"/>
          <w:color w:val="000000" w:themeColor="text1"/>
          <w:sz w:val="24"/>
          <w:szCs w:val="24"/>
        </w:rPr>
        <w:t>4.5</w:t>
      </w:r>
      <w:r w:rsidR="00C140BE" w:rsidRPr="00191ACB">
        <w:rPr>
          <w:rFonts w:ascii="Times New Roman" w:eastAsia="Calibri" w:hAnsi="Times New Roman" w:cs="Times New Roman"/>
          <w:color w:val="000000" w:themeColor="text1"/>
          <w:sz w:val="24"/>
          <w:szCs w:val="24"/>
        </w:rPr>
        <w:t>5</w:t>
      </w:r>
      <w:r w:rsidRPr="00191ACB">
        <w:rPr>
          <w:rFonts w:ascii="Times New Roman" w:eastAsia="Calibri" w:hAnsi="Times New Roman" w:cs="Times New Roman"/>
          <w:color w:val="000000" w:themeColor="text1"/>
          <w:sz w:val="24"/>
          <w:szCs w:val="24"/>
        </w:rPr>
        <w:t>.</w:t>
      </w:r>
    </w:p>
    <w:p w14:paraId="11E0C042" w14:textId="742191E0" w:rsidR="00245464" w:rsidRPr="00191ACB" w:rsidRDefault="00A13A2D" w:rsidP="00A13A2D">
      <w:pPr>
        <w:pStyle w:val="Caption"/>
        <w:rPr>
          <w:rFonts w:eastAsia="Calibri"/>
          <w:color w:val="000000" w:themeColor="text1"/>
          <w:sz w:val="24"/>
          <w:szCs w:val="24"/>
        </w:rPr>
      </w:pPr>
      <w:bookmarkStart w:id="468" w:name="_Toc56583831"/>
      <w:r w:rsidRPr="00191ACB">
        <w:rPr>
          <w:sz w:val="24"/>
          <w:szCs w:val="24"/>
        </w:rPr>
        <w:lastRenderedPageBreak/>
        <w:t xml:space="preserve">Table </w:t>
      </w:r>
      <w:r w:rsidR="00875942">
        <w:rPr>
          <w:sz w:val="24"/>
          <w:szCs w:val="24"/>
        </w:rPr>
        <w:fldChar w:fldCharType="begin"/>
      </w:r>
      <w:r w:rsidR="00875942">
        <w:rPr>
          <w:sz w:val="24"/>
          <w:szCs w:val="24"/>
        </w:rPr>
        <w:instrText xml:space="preserve"> STYLEREF 1 \s </w:instrText>
      </w:r>
      <w:r w:rsidR="00875942">
        <w:rPr>
          <w:sz w:val="24"/>
          <w:szCs w:val="24"/>
        </w:rPr>
        <w:fldChar w:fldCharType="separate"/>
      </w:r>
      <w:r w:rsidR="00875942">
        <w:rPr>
          <w:noProof/>
          <w:sz w:val="24"/>
          <w:szCs w:val="24"/>
        </w:rPr>
        <w:t>4</w:t>
      </w:r>
      <w:r w:rsidR="00875942">
        <w:rPr>
          <w:sz w:val="24"/>
          <w:szCs w:val="24"/>
        </w:rPr>
        <w:fldChar w:fldCharType="end"/>
      </w:r>
      <w:r w:rsidR="00875942">
        <w:rPr>
          <w:sz w:val="24"/>
          <w:szCs w:val="24"/>
        </w:rPr>
        <w:t>.</w:t>
      </w:r>
      <w:r w:rsidR="00875942">
        <w:rPr>
          <w:sz w:val="24"/>
          <w:szCs w:val="24"/>
        </w:rPr>
        <w:fldChar w:fldCharType="begin"/>
      </w:r>
      <w:r w:rsidR="00875942">
        <w:rPr>
          <w:sz w:val="24"/>
          <w:szCs w:val="24"/>
        </w:rPr>
        <w:instrText xml:space="preserve"> SEQ Table \* ARABIC \s 1 </w:instrText>
      </w:r>
      <w:r w:rsidR="00875942">
        <w:rPr>
          <w:sz w:val="24"/>
          <w:szCs w:val="24"/>
        </w:rPr>
        <w:fldChar w:fldCharType="separate"/>
      </w:r>
      <w:r w:rsidR="00875942">
        <w:rPr>
          <w:noProof/>
          <w:sz w:val="24"/>
          <w:szCs w:val="24"/>
        </w:rPr>
        <w:t>55</w:t>
      </w:r>
      <w:r w:rsidR="00875942">
        <w:rPr>
          <w:sz w:val="24"/>
          <w:szCs w:val="24"/>
        </w:rPr>
        <w:fldChar w:fldCharType="end"/>
      </w:r>
      <w:r w:rsidRPr="00191ACB">
        <w:rPr>
          <w:sz w:val="24"/>
          <w:szCs w:val="24"/>
        </w:rPr>
        <w:t xml:space="preserve">: Mitigation </w:t>
      </w:r>
      <w:r w:rsidR="00F11900" w:rsidRPr="00191ACB">
        <w:rPr>
          <w:sz w:val="24"/>
          <w:szCs w:val="24"/>
        </w:rPr>
        <w:t>Action</w:t>
      </w:r>
      <w:r w:rsidRPr="00191ACB">
        <w:rPr>
          <w:sz w:val="24"/>
          <w:szCs w:val="24"/>
        </w:rPr>
        <w:t>-Waste</w:t>
      </w:r>
      <w:bookmarkEnd w:id="468"/>
    </w:p>
    <w:tbl>
      <w:tblPr>
        <w:tblStyle w:val="GridTable4-Accent11"/>
        <w:tblW w:w="4947" w:type="pct"/>
        <w:tblLayout w:type="fixed"/>
        <w:tblLook w:val="04A0" w:firstRow="1" w:lastRow="0" w:firstColumn="1" w:lastColumn="0" w:noHBand="0" w:noVBand="1"/>
      </w:tblPr>
      <w:tblGrid>
        <w:gridCol w:w="1465"/>
        <w:gridCol w:w="2627"/>
        <w:gridCol w:w="1888"/>
        <w:gridCol w:w="1888"/>
        <w:gridCol w:w="1993"/>
        <w:gridCol w:w="1661"/>
        <w:gridCol w:w="1709"/>
        <w:gridCol w:w="1709"/>
      </w:tblGrid>
      <w:tr w:rsidR="00245464" w:rsidRPr="00191ACB" w14:paraId="7B2D933C" w14:textId="77777777" w:rsidTr="00A91A48">
        <w:trPr>
          <w:cnfStyle w:val="100000000000" w:firstRow="1" w:lastRow="0" w:firstColumn="0" w:lastColumn="0" w:oddVBand="0" w:evenVBand="0" w:oddHBand="0" w:evenHBand="0" w:firstRowFirstColumn="0" w:firstRowLastColumn="0" w:lastRowFirstColumn="0" w:lastRowLastColumn="0"/>
          <w:trHeight w:val="489"/>
        </w:trPr>
        <w:tc>
          <w:tcPr>
            <w:cnfStyle w:val="001000000000" w:firstRow="0" w:lastRow="0" w:firstColumn="1" w:lastColumn="0" w:oddVBand="0" w:evenVBand="0" w:oddHBand="0" w:evenHBand="0" w:firstRowFirstColumn="0" w:firstRowLastColumn="0" w:lastRowFirstColumn="0" w:lastRowLastColumn="0"/>
            <w:tcW w:w="490" w:type="pct"/>
          </w:tcPr>
          <w:p w14:paraId="763C6191" w14:textId="77777777" w:rsidR="00245464" w:rsidRPr="00191ACB" w:rsidRDefault="00245464" w:rsidP="00245464">
            <w:pPr>
              <w:jc w:val="both"/>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Mitigation action</w:t>
            </w:r>
          </w:p>
        </w:tc>
        <w:tc>
          <w:tcPr>
            <w:tcW w:w="879" w:type="pct"/>
          </w:tcPr>
          <w:p w14:paraId="0577DD5B"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Nature of action and coverage</w:t>
            </w:r>
          </w:p>
        </w:tc>
        <w:tc>
          <w:tcPr>
            <w:tcW w:w="632" w:type="pct"/>
          </w:tcPr>
          <w:p w14:paraId="6273B244"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Methodologies and assumptions</w:t>
            </w:r>
          </w:p>
        </w:tc>
        <w:tc>
          <w:tcPr>
            <w:tcW w:w="632" w:type="pct"/>
          </w:tcPr>
          <w:p w14:paraId="0B8ABC1D"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Progress indicators</w:t>
            </w:r>
          </w:p>
        </w:tc>
        <w:tc>
          <w:tcPr>
            <w:tcW w:w="667" w:type="pct"/>
          </w:tcPr>
          <w:p w14:paraId="645F5D1B"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Objectives of the actions</w:t>
            </w:r>
          </w:p>
        </w:tc>
        <w:tc>
          <w:tcPr>
            <w:tcW w:w="556" w:type="pct"/>
          </w:tcPr>
          <w:p w14:paraId="3983B3F8"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val="x-none" w:eastAsia="x-none"/>
              </w:rPr>
              <w:t>Status of implementation</w:t>
            </w:r>
          </w:p>
        </w:tc>
        <w:tc>
          <w:tcPr>
            <w:tcW w:w="572" w:type="pct"/>
          </w:tcPr>
          <w:p w14:paraId="0C9BFECC"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val="x-none" w:eastAsia="x-none"/>
              </w:rPr>
              <w:t xml:space="preserve">Estimated emission reduction </w:t>
            </w:r>
            <w:r w:rsidRPr="00191ACB">
              <w:rPr>
                <w:rFonts w:ascii="Times New Roman" w:hAnsi="Times New Roman"/>
                <w:color w:val="000000" w:themeColor="text1"/>
                <w:sz w:val="24"/>
                <w:szCs w:val="24"/>
                <w:lang w:eastAsia="x-none"/>
              </w:rPr>
              <w:t>cumulative by 2050 Gg CO</w:t>
            </w:r>
            <w:r w:rsidRPr="00191ACB">
              <w:rPr>
                <w:rFonts w:ascii="Times New Roman" w:hAnsi="Times New Roman"/>
                <w:color w:val="000000" w:themeColor="text1"/>
                <w:sz w:val="24"/>
                <w:szCs w:val="24"/>
                <w:vertAlign w:val="subscript"/>
                <w:lang w:eastAsia="x-none"/>
              </w:rPr>
              <w:t>2</w:t>
            </w:r>
            <w:r w:rsidRPr="00191ACB">
              <w:rPr>
                <w:rFonts w:ascii="Times New Roman" w:hAnsi="Times New Roman"/>
                <w:color w:val="000000" w:themeColor="text1"/>
                <w:sz w:val="24"/>
                <w:szCs w:val="24"/>
                <w:lang w:eastAsia="x-none"/>
              </w:rPr>
              <w:t xml:space="preserve"> </w:t>
            </w:r>
            <w:r w:rsidRPr="00191ACB">
              <w:rPr>
                <w:rFonts w:ascii="Times New Roman" w:hAnsi="Times New Roman"/>
                <w:color w:val="000000" w:themeColor="text1"/>
                <w:sz w:val="24"/>
                <w:szCs w:val="24"/>
                <w:vertAlign w:val="subscript"/>
                <w:lang w:eastAsia="x-none"/>
              </w:rPr>
              <w:t>eq</w:t>
            </w:r>
          </w:p>
        </w:tc>
        <w:tc>
          <w:tcPr>
            <w:tcW w:w="572" w:type="pct"/>
          </w:tcPr>
          <w:p w14:paraId="578A9972" w14:textId="77777777" w:rsidR="00245464" w:rsidRPr="00191ACB" w:rsidRDefault="00245464" w:rsidP="00245464">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val="x-none" w:eastAsia="x-none"/>
              </w:rPr>
            </w:pPr>
            <w:r w:rsidRPr="00191ACB">
              <w:rPr>
                <w:rFonts w:ascii="Times New Roman" w:hAnsi="Times New Roman"/>
                <w:color w:val="000000" w:themeColor="text1"/>
                <w:sz w:val="24"/>
                <w:szCs w:val="24"/>
                <w:lang w:eastAsia="x-none"/>
              </w:rPr>
              <w:t>I</w:t>
            </w:r>
            <w:r w:rsidRPr="00191ACB">
              <w:rPr>
                <w:rFonts w:ascii="Times New Roman" w:hAnsi="Times New Roman"/>
                <w:color w:val="000000" w:themeColor="text1"/>
                <w:sz w:val="24"/>
                <w:szCs w:val="24"/>
                <w:lang w:val="x-none" w:eastAsia="x-none"/>
              </w:rPr>
              <w:t>nternational market mechanisms</w:t>
            </w:r>
          </w:p>
        </w:tc>
      </w:tr>
      <w:tr w:rsidR="00245464" w:rsidRPr="00191ACB" w14:paraId="2DADD43B" w14:textId="77777777" w:rsidTr="00A91A48">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490" w:type="pct"/>
          </w:tcPr>
          <w:p w14:paraId="1E76696C"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MBT to SWD</w:t>
            </w:r>
          </w:p>
        </w:tc>
        <w:tc>
          <w:tcPr>
            <w:tcW w:w="879" w:type="pct"/>
          </w:tcPr>
          <w:p w14:paraId="3FB71B31"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Methane capture for electricity generation from solid waste disposal sites in Lusaka, Copperbelt, and Livingstone</w:t>
            </w:r>
          </w:p>
        </w:tc>
        <w:tc>
          <w:tcPr>
            <w:tcW w:w="632" w:type="pct"/>
          </w:tcPr>
          <w:p w14:paraId="6E9B0129"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Refer to NAMA proposal document</w:t>
            </w:r>
          </w:p>
        </w:tc>
        <w:tc>
          <w:tcPr>
            <w:tcW w:w="632" w:type="pct"/>
          </w:tcPr>
          <w:p w14:paraId="4B888458" w14:textId="77777777" w:rsidR="00245464" w:rsidRPr="00191ACB" w:rsidRDefault="00245464" w:rsidP="00E435F6">
            <w:pPr>
              <w:numPr>
                <w:ilvl w:val="0"/>
                <w:numId w:val="17"/>
              </w:numPr>
              <w:contextual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Quantity of methane recovered</w:t>
            </w:r>
          </w:p>
          <w:p w14:paraId="4F4A06F3" w14:textId="71414211" w:rsidR="00245464" w:rsidRPr="00191ACB" w:rsidRDefault="00245464" w:rsidP="00E435F6">
            <w:pPr>
              <w:numPr>
                <w:ilvl w:val="0"/>
                <w:numId w:val="17"/>
              </w:numPr>
              <w:contextualSpacing/>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Units of electricity generated</w:t>
            </w:r>
          </w:p>
        </w:tc>
        <w:tc>
          <w:tcPr>
            <w:tcW w:w="667" w:type="pct"/>
          </w:tcPr>
          <w:p w14:paraId="65F97017"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reduce GHG emissions from waste sector through methane capture for power generation</w:t>
            </w:r>
          </w:p>
        </w:tc>
        <w:tc>
          <w:tcPr>
            <w:tcW w:w="556" w:type="pct"/>
          </w:tcPr>
          <w:p w14:paraId="2D4E1E10" w14:textId="613AC34C" w:rsidR="00245464" w:rsidRPr="00191ACB" w:rsidRDefault="00716763"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Planned</w:t>
            </w:r>
          </w:p>
        </w:tc>
        <w:tc>
          <w:tcPr>
            <w:tcW w:w="572" w:type="pct"/>
          </w:tcPr>
          <w:p w14:paraId="28E42162"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63.8</w:t>
            </w:r>
          </w:p>
        </w:tc>
        <w:tc>
          <w:tcPr>
            <w:tcW w:w="572" w:type="pct"/>
          </w:tcPr>
          <w:p w14:paraId="52E170B6" w14:textId="77777777" w:rsidR="00245464" w:rsidRPr="00191ACB" w:rsidRDefault="00245464" w:rsidP="00245464">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r w:rsidR="00245464" w:rsidRPr="00191ACB" w14:paraId="1DCFC1FF" w14:textId="77777777" w:rsidTr="00A91A48">
        <w:trPr>
          <w:trHeight w:val="390"/>
        </w:trPr>
        <w:tc>
          <w:tcPr>
            <w:cnfStyle w:val="001000000000" w:firstRow="0" w:lastRow="0" w:firstColumn="1" w:lastColumn="0" w:oddVBand="0" w:evenVBand="0" w:oddHBand="0" w:evenHBand="0" w:firstRowFirstColumn="0" w:firstRowLastColumn="0" w:lastRowFirstColumn="0" w:lastRowLastColumn="0"/>
            <w:tcW w:w="490" w:type="pct"/>
          </w:tcPr>
          <w:p w14:paraId="00B3944F" w14:textId="77777777" w:rsidR="00245464" w:rsidRPr="00191ACB" w:rsidRDefault="00245464" w:rsidP="00245464">
            <w:pPr>
              <w:jc w:val="both"/>
              <w:rPr>
                <w:rFonts w:ascii="Times New Roman" w:hAnsi="Times New Roman"/>
                <w:color w:val="000000" w:themeColor="text1"/>
                <w:sz w:val="24"/>
                <w:szCs w:val="24"/>
              </w:rPr>
            </w:pPr>
            <w:r w:rsidRPr="00191ACB">
              <w:rPr>
                <w:rFonts w:ascii="Times New Roman" w:hAnsi="Times New Roman"/>
                <w:color w:val="000000" w:themeColor="text1"/>
                <w:sz w:val="24"/>
                <w:szCs w:val="24"/>
              </w:rPr>
              <w:t>Waste NAMA waste water</w:t>
            </w:r>
          </w:p>
        </w:tc>
        <w:tc>
          <w:tcPr>
            <w:tcW w:w="879" w:type="pct"/>
          </w:tcPr>
          <w:p w14:paraId="044D4902"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Methane capture for electricity generation from solid waste water treatment facilities in Lusaka, Copperbelt, and Livingstone</w:t>
            </w:r>
          </w:p>
        </w:tc>
        <w:tc>
          <w:tcPr>
            <w:tcW w:w="632" w:type="pct"/>
          </w:tcPr>
          <w:p w14:paraId="23F68EF2"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Refer to NAMA proposal document</w:t>
            </w:r>
          </w:p>
        </w:tc>
        <w:tc>
          <w:tcPr>
            <w:tcW w:w="632" w:type="pct"/>
          </w:tcPr>
          <w:p w14:paraId="44D6A83F" w14:textId="77777777" w:rsidR="00245464" w:rsidRPr="00191ACB" w:rsidRDefault="00245464" w:rsidP="00E435F6">
            <w:pPr>
              <w:numPr>
                <w:ilvl w:val="0"/>
                <w:numId w:val="18"/>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Quantity of methane recovered</w:t>
            </w:r>
          </w:p>
          <w:p w14:paraId="7A015AA1" w14:textId="77777777" w:rsidR="00245464" w:rsidRPr="00191ACB" w:rsidRDefault="00245464" w:rsidP="00E435F6">
            <w:pPr>
              <w:numPr>
                <w:ilvl w:val="0"/>
                <w:numId w:val="18"/>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Units of  electricity generated</w:t>
            </w:r>
          </w:p>
        </w:tc>
        <w:tc>
          <w:tcPr>
            <w:tcW w:w="667" w:type="pct"/>
          </w:tcPr>
          <w:p w14:paraId="20FEBDA3"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lang w:eastAsia="x-none"/>
              </w:rPr>
            </w:pPr>
            <w:r w:rsidRPr="00191ACB">
              <w:rPr>
                <w:rFonts w:ascii="Times New Roman" w:hAnsi="Times New Roman"/>
                <w:color w:val="000000" w:themeColor="text1"/>
                <w:sz w:val="24"/>
                <w:szCs w:val="24"/>
                <w:lang w:eastAsia="x-none"/>
              </w:rPr>
              <w:t>To reduce GHG emissions from waste sector through methane capture for power generation</w:t>
            </w:r>
          </w:p>
        </w:tc>
        <w:tc>
          <w:tcPr>
            <w:tcW w:w="556" w:type="pct"/>
          </w:tcPr>
          <w:p w14:paraId="67BDE676" w14:textId="67FFFD61" w:rsidR="00245464" w:rsidRPr="00191ACB" w:rsidRDefault="00716763"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lang w:eastAsia="x-none"/>
              </w:rPr>
              <w:t>Planned</w:t>
            </w:r>
          </w:p>
        </w:tc>
        <w:tc>
          <w:tcPr>
            <w:tcW w:w="572" w:type="pct"/>
          </w:tcPr>
          <w:p w14:paraId="7B3F2B4F"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1499.6</w:t>
            </w:r>
          </w:p>
        </w:tc>
        <w:tc>
          <w:tcPr>
            <w:tcW w:w="572" w:type="pct"/>
          </w:tcPr>
          <w:p w14:paraId="416D6BDD" w14:textId="77777777" w:rsidR="00245464" w:rsidRPr="00191ACB" w:rsidRDefault="00245464" w:rsidP="00245464">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 w:val="24"/>
                <w:szCs w:val="24"/>
              </w:rPr>
            </w:pPr>
            <w:r w:rsidRPr="00191ACB">
              <w:rPr>
                <w:rFonts w:ascii="Times New Roman" w:hAnsi="Times New Roman"/>
                <w:color w:val="000000" w:themeColor="text1"/>
                <w:sz w:val="24"/>
                <w:szCs w:val="24"/>
              </w:rPr>
              <w:t>No carbon trading</w:t>
            </w:r>
          </w:p>
        </w:tc>
      </w:tr>
    </w:tbl>
    <w:p w14:paraId="46521CC4" w14:textId="77777777" w:rsidR="00D326BE" w:rsidRPr="00191ACB" w:rsidRDefault="00D326BE" w:rsidP="00245464">
      <w:pPr>
        <w:keepNext/>
        <w:spacing w:before="240" w:after="60" w:line="276" w:lineRule="auto"/>
        <w:jc w:val="both"/>
        <w:outlineLvl w:val="1"/>
        <w:rPr>
          <w:rFonts w:ascii="Times New Roman" w:eastAsia="Times New Roman" w:hAnsi="Times New Roman" w:cs="Times New Roman"/>
          <w:b/>
          <w:bCs/>
          <w:iCs/>
          <w:color w:val="000000" w:themeColor="text1"/>
          <w:sz w:val="24"/>
          <w:szCs w:val="24"/>
        </w:rPr>
        <w:sectPr w:rsidR="00D326BE" w:rsidRPr="00191ACB" w:rsidSect="00D326BE">
          <w:pgSz w:w="16834" w:h="11909" w:orient="landscape" w:code="9"/>
          <w:pgMar w:top="720" w:right="862" w:bottom="1440" w:left="862" w:header="720" w:footer="720" w:gutter="0"/>
          <w:cols w:space="720"/>
          <w:docGrid w:linePitch="360"/>
        </w:sectPr>
      </w:pPr>
    </w:p>
    <w:p w14:paraId="789D160B" w14:textId="38497FC7" w:rsidR="00245464" w:rsidRPr="00191ACB" w:rsidRDefault="00245464" w:rsidP="00D21C5B">
      <w:pPr>
        <w:pStyle w:val="Heading3"/>
        <w:numPr>
          <w:ilvl w:val="2"/>
          <w:numId w:val="36"/>
        </w:numPr>
        <w:ind w:left="851" w:hanging="851"/>
      </w:pPr>
      <w:bookmarkStart w:id="469" w:name="_Toc26264960"/>
      <w:bookmarkStart w:id="470" w:name="_Toc57902878"/>
      <w:r w:rsidRPr="00191ACB">
        <w:lastRenderedPageBreak/>
        <w:t>R</w:t>
      </w:r>
      <w:r w:rsidR="00FF028C">
        <w:t xml:space="preserve">educing </w:t>
      </w:r>
      <w:r w:rsidRPr="00191ACB">
        <w:t>E</w:t>
      </w:r>
      <w:r w:rsidR="00FF028C">
        <w:t xml:space="preserve">missions from </w:t>
      </w:r>
      <w:r w:rsidRPr="00191ACB">
        <w:t>D</w:t>
      </w:r>
      <w:r w:rsidR="00FF028C">
        <w:t xml:space="preserve">eforestation and Forest </w:t>
      </w:r>
      <w:r w:rsidRPr="00191ACB">
        <w:t>D</w:t>
      </w:r>
      <w:r w:rsidR="00FF028C">
        <w:t>egradation</w:t>
      </w:r>
      <w:bookmarkEnd w:id="469"/>
      <w:bookmarkEnd w:id="470"/>
    </w:p>
    <w:p w14:paraId="3D6391C4" w14:textId="79DBAAD8" w:rsidR="00245464" w:rsidRPr="00191ACB" w:rsidRDefault="0024546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Based on a land cover change analysis between 2000 and 2014, th</w:t>
      </w:r>
      <w:r w:rsidR="00716763" w:rsidRPr="00191ACB">
        <w:rPr>
          <w:rFonts w:ascii="Times New Roman" w:eastAsia="Calibri" w:hAnsi="Times New Roman" w:cs="Times New Roman"/>
          <w:color w:val="000000" w:themeColor="text1"/>
          <w:sz w:val="24"/>
          <w:szCs w:val="24"/>
        </w:rPr>
        <w:t>e</w:t>
      </w:r>
      <w:r w:rsidRPr="00191ACB">
        <w:rPr>
          <w:rFonts w:ascii="Times New Roman" w:eastAsia="Calibri" w:hAnsi="Times New Roman" w:cs="Times New Roman"/>
          <w:color w:val="000000" w:themeColor="text1"/>
          <w:sz w:val="24"/>
          <w:szCs w:val="24"/>
        </w:rPr>
        <w:t xml:space="preserve"> official annual deforestation rate was estimated to be 0.6</w:t>
      </w:r>
      <w:r w:rsidR="00716763"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losing approximately </w:t>
      </w:r>
      <w:r w:rsidRPr="00191ACB">
        <w:rPr>
          <w:rFonts w:ascii="Times New Roman" w:eastAsia="Calibri" w:hAnsi="Times New Roman" w:cs="Times New Roman"/>
          <w:bCs/>
          <w:color w:val="000000" w:themeColor="text1"/>
          <w:sz w:val="24"/>
          <w:szCs w:val="24"/>
        </w:rPr>
        <w:t>276,021 ha</w:t>
      </w:r>
      <w:r w:rsidRPr="00191ACB">
        <w:rPr>
          <w:rFonts w:ascii="Times New Roman" w:eastAsia="Calibri" w:hAnsi="Times New Roman" w:cs="Times New Roman"/>
          <w:b/>
          <w:bCs/>
          <w:color w:val="000000" w:themeColor="text1"/>
          <w:sz w:val="24"/>
          <w:szCs w:val="24"/>
        </w:rPr>
        <w:t xml:space="preserve"> </w:t>
      </w:r>
      <w:r w:rsidRPr="00191ACB">
        <w:rPr>
          <w:rFonts w:ascii="Times New Roman" w:eastAsia="Calibri" w:hAnsi="Times New Roman" w:cs="Times New Roman"/>
          <w:color w:val="000000" w:themeColor="text1"/>
          <w:sz w:val="24"/>
          <w:szCs w:val="24"/>
        </w:rPr>
        <w:t>per annum for the period 2000 to 2014. The total forest area in the country was estimated at 44.17 million hectares. Total biomass in the standing trees was estimated at 2.74 billion tonnes, while for the saplings was estimated at 220.9 million tonnes. Biomass from the stumps and lying dead wood was estimated at 68.4 million tonnes and 107.4 million tonnes respectively. Total carbon from standing trees was estimated at 1.34 billion tons compared to 108.3 million tons from saplings, 33.5 million tons from stumps and 52.6 million tons from dead wood. For the period 2000 to 2010, the deforestation rate was recorded as being 0.5</w:t>
      </w:r>
      <w:r w:rsidR="00716763"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losing approximately 250,003 ha on an annual basis. For the period 2010 to 2014, the deforestation rate increased to 0.7</w:t>
      </w:r>
      <w:r w:rsidR="00716763"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losing approximately 341,067 ha of forest per annum. The changes in deforestation suggest an increase in unsustainable forest resource use. The drivers of deforestation have been identified as being agricultural expansion, timber extraction, bush fires, mining, land use and infrastructure development (Shakacite, O, et.al, 2016)</w:t>
      </w:r>
      <w:r w:rsidR="005B5FDA" w:rsidRPr="00191ACB">
        <w:rPr>
          <w:rFonts w:ascii="Times New Roman" w:eastAsia="Calibri" w:hAnsi="Times New Roman" w:cs="Times New Roman"/>
          <w:color w:val="000000" w:themeColor="text1"/>
          <w:sz w:val="24"/>
          <w:szCs w:val="24"/>
        </w:rPr>
        <w:t>.</w:t>
      </w:r>
      <w:r w:rsidR="00716763" w:rsidRPr="00191ACB">
        <w:rPr>
          <w:rFonts w:ascii="Times New Roman" w:eastAsia="Calibri" w:hAnsi="Times New Roman" w:cs="Times New Roman"/>
          <w:color w:val="000000" w:themeColor="text1"/>
          <w:sz w:val="24"/>
          <w:szCs w:val="24"/>
        </w:rPr>
        <w:t xml:space="preserve"> </w:t>
      </w:r>
    </w:p>
    <w:p w14:paraId="22B03EB0" w14:textId="76B7C6BD" w:rsidR="00245464" w:rsidRPr="00191ACB" w:rsidRDefault="0024546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Factors driving deforestation in Zambia can be broadly grouped into four categories namely; agricultural expansion, Infrastructure development, Wood extraction</w:t>
      </w:r>
      <w:r w:rsidR="00CB7851" w:rsidRPr="00191ACB">
        <w:rPr>
          <w:rFonts w:ascii="Times New Roman" w:eastAsia="Calibri" w:hAnsi="Times New Roman" w:cs="Times New Roman"/>
          <w:color w:val="000000" w:themeColor="text1"/>
          <w:sz w:val="24"/>
          <w:szCs w:val="24"/>
        </w:rPr>
        <w:t xml:space="preserve"> and </w:t>
      </w:r>
      <w:r w:rsidRPr="00191ACB">
        <w:rPr>
          <w:rFonts w:ascii="Times New Roman" w:eastAsia="Calibri" w:hAnsi="Times New Roman" w:cs="Times New Roman"/>
          <w:color w:val="000000" w:themeColor="text1"/>
          <w:sz w:val="24"/>
          <w:szCs w:val="24"/>
        </w:rPr>
        <w:t>Fires. The major corridor of deforestation hotspots is along the rail link from Livingstone to Chililabombwe. This covers four key provinces (Southern, Lusaka, Central and Copperbelt). However, there is evidence of growing numbers of hotspots in North-Western Province, driven by rapid urbanization and industrialization. The close link between urbanization and deforestation suggests that areas experiencing high population growth are likely to be more severely affected by deforestation in the near future (V</w:t>
      </w:r>
      <w:r w:rsidR="00CB7851" w:rsidRPr="00191ACB">
        <w:rPr>
          <w:rFonts w:ascii="Times New Roman" w:eastAsia="Calibri" w:hAnsi="Times New Roman" w:cs="Times New Roman"/>
          <w:color w:val="000000" w:themeColor="text1"/>
          <w:sz w:val="24"/>
          <w:szCs w:val="24"/>
        </w:rPr>
        <w:t>i</w:t>
      </w:r>
      <w:r w:rsidRPr="00191ACB">
        <w:rPr>
          <w:rFonts w:ascii="Times New Roman" w:eastAsia="Calibri" w:hAnsi="Times New Roman" w:cs="Times New Roman"/>
          <w:color w:val="000000" w:themeColor="text1"/>
          <w:sz w:val="24"/>
          <w:szCs w:val="24"/>
        </w:rPr>
        <w:t>nya. et.al, 2011)</w:t>
      </w:r>
      <w:r w:rsidR="005B5FDA"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In 2015</w:t>
      </w:r>
      <w:r w:rsidR="00FF028C">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Zambia through the Ministry of Lands and Natural Resources developed a </w:t>
      </w:r>
      <w:r w:rsidRPr="00191ACB">
        <w:rPr>
          <w:rFonts w:ascii="Times New Roman" w:eastAsia="Calibri" w:hAnsi="Times New Roman" w:cs="Times New Roman"/>
          <w:bCs/>
          <w:color w:val="000000" w:themeColor="text1"/>
          <w:sz w:val="24"/>
          <w:szCs w:val="24"/>
        </w:rPr>
        <w:t>National Strategy to Reduce Emissions from Deforestation and Forest Degradation (REDD+)</w:t>
      </w:r>
      <w:r w:rsidRPr="00191ACB">
        <w:rPr>
          <w:rFonts w:ascii="Times New Roman" w:eastAsia="Calibri" w:hAnsi="Times New Roman" w:cs="Times New Roman"/>
          <w:color w:val="000000" w:themeColor="text1"/>
          <w:sz w:val="24"/>
          <w:szCs w:val="24"/>
        </w:rPr>
        <w:t>. The goal of the strategy is to contribute to national reductions in greenhouse gas emissions by improving forest and land management, and to ensure equitable sharing of both carbon and non-carbon benefits among stakeholders.</w:t>
      </w:r>
    </w:p>
    <w:p w14:paraId="625B3CC3" w14:textId="1C1CF8B2" w:rsidR="00245464" w:rsidRPr="00191ACB" w:rsidRDefault="0024546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In its REDD readiness phase</w:t>
      </w:r>
      <w:r w:rsidR="00B5258F"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 xml:space="preserve">(2012-2015), Zambia developed </w:t>
      </w:r>
      <w:r w:rsidR="00CB7851" w:rsidRPr="00191ACB">
        <w:rPr>
          <w:rFonts w:ascii="Times New Roman" w:eastAsia="Calibri" w:hAnsi="Times New Roman" w:cs="Times New Roman"/>
          <w:color w:val="000000" w:themeColor="text1"/>
          <w:sz w:val="24"/>
          <w:szCs w:val="24"/>
        </w:rPr>
        <w:t>t</w:t>
      </w:r>
      <w:r w:rsidRPr="00191ACB">
        <w:rPr>
          <w:rFonts w:ascii="Times New Roman" w:eastAsia="Calibri" w:hAnsi="Times New Roman" w:cs="Times New Roman"/>
          <w:color w:val="000000" w:themeColor="text1"/>
          <w:sz w:val="24"/>
          <w:szCs w:val="24"/>
        </w:rPr>
        <w:t>he National Forest Monitoring System</w:t>
      </w:r>
      <w:r w:rsidR="00FF7BD1"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(NFMS) and a safeguards information system</w:t>
      </w:r>
      <w:r w:rsidR="00FF7BD1"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(SIS) and submitted its forest Reference Emissions Level</w:t>
      </w:r>
      <w:r w:rsidR="00FF7BD1"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(FREL) to the UNFCCC in 2016. Subsequently, the Ministry of Lands and Natural Resources has developed a “National Investment Plan to reduce deforestation and forest degradation for the period (2018-2022). The implementation of the Investment plan require</w:t>
      </w:r>
      <w:r w:rsidR="00CB7851" w:rsidRPr="00191ACB">
        <w:rPr>
          <w:rFonts w:ascii="Times New Roman" w:eastAsia="Calibri" w:hAnsi="Times New Roman" w:cs="Times New Roman"/>
          <w:color w:val="000000" w:themeColor="text1"/>
          <w:sz w:val="24"/>
          <w:szCs w:val="24"/>
        </w:rPr>
        <w:t>s</w:t>
      </w:r>
      <w:r w:rsidRPr="00191ACB">
        <w:rPr>
          <w:rFonts w:ascii="Times New Roman" w:eastAsia="Calibri" w:hAnsi="Times New Roman" w:cs="Times New Roman"/>
          <w:color w:val="000000" w:themeColor="text1"/>
          <w:sz w:val="24"/>
          <w:szCs w:val="24"/>
        </w:rPr>
        <w:t xml:space="preserve"> US$404.67 million over five years. The Investment Plan aspires to reduce emissions from land use change by 30</w:t>
      </w:r>
      <w:r w:rsidR="00CB7851"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(Forestry Department, 2018).</w:t>
      </w:r>
    </w:p>
    <w:p w14:paraId="6136F89A"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14EC1E24"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414CF7A9"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40C5EB28"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03DB326E"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0B2A51B9"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718DDCAD"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6A57DB12"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477C360D" w14:textId="77777777" w:rsidR="00245464" w:rsidRPr="00191ACB" w:rsidRDefault="00245464" w:rsidP="005E626A">
      <w:pPr>
        <w:autoSpaceDE w:val="0"/>
        <w:autoSpaceDN w:val="0"/>
        <w:adjustRightInd w:val="0"/>
        <w:spacing w:after="120" w:line="240" w:lineRule="auto"/>
        <w:jc w:val="both"/>
        <w:rPr>
          <w:rFonts w:ascii="Times New Roman" w:eastAsia="Calibri" w:hAnsi="Times New Roman" w:cs="Times New Roman"/>
          <w:color w:val="000000" w:themeColor="text1"/>
          <w:sz w:val="24"/>
          <w:szCs w:val="24"/>
        </w:rPr>
      </w:pPr>
    </w:p>
    <w:p w14:paraId="641014AE" w14:textId="128350CF" w:rsidR="00245464" w:rsidRPr="00191ACB" w:rsidRDefault="002937AD" w:rsidP="00D21C5B">
      <w:pPr>
        <w:pStyle w:val="Heading1"/>
        <w:numPr>
          <w:ilvl w:val="0"/>
          <w:numId w:val="36"/>
        </w:numPr>
        <w:spacing w:after="120" w:line="240" w:lineRule="auto"/>
        <w:ind w:left="851" w:hanging="851"/>
        <w:rPr>
          <w:rFonts w:ascii="Times New Roman" w:eastAsia="Times New Roman" w:hAnsi="Times New Roman" w:cs="Times New Roman"/>
          <w:b/>
          <w:color w:val="000000" w:themeColor="text1"/>
          <w:sz w:val="24"/>
          <w:szCs w:val="24"/>
        </w:rPr>
      </w:pPr>
      <w:bookmarkStart w:id="471" w:name="_Toc26264961"/>
      <w:bookmarkStart w:id="472" w:name="_Toc57902879"/>
      <w:r w:rsidRPr="00191ACB">
        <w:rPr>
          <w:rFonts w:ascii="Times New Roman" w:eastAsia="Times New Roman" w:hAnsi="Times New Roman" w:cs="Times New Roman"/>
          <w:b/>
          <w:color w:val="000000" w:themeColor="text1"/>
          <w:sz w:val="24"/>
          <w:szCs w:val="24"/>
        </w:rPr>
        <w:lastRenderedPageBreak/>
        <w:t>INTERNATIONAL MARKET MECHANISMS</w:t>
      </w:r>
      <w:bookmarkEnd w:id="471"/>
      <w:bookmarkEnd w:id="472"/>
    </w:p>
    <w:p w14:paraId="57F64641" w14:textId="43128DA0" w:rsidR="00245464" w:rsidRPr="00191ACB" w:rsidRDefault="0024546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Zambia has been participating in two carbon trading mechanism</w:t>
      </w:r>
      <w:r w:rsidR="00C725F0" w:rsidRPr="00191ACB">
        <w:rPr>
          <w:rFonts w:ascii="Times New Roman" w:eastAsia="Calibri" w:hAnsi="Times New Roman" w:cs="Times New Roman"/>
          <w:color w:val="000000" w:themeColor="text1"/>
          <w:sz w:val="24"/>
          <w:szCs w:val="24"/>
        </w:rPr>
        <w:t>s</w:t>
      </w:r>
      <w:r w:rsidRPr="00191ACB">
        <w:rPr>
          <w:rFonts w:ascii="Times New Roman" w:eastAsia="Calibri" w:hAnsi="Times New Roman" w:cs="Times New Roman"/>
          <w:color w:val="000000" w:themeColor="text1"/>
          <w:sz w:val="24"/>
          <w:szCs w:val="24"/>
        </w:rPr>
        <w:t xml:space="preserve"> namely, compliance markets through Clean Development Mechanism (CDM) under Kyoto protocol and Voluntary Carbon. Provided in the following sections are carbon trading projects implemented in Zambia under compliance and voluntary carbon markets. </w:t>
      </w:r>
    </w:p>
    <w:p w14:paraId="247F722C" w14:textId="77777777" w:rsidR="00D10127" w:rsidRPr="00191ACB" w:rsidRDefault="00D10127" w:rsidP="005E626A">
      <w:pPr>
        <w:spacing w:after="120" w:line="240" w:lineRule="auto"/>
        <w:jc w:val="both"/>
        <w:rPr>
          <w:rFonts w:ascii="Times New Roman" w:eastAsia="Calibri" w:hAnsi="Times New Roman" w:cs="Times New Roman"/>
          <w:color w:val="000000" w:themeColor="text1"/>
          <w:sz w:val="24"/>
          <w:szCs w:val="24"/>
        </w:rPr>
      </w:pPr>
    </w:p>
    <w:p w14:paraId="69E1B823" w14:textId="37A424E6" w:rsidR="00245464" w:rsidRDefault="00DF0AD3" w:rsidP="00D21C5B">
      <w:pPr>
        <w:pStyle w:val="Heading2"/>
        <w:numPr>
          <w:ilvl w:val="1"/>
          <w:numId w:val="36"/>
        </w:numPr>
        <w:spacing w:after="120" w:line="240" w:lineRule="auto"/>
        <w:ind w:left="851" w:hanging="851"/>
        <w:rPr>
          <w:rFonts w:ascii="Times New Roman" w:hAnsi="Times New Roman" w:cs="Times New Roman"/>
          <w:b/>
          <w:color w:val="000000" w:themeColor="text1"/>
          <w:sz w:val="24"/>
          <w:szCs w:val="24"/>
        </w:rPr>
      </w:pPr>
      <w:bookmarkStart w:id="473" w:name="_Toc26264962"/>
      <w:bookmarkStart w:id="474" w:name="_Toc57902880"/>
      <w:r w:rsidRPr="00191ACB">
        <w:rPr>
          <w:rFonts w:ascii="Times New Roman" w:hAnsi="Times New Roman" w:cs="Times New Roman"/>
          <w:b/>
          <w:color w:val="000000" w:themeColor="text1"/>
          <w:sz w:val="24"/>
          <w:szCs w:val="24"/>
        </w:rPr>
        <w:t>COMPLIANCE MARKETS-CLEAN DEVELOPMENT MECHANISM</w:t>
      </w:r>
      <w:bookmarkEnd w:id="473"/>
      <w:bookmarkEnd w:id="474"/>
    </w:p>
    <w:p w14:paraId="2F285091" w14:textId="77777777" w:rsidR="00FF028C" w:rsidRPr="00FF028C" w:rsidRDefault="00FF028C" w:rsidP="00FF028C"/>
    <w:p w14:paraId="1362023D" w14:textId="238318B6" w:rsidR="00245464" w:rsidRDefault="0024546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projects participating in compliant carbon markets are listed as follows:</w:t>
      </w:r>
    </w:p>
    <w:p w14:paraId="7757D089" w14:textId="77777777" w:rsidR="00650C37" w:rsidRPr="00191ACB" w:rsidRDefault="00650C37"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p>
    <w:p w14:paraId="75F9DB9B" w14:textId="46C9569B" w:rsidR="00FF028C" w:rsidRDefault="00245464" w:rsidP="00FF028C">
      <w:pPr>
        <w:pStyle w:val="Heading3"/>
        <w:numPr>
          <w:ilvl w:val="2"/>
          <w:numId w:val="36"/>
        </w:numPr>
        <w:ind w:left="851" w:hanging="851"/>
      </w:pPr>
      <w:r w:rsidRPr="00D21C5B">
        <w:t xml:space="preserve">Fuel </w:t>
      </w:r>
      <w:r w:rsidR="001605E3">
        <w:t>E</w:t>
      </w:r>
      <w:r w:rsidRPr="00D21C5B">
        <w:t xml:space="preserve">fficient </w:t>
      </w:r>
      <w:r w:rsidR="001605E3">
        <w:t>S</w:t>
      </w:r>
      <w:r w:rsidRPr="00D21C5B">
        <w:t xml:space="preserve">toves in Zambia </w:t>
      </w:r>
    </w:p>
    <w:p w14:paraId="73EBC9A8" w14:textId="77777777" w:rsidR="00FF028C" w:rsidRPr="00FF028C" w:rsidRDefault="00FF028C" w:rsidP="00FF028C">
      <w:pPr>
        <w:spacing w:after="120" w:line="240" w:lineRule="auto"/>
        <w:jc w:val="both"/>
        <w:rPr>
          <w:rFonts w:eastAsia="Calibri"/>
          <w:b/>
          <w:color w:val="000000" w:themeColor="text1"/>
        </w:rPr>
      </w:pPr>
    </w:p>
    <w:p w14:paraId="3269CE3A" w14:textId="323B3526" w:rsidR="00245464" w:rsidRDefault="0024546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project participant is 3 Rocks Ltd (Managing Entity) based in, United Kingdom. Under the Programme of Activities (PoA), traditional three stone stoves are replaced with Fuel Efficient stoves in Zambia. The three stone traditional stoves are commonly used by the majority of Zambian families to cook on an open fire, utilizing the ‘three rocks’ method for heating pots. These stoves are simply made of three rocks or bricks placed on the floor. One of the three spaces in between these raised points is used as fuel gases feed hole and other two for flue gases exits. However, the project provides energy efficient cooking stoves based on the ‘rocket stove’ design. This technology ensures a 29.5</w:t>
      </w:r>
      <w:r w:rsidR="001C33F3"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thermal efficiency against the 10</w:t>
      </w:r>
      <w:r w:rsidR="001C33F3"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methodology default for the traditional 3-rock fire. The project is funded entirely by 3 Rocks Ltd (3RL) and does not form a part of any government-funded or supported programme in Zambia. As Fuel Efficient stoves are more energy efficient than commonly used three stone traditional cooking stoves, the replacement would reduce the GHG emissions (CO</w:t>
      </w:r>
      <w:r w:rsidRPr="000C4FCD">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by the reduced amount of non-renewable biomass fuel in the fuel efficient stoves compared to the traditional three stone cooking stoves. Maximum energy saving would be 180 GWhr/year. There is an Emissions Rights Acknowledgement with stove recipients where users will ensure that they have no right to claim for CERs and these belong to 3RL. Estimated amount of annual average GHG emission reductions is 40,684 tCO</w:t>
      </w:r>
      <w:r w:rsidRPr="000C4FCD">
        <w:rPr>
          <w:rFonts w:ascii="Times New Roman" w:eastAsia="Calibri" w:hAnsi="Times New Roman" w:cs="Times New Roman"/>
          <w:color w:val="000000" w:themeColor="text1"/>
          <w:sz w:val="24"/>
          <w:szCs w:val="24"/>
        </w:rPr>
        <w:t>2</w:t>
      </w:r>
      <w:r w:rsidRPr="00191ACB">
        <w:rPr>
          <w:rFonts w:ascii="Times New Roman" w:eastAsia="Calibri" w:hAnsi="Times New Roman" w:cs="Times New Roman"/>
          <w:color w:val="000000" w:themeColor="text1"/>
          <w:sz w:val="24"/>
          <w:szCs w:val="24"/>
        </w:rPr>
        <w:t xml:space="preserve"> (TÜV SÜD Industrie</w:t>
      </w:r>
      <w:r w:rsidR="00FF028C">
        <w:rPr>
          <w:rFonts w:ascii="Times New Roman" w:eastAsia="Calibri" w:hAnsi="Times New Roman" w:cs="Times New Roman"/>
          <w:color w:val="000000" w:themeColor="text1"/>
          <w:sz w:val="24"/>
          <w:szCs w:val="24"/>
        </w:rPr>
        <w:t>s</w:t>
      </w:r>
      <w:r w:rsidRPr="00191ACB">
        <w:rPr>
          <w:rFonts w:ascii="Times New Roman" w:eastAsia="Calibri" w:hAnsi="Times New Roman" w:cs="Times New Roman"/>
          <w:color w:val="000000" w:themeColor="text1"/>
          <w:sz w:val="24"/>
          <w:szCs w:val="24"/>
        </w:rPr>
        <w:t xml:space="preserve"> Service GmbH, 2011). </w:t>
      </w:r>
    </w:p>
    <w:p w14:paraId="1C1317C1" w14:textId="77777777" w:rsidR="00650C37" w:rsidRPr="00191ACB" w:rsidRDefault="00650C37"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p>
    <w:p w14:paraId="08799E64" w14:textId="4B2F4CEC" w:rsidR="00245464" w:rsidRPr="0036291A" w:rsidRDefault="00245464" w:rsidP="0036291A">
      <w:pPr>
        <w:pStyle w:val="Heading3"/>
        <w:numPr>
          <w:ilvl w:val="2"/>
          <w:numId w:val="36"/>
        </w:numPr>
        <w:ind w:left="851" w:hanging="851"/>
      </w:pPr>
      <w:r w:rsidRPr="0036291A">
        <w:t xml:space="preserve">Mujila </w:t>
      </w:r>
      <w:r w:rsidR="0036291A" w:rsidRPr="0036291A">
        <w:t xml:space="preserve">Mini-Hydro Power Plant </w:t>
      </w:r>
      <w:r w:rsidR="0036291A">
        <w:t>a</w:t>
      </w:r>
      <w:r w:rsidR="0036291A" w:rsidRPr="0036291A">
        <w:t xml:space="preserve">nd Associated 33 </w:t>
      </w:r>
      <w:r w:rsidR="0036291A">
        <w:t>k</w:t>
      </w:r>
      <w:r w:rsidR="0036291A" w:rsidRPr="0036291A">
        <w:t xml:space="preserve">v Distribution Network </w:t>
      </w:r>
    </w:p>
    <w:p w14:paraId="393829F9" w14:textId="77777777" w:rsidR="00997C85" w:rsidRDefault="00997C85" w:rsidP="005E626A">
      <w:pPr>
        <w:spacing w:after="120" w:line="240" w:lineRule="auto"/>
        <w:jc w:val="both"/>
        <w:rPr>
          <w:rFonts w:ascii="Times New Roman" w:eastAsia="Calibri" w:hAnsi="Times New Roman" w:cs="Times New Roman"/>
          <w:color w:val="000000" w:themeColor="text1"/>
          <w:sz w:val="24"/>
          <w:szCs w:val="24"/>
        </w:rPr>
      </w:pPr>
    </w:p>
    <w:p w14:paraId="3CBE0A91" w14:textId="4D207F48" w:rsidR="00245464" w:rsidRPr="00191ACB" w:rsidRDefault="0024546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project was registered on 25</w:t>
      </w:r>
      <w:r w:rsidRPr="00191ACB">
        <w:rPr>
          <w:rFonts w:ascii="Times New Roman" w:eastAsia="Calibri" w:hAnsi="Times New Roman" w:cs="Times New Roman"/>
          <w:color w:val="000000" w:themeColor="text1"/>
          <w:sz w:val="24"/>
          <w:szCs w:val="24"/>
          <w:vertAlign w:val="superscript"/>
        </w:rPr>
        <w:t>th</w:t>
      </w:r>
      <w:r w:rsidRPr="00191ACB">
        <w:rPr>
          <w:rFonts w:ascii="Times New Roman" w:eastAsia="Calibri" w:hAnsi="Times New Roman" w:cs="Times New Roman"/>
          <w:color w:val="000000" w:themeColor="text1"/>
          <w:sz w:val="24"/>
          <w:szCs w:val="24"/>
        </w:rPr>
        <w:t xml:space="preserve"> January 2013 and is being managed by ZESCO Ltd. The project site is located on Mujila River, a tributary to West Lunga River in the North Western Province of Zambia. It is a Greenfield project that involves construction of a run of river hydropower plant with a total installed capacity of 1.4 MW. The project aims to distribute clean, renewable energy</w:t>
      </w:r>
      <w:r w:rsidR="0036291A">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based electricity to rural communities without access to national/regional electricity grid, and to contribute to the sustainable development of Zambia. When operated at its maximum capacity, the project will result in 11,037 tCO</w:t>
      </w:r>
      <w:r w:rsidRPr="00191ACB">
        <w:rPr>
          <w:rFonts w:ascii="Times New Roman" w:eastAsia="Calibri" w:hAnsi="Times New Roman" w:cs="Times New Roman"/>
          <w:color w:val="000000" w:themeColor="text1"/>
          <w:sz w:val="24"/>
          <w:szCs w:val="24"/>
          <w:vertAlign w:val="subscript"/>
        </w:rPr>
        <w:t>2eq</w:t>
      </w:r>
      <w:r w:rsidRPr="00191ACB">
        <w:rPr>
          <w:rFonts w:ascii="Times New Roman" w:eastAsia="Calibri" w:hAnsi="Times New Roman" w:cs="Times New Roman"/>
          <w:color w:val="000000" w:themeColor="text1"/>
          <w:sz w:val="24"/>
          <w:szCs w:val="24"/>
        </w:rPr>
        <w:t xml:space="preserve"> of emission reductions per year or 77,259 tCO</w:t>
      </w:r>
      <w:r w:rsidRPr="00191ACB">
        <w:rPr>
          <w:rFonts w:ascii="Times New Roman" w:eastAsia="Calibri" w:hAnsi="Times New Roman" w:cs="Times New Roman"/>
          <w:color w:val="000000" w:themeColor="text1"/>
          <w:sz w:val="24"/>
          <w:szCs w:val="24"/>
          <w:vertAlign w:val="subscript"/>
        </w:rPr>
        <w:t>2</w:t>
      </w:r>
      <w:r w:rsidR="001C33F3" w:rsidRPr="00191ACB">
        <w:rPr>
          <w:rFonts w:ascii="Times New Roman" w:eastAsia="Calibri" w:hAnsi="Times New Roman" w:cs="Times New Roman"/>
          <w:color w:val="000000" w:themeColor="text1"/>
          <w:sz w:val="24"/>
          <w:szCs w:val="24"/>
          <w:vertAlign w:val="subscript"/>
        </w:rPr>
        <w:t xml:space="preserve"> </w:t>
      </w:r>
      <w:r w:rsidRPr="00191ACB">
        <w:rPr>
          <w:rFonts w:ascii="Times New Roman" w:eastAsia="Calibri" w:hAnsi="Times New Roman" w:cs="Times New Roman"/>
          <w:color w:val="000000" w:themeColor="text1"/>
          <w:sz w:val="24"/>
          <w:szCs w:val="24"/>
          <w:vertAlign w:val="subscript"/>
        </w:rPr>
        <w:t>eq.</w:t>
      </w:r>
      <w:r w:rsidRPr="00191ACB">
        <w:rPr>
          <w:rFonts w:ascii="Times New Roman" w:eastAsia="Calibri" w:hAnsi="Times New Roman" w:cs="Times New Roman"/>
          <w:color w:val="000000" w:themeColor="text1"/>
          <w:sz w:val="24"/>
          <w:szCs w:val="24"/>
        </w:rPr>
        <w:t xml:space="preserve"> over a seven-year crediting period. Scenario existing prior to project implementation and baseline scenario are the same and that is, use of fossil fuels such as kerosene, diesel, or other fuel. In the project scenario, a mini-hydropower plant </w:t>
      </w:r>
      <w:r w:rsidRPr="00191ACB">
        <w:rPr>
          <w:rFonts w:ascii="Times New Roman" w:eastAsia="Calibri" w:hAnsi="Times New Roman" w:cs="Times New Roman"/>
          <w:color w:val="000000" w:themeColor="text1"/>
          <w:sz w:val="24"/>
          <w:szCs w:val="24"/>
        </w:rPr>
        <w:lastRenderedPageBreak/>
        <w:t>and associated power distribution system will be constructed to provide maximum 11GWh per year of electricity to the connected villages (UNFCCC, 2013).</w:t>
      </w:r>
    </w:p>
    <w:p w14:paraId="61A824E8" w14:textId="77777777" w:rsidR="00245464" w:rsidRPr="0036291A" w:rsidRDefault="00245464" w:rsidP="0036291A">
      <w:pPr>
        <w:pStyle w:val="Heading3"/>
        <w:numPr>
          <w:ilvl w:val="2"/>
          <w:numId w:val="36"/>
        </w:numPr>
        <w:ind w:left="851" w:hanging="851"/>
      </w:pPr>
      <w:r w:rsidRPr="0036291A">
        <w:t xml:space="preserve">Lusaka Sustainable Energy Project </w:t>
      </w:r>
    </w:p>
    <w:p w14:paraId="66C880DA" w14:textId="77777777" w:rsidR="00997C85" w:rsidRDefault="00997C85" w:rsidP="005E626A">
      <w:pPr>
        <w:spacing w:after="120" w:line="240" w:lineRule="auto"/>
        <w:jc w:val="both"/>
        <w:rPr>
          <w:rFonts w:ascii="Times New Roman" w:eastAsia="Calibri" w:hAnsi="Times New Roman" w:cs="Times New Roman"/>
          <w:color w:val="000000" w:themeColor="text1"/>
          <w:sz w:val="24"/>
          <w:szCs w:val="24"/>
          <w:shd w:val="clear" w:color="auto" w:fill="FFFFFF"/>
        </w:rPr>
      </w:pPr>
    </w:p>
    <w:p w14:paraId="0A9CB605" w14:textId="3AAF010F" w:rsidR="00245464" w:rsidRPr="00191ACB" w:rsidRDefault="0024546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shd w:val="clear" w:color="auto" w:fill="FFFFFF"/>
        </w:rPr>
        <w:t>The project was registered on 9</w:t>
      </w:r>
      <w:r w:rsidRPr="00191ACB">
        <w:rPr>
          <w:rFonts w:ascii="Times New Roman" w:eastAsia="Calibri" w:hAnsi="Times New Roman" w:cs="Times New Roman"/>
          <w:color w:val="000000" w:themeColor="text1"/>
          <w:sz w:val="24"/>
          <w:szCs w:val="24"/>
          <w:shd w:val="clear" w:color="auto" w:fill="FFFFFF"/>
          <w:vertAlign w:val="superscript"/>
        </w:rPr>
        <w:t>th</w:t>
      </w:r>
      <w:r w:rsidRPr="00191ACB">
        <w:rPr>
          <w:rFonts w:ascii="Times New Roman" w:eastAsia="Calibri" w:hAnsi="Times New Roman" w:cs="Times New Roman"/>
          <w:color w:val="000000" w:themeColor="text1"/>
          <w:sz w:val="24"/>
          <w:szCs w:val="24"/>
          <w:shd w:val="clear" w:color="auto" w:fill="FFFFFF"/>
        </w:rPr>
        <w:t xml:space="preserve"> January 2010. </w:t>
      </w:r>
      <w:r w:rsidRPr="00191ACB">
        <w:rPr>
          <w:rFonts w:ascii="Times New Roman" w:eastAsia="Calibri" w:hAnsi="Times New Roman" w:cs="Times New Roman"/>
          <w:color w:val="000000" w:themeColor="text1"/>
          <w:sz w:val="24"/>
          <w:szCs w:val="24"/>
        </w:rPr>
        <w:t xml:space="preserve">The purpose of this CDM project is to provide up to 30,000 households of Lusaka City with highly efficient and durable Save80 Cooking Systems to replace the consumption of charcoal from non-renewable biomass by the use of small sticks from renewable sources of biomass. The Save80 Cooking System uses small quantities of renewable harvested sticks and it combines the stove with a heat retaining device. This enables the switch from the consumption of approximately 8 tonnes of wood needed annually for charcoal production, to approximately 0.8 tonnes of small sticks per year per average household. Renewable sources of fuelwood meet this low demand necessary for operating all Save80 Cooking Systems in the project area. Estimated amount of annual average GHG emission reductions is </w:t>
      </w:r>
      <w:r w:rsidRPr="00191ACB">
        <w:rPr>
          <w:rFonts w:ascii="Times New Roman" w:eastAsia="Calibri" w:hAnsi="Times New Roman" w:cs="Times New Roman"/>
          <w:color w:val="000000" w:themeColor="text1"/>
          <w:sz w:val="24"/>
          <w:szCs w:val="24"/>
          <w:shd w:val="clear" w:color="auto" w:fill="FFFFFF"/>
        </w:rPr>
        <w:t>130,032</w:t>
      </w:r>
      <w:r w:rsidRPr="00191ACB">
        <w:rPr>
          <w:rFonts w:ascii="Times New Roman" w:eastAsia="Calibri" w:hAnsi="Times New Roman" w:cs="Times New Roman"/>
          <w:color w:val="000000" w:themeColor="text1"/>
          <w:sz w:val="24"/>
          <w:szCs w:val="24"/>
        </w:rPr>
        <w:t xml:space="preserve"> tCO</w:t>
      </w:r>
      <w:r w:rsidRPr="00191ACB">
        <w:rPr>
          <w:rFonts w:ascii="Times New Roman" w:eastAsia="Calibri" w:hAnsi="Times New Roman" w:cs="Times New Roman"/>
          <w:color w:val="000000" w:themeColor="text1"/>
          <w:sz w:val="24"/>
          <w:szCs w:val="24"/>
          <w:vertAlign w:val="subscript"/>
        </w:rPr>
        <w:t xml:space="preserve">2 </w:t>
      </w:r>
      <w:r w:rsidRPr="00191ACB">
        <w:rPr>
          <w:rFonts w:ascii="Times New Roman" w:eastAsia="Calibri" w:hAnsi="Times New Roman" w:cs="Times New Roman"/>
          <w:color w:val="000000" w:themeColor="text1"/>
          <w:sz w:val="24"/>
          <w:szCs w:val="24"/>
        </w:rPr>
        <w:t>(UNFCCC, 2009).</w:t>
      </w:r>
    </w:p>
    <w:p w14:paraId="657238BF" w14:textId="77777777" w:rsidR="00245464" w:rsidRPr="0036291A" w:rsidRDefault="00245464" w:rsidP="0036291A">
      <w:pPr>
        <w:pStyle w:val="Heading3"/>
        <w:numPr>
          <w:ilvl w:val="2"/>
          <w:numId w:val="36"/>
        </w:numPr>
        <w:ind w:left="851" w:hanging="851"/>
      </w:pPr>
      <w:r w:rsidRPr="0036291A">
        <w:t xml:space="preserve">Itezhi-Tezhi Hydro Power Project- Zambia </w:t>
      </w:r>
    </w:p>
    <w:p w14:paraId="788C618E" w14:textId="77777777" w:rsidR="00997C85" w:rsidRDefault="00997C85" w:rsidP="005E626A">
      <w:pPr>
        <w:spacing w:after="120" w:line="240" w:lineRule="auto"/>
        <w:jc w:val="both"/>
        <w:rPr>
          <w:rFonts w:ascii="Times New Roman" w:eastAsia="Times New Roman" w:hAnsi="Times New Roman" w:cs="Times New Roman"/>
          <w:color w:val="000000" w:themeColor="text1"/>
          <w:sz w:val="24"/>
          <w:szCs w:val="24"/>
          <w:lang w:eastAsia="x-none"/>
        </w:rPr>
      </w:pPr>
    </w:p>
    <w:p w14:paraId="69F7F231" w14:textId="35041452" w:rsidR="00245464" w:rsidRPr="00191ACB" w:rsidRDefault="0024546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lang w:eastAsia="x-none"/>
        </w:rPr>
        <w:t>The project was registered by the UNFCCC on 8</w:t>
      </w:r>
      <w:r w:rsidRPr="00191ACB">
        <w:rPr>
          <w:rFonts w:ascii="Times New Roman" w:eastAsia="Times New Roman" w:hAnsi="Times New Roman" w:cs="Times New Roman"/>
          <w:color w:val="000000" w:themeColor="text1"/>
          <w:sz w:val="24"/>
          <w:szCs w:val="24"/>
          <w:vertAlign w:val="superscript"/>
          <w:lang w:eastAsia="x-none"/>
        </w:rPr>
        <w:t>th</w:t>
      </w:r>
      <w:r w:rsidRPr="00191ACB">
        <w:rPr>
          <w:rFonts w:ascii="Times New Roman" w:eastAsia="Times New Roman" w:hAnsi="Times New Roman" w:cs="Times New Roman"/>
          <w:color w:val="000000" w:themeColor="text1"/>
          <w:sz w:val="24"/>
          <w:szCs w:val="24"/>
          <w:lang w:eastAsia="x-none"/>
        </w:rPr>
        <w:t xml:space="preserve"> September 2015 and it </w:t>
      </w:r>
      <w:r w:rsidRPr="00191ACB">
        <w:rPr>
          <w:rFonts w:ascii="Times New Roman" w:eastAsia="Times New Roman" w:hAnsi="Times New Roman" w:cs="Times New Roman"/>
          <w:color w:val="000000" w:themeColor="text1"/>
          <w:sz w:val="24"/>
          <w:szCs w:val="24"/>
          <w:lang w:val="x-none" w:eastAsia="x-none"/>
        </w:rPr>
        <w:t>involves the construction and operation of a 120 MW hydro</w:t>
      </w:r>
      <w:r w:rsidRPr="00191ACB">
        <w:rPr>
          <w:rFonts w:ascii="Times New Roman" w:eastAsia="Times New Roman" w:hAnsi="Times New Roman" w:cs="Times New Roman"/>
          <w:color w:val="000000" w:themeColor="text1"/>
          <w:sz w:val="24"/>
          <w:szCs w:val="24"/>
          <w:lang w:eastAsia="x-none"/>
        </w:rPr>
        <w:t xml:space="preserve"> </w:t>
      </w:r>
      <w:r w:rsidRPr="00191ACB">
        <w:rPr>
          <w:rFonts w:ascii="Times New Roman" w:eastAsia="Times New Roman" w:hAnsi="Times New Roman" w:cs="Times New Roman"/>
          <w:color w:val="000000" w:themeColor="text1"/>
          <w:sz w:val="24"/>
          <w:szCs w:val="24"/>
          <w:lang w:val="x-none" w:eastAsia="x-none"/>
        </w:rPr>
        <w:t>power</w:t>
      </w:r>
      <w:r w:rsidRPr="00191ACB">
        <w:rPr>
          <w:rFonts w:ascii="Times New Roman" w:eastAsia="Times New Roman" w:hAnsi="Times New Roman" w:cs="Times New Roman"/>
          <w:color w:val="000000" w:themeColor="text1"/>
          <w:sz w:val="24"/>
          <w:szCs w:val="24"/>
          <w:lang w:eastAsia="x-none"/>
        </w:rPr>
        <w:t xml:space="preserve"> </w:t>
      </w:r>
      <w:r w:rsidRPr="00191ACB">
        <w:rPr>
          <w:rFonts w:ascii="Times New Roman" w:eastAsia="Times New Roman" w:hAnsi="Times New Roman" w:cs="Times New Roman"/>
          <w:color w:val="000000" w:themeColor="text1"/>
          <w:sz w:val="24"/>
          <w:szCs w:val="24"/>
          <w:lang w:val="x-none" w:eastAsia="x-none"/>
        </w:rPr>
        <w:t>plant at the existing Itezhi</w:t>
      </w:r>
      <w:r w:rsidRPr="00191ACB">
        <w:rPr>
          <w:rFonts w:ascii="Times New Roman" w:eastAsia="Times New Roman" w:hAnsi="Times New Roman" w:cs="Times New Roman"/>
          <w:color w:val="000000" w:themeColor="text1"/>
          <w:sz w:val="24"/>
          <w:szCs w:val="24"/>
          <w:lang w:eastAsia="x-none"/>
        </w:rPr>
        <w:t>-</w:t>
      </w:r>
      <w:r w:rsidRPr="00191ACB">
        <w:rPr>
          <w:rFonts w:ascii="Times New Roman" w:eastAsia="Times New Roman" w:hAnsi="Times New Roman" w:cs="Times New Roman"/>
          <w:color w:val="000000" w:themeColor="text1"/>
          <w:sz w:val="24"/>
          <w:szCs w:val="24"/>
          <w:lang w:val="x-none" w:eastAsia="x-none"/>
        </w:rPr>
        <w:t>Tezhi dam on Kafue River</w:t>
      </w:r>
      <w:r w:rsidRPr="00191ACB">
        <w:rPr>
          <w:rFonts w:ascii="Times New Roman" w:eastAsia="Times New Roman" w:hAnsi="Times New Roman" w:cs="Times New Roman"/>
          <w:color w:val="000000" w:themeColor="text1"/>
          <w:sz w:val="24"/>
          <w:szCs w:val="24"/>
          <w:lang w:eastAsia="x-none"/>
        </w:rPr>
        <w:t xml:space="preserve">. </w:t>
      </w:r>
      <w:r w:rsidRPr="00191ACB">
        <w:rPr>
          <w:rFonts w:ascii="Times New Roman" w:eastAsia="Times New Roman" w:hAnsi="Times New Roman" w:cs="Times New Roman"/>
          <w:color w:val="000000" w:themeColor="text1"/>
          <w:sz w:val="24"/>
          <w:szCs w:val="24"/>
          <w:lang w:val="x-none" w:eastAsia="x-none"/>
        </w:rPr>
        <w:t>It is owned by Itezhi</w:t>
      </w:r>
      <w:r w:rsidRPr="00191ACB">
        <w:rPr>
          <w:rFonts w:ascii="Times New Roman" w:eastAsia="Times New Roman" w:hAnsi="Times New Roman" w:cs="Times New Roman"/>
          <w:color w:val="000000" w:themeColor="text1"/>
          <w:sz w:val="24"/>
          <w:szCs w:val="24"/>
          <w:lang w:eastAsia="x-none"/>
        </w:rPr>
        <w:t>-</w:t>
      </w:r>
      <w:r w:rsidRPr="00191ACB">
        <w:rPr>
          <w:rFonts w:ascii="Times New Roman" w:eastAsia="Times New Roman" w:hAnsi="Times New Roman" w:cs="Times New Roman"/>
          <w:color w:val="000000" w:themeColor="text1"/>
          <w:sz w:val="24"/>
          <w:szCs w:val="24"/>
          <w:lang w:val="x-none" w:eastAsia="x-none"/>
        </w:rPr>
        <w:t>Tezhi Power Corporation (ITPC), a SPV (TATA Africa &amp;</w:t>
      </w:r>
      <w:r w:rsidRPr="00191ACB">
        <w:rPr>
          <w:rFonts w:ascii="Times New Roman" w:eastAsia="Times New Roman" w:hAnsi="Times New Roman" w:cs="Times New Roman"/>
          <w:color w:val="000000" w:themeColor="text1"/>
          <w:sz w:val="24"/>
          <w:szCs w:val="24"/>
          <w:lang w:eastAsia="x-none"/>
        </w:rPr>
        <w:t xml:space="preserve"> </w:t>
      </w:r>
      <w:r w:rsidRPr="00191ACB">
        <w:rPr>
          <w:rFonts w:ascii="Times New Roman" w:eastAsia="Times New Roman" w:hAnsi="Times New Roman" w:cs="Times New Roman"/>
          <w:color w:val="000000" w:themeColor="text1"/>
          <w:sz w:val="24"/>
          <w:szCs w:val="24"/>
          <w:lang w:val="x-none" w:eastAsia="x-none"/>
        </w:rPr>
        <w:t>ZESCO, 50:50)</w:t>
      </w:r>
      <w:r w:rsidRPr="00191ACB">
        <w:rPr>
          <w:rFonts w:ascii="Times New Roman" w:eastAsia="Times New Roman" w:hAnsi="Times New Roman" w:cs="Times New Roman"/>
          <w:color w:val="000000" w:themeColor="text1"/>
          <w:sz w:val="24"/>
          <w:szCs w:val="24"/>
          <w:lang w:eastAsia="x-none"/>
        </w:rPr>
        <w:t xml:space="preserve">. </w:t>
      </w:r>
      <w:r w:rsidRPr="00191ACB">
        <w:rPr>
          <w:rFonts w:ascii="Times New Roman" w:eastAsia="Times New Roman" w:hAnsi="Times New Roman" w:cs="Times New Roman"/>
          <w:color w:val="000000" w:themeColor="text1"/>
          <w:sz w:val="24"/>
          <w:szCs w:val="24"/>
          <w:lang w:val="x-none" w:eastAsia="x-none"/>
        </w:rPr>
        <w:t xml:space="preserve">Power </w:t>
      </w:r>
      <w:r w:rsidRPr="00191ACB">
        <w:rPr>
          <w:rFonts w:ascii="Times New Roman" w:eastAsia="Times New Roman" w:hAnsi="Times New Roman" w:cs="Times New Roman"/>
          <w:color w:val="000000" w:themeColor="text1"/>
          <w:sz w:val="24"/>
          <w:szCs w:val="24"/>
          <w:lang w:eastAsia="x-none"/>
        </w:rPr>
        <w:t>is</w:t>
      </w:r>
      <w:r w:rsidRPr="00191ACB">
        <w:rPr>
          <w:rFonts w:ascii="Times New Roman" w:eastAsia="Times New Roman" w:hAnsi="Times New Roman" w:cs="Times New Roman"/>
          <w:color w:val="000000" w:themeColor="text1"/>
          <w:sz w:val="24"/>
          <w:szCs w:val="24"/>
          <w:lang w:val="x-none" w:eastAsia="x-none"/>
        </w:rPr>
        <w:t xml:space="preserve"> evacuated with a transmission line of about 300 km, 330 kV</w:t>
      </w:r>
      <w:r w:rsidRPr="00191ACB">
        <w:rPr>
          <w:rFonts w:ascii="Times New Roman" w:eastAsia="Times New Roman" w:hAnsi="Times New Roman" w:cs="Times New Roman"/>
          <w:color w:val="000000" w:themeColor="text1"/>
          <w:sz w:val="24"/>
          <w:szCs w:val="24"/>
          <w:lang w:eastAsia="x-none"/>
        </w:rPr>
        <w:t xml:space="preserve">. </w:t>
      </w:r>
      <w:r w:rsidRPr="00191ACB">
        <w:rPr>
          <w:rFonts w:ascii="Times New Roman" w:eastAsia="Times New Roman" w:hAnsi="Times New Roman" w:cs="Times New Roman"/>
          <w:color w:val="000000" w:themeColor="text1"/>
          <w:sz w:val="24"/>
          <w:szCs w:val="24"/>
          <w:lang w:val="x-none" w:eastAsia="x-none"/>
        </w:rPr>
        <w:t>ITPC generate</w:t>
      </w:r>
      <w:r w:rsidRPr="00191ACB">
        <w:rPr>
          <w:rFonts w:ascii="Times New Roman" w:eastAsia="Times New Roman" w:hAnsi="Times New Roman" w:cs="Times New Roman"/>
          <w:color w:val="000000" w:themeColor="text1"/>
          <w:sz w:val="24"/>
          <w:szCs w:val="24"/>
          <w:lang w:eastAsia="x-none"/>
        </w:rPr>
        <w:t>s</w:t>
      </w:r>
      <w:r w:rsidRPr="00191ACB">
        <w:rPr>
          <w:rFonts w:ascii="Times New Roman" w:eastAsia="Times New Roman" w:hAnsi="Times New Roman" w:cs="Times New Roman"/>
          <w:color w:val="000000" w:themeColor="text1"/>
          <w:sz w:val="24"/>
          <w:szCs w:val="24"/>
          <w:lang w:val="x-none" w:eastAsia="x-none"/>
        </w:rPr>
        <w:t xml:space="preserve"> electricity while transmission line will be constructed and</w:t>
      </w:r>
      <w:r w:rsidRPr="00191ACB">
        <w:rPr>
          <w:rFonts w:ascii="Times New Roman" w:eastAsia="Times New Roman" w:hAnsi="Times New Roman" w:cs="Times New Roman"/>
          <w:color w:val="000000" w:themeColor="text1"/>
          <w:sz w:val="24"/>
          <w:szCs w:val="24"/>
          <w:lang w:eastAsia="x-none"/>
        </w:rPr>
        <w:t xml:space="preserve"> </w:t>
      </w:r>
      <w:r w:rsidRPr="00191ACB">
        <w:rPr>
          <w:rFonts w:ascii="Times New Roman" w:eastAsia="Times New Roman" w:hAnsi="Times New Roman" w:cs="Times New Roman"/>
          <w:color w:val="000000" w:themeColor="text1"/>
          <w:sz w:val="24"/>
          <w:szCs w:val="24"/>
          <w:lang w:val="x-none" w:eastAsia="x-none"/>
        </w:rPr>
        <w:t>maintained by ZESCO</w:t>
      </w:r>
      <w:r w:rsidRPr="00191ACB">
        <w:rPr>
          <w:rFonts w:ascii="Times New Roman" w:eastAsia="Times New Roman" w:hAnsi="Times New Roman" w:cs="Times New Roman"/>
          <w:color w:val="000000" w:themeColor="text1"/>
          <w:sz w:val="24"/>
          <w:szCs w:val="24"/>
          <w:lang w:eastAsia="x-none"/>
        </w:rPr>
        <w:t>.</w:t>
      </w:r>
      <w:r w:rsidRPr="00191ACB">
        <w:rPr>
          <w:rFonts w:ascii="Times New Roman" w:eastAsia="Times New Roman" w:hAnsi="Times New Roman" w:cs="Times New Roman"/>
          <w:color w:val="000000" w:themeColor="text1"/>
          <w:sz w:val="24"/>
          <w:szCs w:val="24"/>
          <w:lang w:val="x-none" w:eastAsia="x-none"/>
        </w:rPr>
        <w:t xml:space="preserve"> The electricity produced is to be dispatched to the SAPP (9 countries)</w:t>
      </w:r>
      <w:r w:rsidRPr="00191ACB">
        <w:rPr>
          <w:rFonts w:ascii="Times New Roman" w:eastAsia="Times New Roman" w:hAnsi="Times New Roman" w:cs="Times New Roman"/>
          <w:color w:val="000000" w:themeColor="text1"/>
          <w:sz w:val="24"/>
          <w:szCs w:val="24"/>
          <w:lang w:eastAsia="x-none"/>
        </w:rPr>
        <w:t xml:space="preserve">. </w:t>
      </w:r>
      <w:r w:rsidRPr="00191ACB">
        <w:rPr>
          <w:rFonts w:ascii="Times New Roman" w:eastAsia="Times New Roman" w:hAnsi="Times New Roman" w:cs="Times New Roman"/>
          <w:color w:val="000000" w:themeColor="text1"/>
          <w:sz w:val="24"/>
          <w:szCs w:val="24"/>
          <w:lang w:val="x-none" w:eastAsia="x-none"/>
        </w:rPr>
        <w:t>CDM prior consideration has been submitted to UNFCCC and registered on the</w:t>
      </w:r>
      <w:r w:rsidRPr="00191ACB">
        <w:rPr>
          <w:rFonts w:ascii="Times New Roman" w:eastAsia="Times New Roman" w:hAnsi="Times New Roman" w:cs="Times New Roman"/>
          <w:color w:val="000000" w:themeColor="text1"/>
          <w:sz w:val="24"/>
          <w:szCs w:val="24"/>
          <w:lang w:eastAsia="x-none"/>
        </w:rPr>
        <w:t xml:space="preserve"> </w:t>
      </w:r>
      <w:r w:rsidRPr="00191ACB">
        <w:rPr>
          <w:rFonts w:ascii="Times New Roman" w:eastAsia="Times New Roman" w:hAnsi="Times New Roman" w:cs="Times New Roman"/>
          <w:color w:val="000000" w:themeColor="text1"/>
          <w:sz w:val="24"/>
          <w:szCs w:val="24"/>
          <w:lang w:val="x-none" w:eastAsia="x-none"/>
        </w:rPr>
        <w:t>3rd May 2011</w:t>
      </w:r>
      <w:r w:rsidRPr="00191ACB">
        <w:rPr>
          <w:rFonts w:ascii="Times New Roman" w:eastAsia="Times New Roman" w:hAnsi="Times New Roman" w:cs="Times New Roman"/>
          <w:color w:val="000000" w:themeColor="text1"/>
          <w:sz w:val="24"/>
          <w:szCs w:val="24"/>
          <w:lang w:eastAsia="x-none"/>
        </w:rPr>
        <w:t xml:space="preserve">. </w:t>
      </w:r>
      <w:r w:rsidRPr="00191ACB">
        <w:rPr>
          <w:rFonts w:ascii="Times New Roman" w:eastAsia="Times New Roman" w:hAnsi="Times New Roman" w:cs="Times New Roman"/>
          <w:color w:val="000000" w:themeColor="text1"/>
          <w:sz w:val="24"/>
          <w:szCs w:val="24"/>
          <w:lang w:val="x-none" w:eastAsia="x-none"/>
        </w:rPr>
        <w:t>Project Idea Note (PIN) has been developed.</w:t>
      </w:r>
      <w:r w:rsidRPr="00191ACB">
        <w:rPr>
          <w:rFonts w:ascii="Times New Roman" w:eastAsia="Times New Roman" w:hAnsi="Times New Roman" w:cs="Times New Roman"/>
          <w:color w:val="000000" w:themeColor="text1"/>
          <w:sz w:val="24"/>
          <w:szCs w:val="24"/>
          <w:lang w:eastAsia="x-none"/>
        </w:rPr>
        <w:t xml:space="preserve"> </w:t>
      </w:r>
      <w:r w:rsidRPr="00191ACB">
        <w:rPr>
          <w:rFonts w:ascii="Times New Roman" w:eastAsia="Calibri" w:hAnsi="Times New Roman" w:cs="Times New Roman"/>
          <w:color w:val="000000" w:themeColor="text1"/>
          <w:sz w:val="24"/>
          <w:szCs w:val="24"/>
        </w:rPr>
        <w:t>Estimated amount of annual average GHG emission reductions is 589,248 tCO</w:t>
      </w:r>
      <w:r w:rsidRPr="00191ACB">
        <w:rPr>
          <w:rFonts w:ascii="Times New Roman" w:eastAsia="Calibri" w:hAnsi="Times New Roman" w:cs="Times New Roman"/>
          <w:color w:val="000000" w:themeColor="text1"/>
          <w:sz w:val="24"/>
          <w:szCs w:val="24"/>
          <w:vertAlign w:val="subscript"/>
        </w:rPr>
        <w:t>2</w:t>
      </w:r>
    </w:p>
    <w:p w14:paraId="442BA54E" w14:textId="77777777" w:rsidR="00245464" w:rsidRPr="0036291A" w:rsidRDefault="00245464" w:rsidP="0036291A">
      <w:pPr>
        <w:pStyle w:val="Heading3"/>
        <w:numPr>
          <w:ilvl w:val="2"/>
          <w:numId w:val="36"/>
        </w:numPr>
        <w:ind w:left="851" w:hanging="851"/>
      </w:pPr>
      <w:r w:rsidRPr="0036291A">
        <w:t xml:space="preserve">Improved Cook stoves Programme for Zambia </w:t>
      </w:r>
    </w:p>
    <w:p w14:paraId="366B4637" w14:textId="77777777" w:rsidR="00997C85" w:rsidRDefault="00997C85" w:rsidP="005E626A">
      <w:pPr>
        <w:spacing w:after="120" w:line="240" w:lineRule="auto"/>
        <w:contextualSpacing/>
        <w:jc w:val="both"/>
        <w:rPr>
          <w:rFonts w:ascii="Times New Roman" w:eastAsia="Calibri" w:hAnsi="Times New Roman" w:cs="Times New Roman"/>
          <w:color w:val="000000" w:themeColor="text1"/>
          <w:sz w:val="24"/>
          <w:szCs w:val="24"/>
        </w:rPr>
      </w:pPr>
    </w:p>
    <w:p w14:paraId="59717AF3" w14:textId="4BC6755D" w:rsidR="00245464" w:rsidRPr="00191ACB" w:rsidRDefault="0024546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This Small-Scale Programme of Activities (SSC-PoA) involves the promotion, distribution of fuel</w:t>
      </w:r>
      <w:r w:rsidR="0036291A">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efficient improved cook stoves (ICS) in Zambia. The ICS called the TLC Rocket Stove will replace the prevailing inefficient three-stone fires or traditional pot support with stoves that combust firewood more efficiently and improve thermal transfer to pots, thus saving fuel and lowering greenhouse gas emissions. Estimated amount of annual average GHG emission reductions is 41,046 tCO</w:t>
      </w:r>
      <w:r w:rsidRPr="00191ACB">
        <w:rPr>
          <w:rFonts w:ascii="Times New Roman" w:eastAsia="Calibri" w:hAnsi="Times New Roman" w:cs="Times New Roman"/>
          <w:color w:val="000000" w:themeColor="text1"/>
          <w:sz w:val="24"/>
          <w:szCs w:val="24"/>
          <w:vertAlign w:val="subscript"/>
        </w:rPr>
        <w:t>2</w:t>
      </w:r>
      <w:r w:rsidRPr="00191ACB">
        <w:rPr>
          <w:rFonts w:ascii="Times New Roman" w:eastAsia="Calibri" w:hAnsi="Times New Roman" w:cs="Times New Roman"/>
          <w:color w:val="000000" w:themeColor="text1"/>
          <w:sz w:val="24"/>
          <w:szCs w:val="24"/>
        </w:rPr>
        <w:t xml:space="preserve"> (UNFCCC, 2017).</w:t>
      </w:r>
    </w:p>
    <w:p w14:paraId="71869F68" w14:textId="77777777" w:rsidR="00245464" w:rsidRPr="00191ACB" w:rsidRDefault="00245464" w:rsidP="005E626A">
      <w:pPr>
        <w:spacing w:after="120" w:line="240" w:lineRule="auto"/>
        <w:jc w:val="both"/>
        <w:rPr>
          <w:rFonts w:ascii="Times New Roman" w:eastAsia="Calibri" w:hAnsi="Times New Roman" w:cs="Times New Roman"/>
          <w:color w:val="000000" w:themeColor="text1"/>
          <w:sz w:val="24"/>
          <w:szCs w:val="24"/>
        </w:rPr>
      </w:pPr>
    </w:p>
    <w:p w14:paraId="549E3E88" w14:textId="023E8C2E" w:rsidR="00245464" w:rsidRDefault="00DF0AD3" w:rsidP="00D21C5B">
      <w:pPr>
        <w:pStyle w:val="Heading2"/>
        <w:numPr>
          <w:ilvl w:val="1"/>
          <w:numId w:val="36"/>
        </w:numPr>
        <w:spacing w:after="120" w:line="240" w:lineRule="auto"/>
        <w:ind w:left="851" w:hanging="851"/>
        <w:rPr>
          <w:rFonts w:ascii="Times New Roman" w:hAnsi="Times New Roman" w:cs="Times New Roman"/>
          <w:b/>
          <w:color w:val="000000" w:themeColor="text1"/>
          <w:sz w:val="24"/>
          <w:szCs w:val="24"/>
        </w:rPr>
      </w:pPr>
      <w:bookmarkStart w:id="475" w:name="_Toc26264963"/>
      <w:bookmarkStart w:id="476" w:name="_Toc57902881"/>
      <w:r w:rsidRPr="00191ACB">
        <w:rPr>
          <w:rFonts w:ascii="Times New Roman" w:hAnsi="Times New Roman" w:cs="Times New Roman"/>
          <w:b/>
          <w:color w:val="000000" w:themeColor="text1"/>
          <w:sz w:val="24"/>
          <w:szCs w:val="24"/>
        </w:rPr>
        <w:t>VOLUNTARY OFFSET PROJECTS</w:t>
      </w:r>
      <w:bookmarkEnd w:id="475"/>
      <w:bookmarkEnd w:id="476"/>
    </w:p>
    <w:p w14:paraId="349467AD" w14:textId="77777777" w:rsidR="00B12E45" w:rsidRPr="00B12E45" w:rsidRDefault="00B12E45" w:rsidP="00B12E45"/>
    <w:p w14:paraId="2BBB05D1" w14:textId="412912A0" w:rsidR="007D4D34" w:rsidRPr="0036291A" w:rsidRDefault="007D4D34" w:rsidP="0036291A">
      <w:pPr>
        <w:pStyle w:val="Heading3"/>
        <w:numPr>
          <w:ilvl w:val="2"/>
          <w:numId w:val="36"/>
        </w:numPr>
        <w:ind w:left="851" w:hanging="851"/>
      </w:pPr>
      <w:r w:rsidRPr="0036291A">
        <w:t>Zengamina Mini-hydro project</w:t>
      </w:r>
    </w:p>
    <w:p w14:paraId="3AA8F524" w14:textId="77777777" w:rsidR="00997C85" w:rsidRDefault="00997C85" w:rsidP="005E626A">
      <w:pPr>
        <w:spacing w:after="120" w:line="240" w:lineRule="auto"/>
        <w:jc w:val="both"/>
        <w:rPr>
          <w:rFonts w:ascii="Times New Roman" w:eastAsia="Calibri" w:hAnsi="Times New Roman" w:cs="Times New Roman"/>
          <w:color w:val="000000" w:themeColor="text1"/>
          <w:sz w:val="24"/>
          <w:szCs w:val="24"/>
        </w:rPr>
      </w:pPr>
    </w:p>
    <w:p w14:paraId="55D1DB05" w14:textId="756738F8" w:rsidR="00245464" w:rsidRDefault="0024546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Zengamina mini-hydro is a voluntary offset project in Zambia (World Bank, 2009). This project was designed as a Gold Standard project in the voluntary market. The small hydro replaced diesel generators supplying a local hospital, school and farm as well as other users, increasing the reliability </w:t>
      </w:r>
      <w:r w:rsidRPr="00191ACB">
        <w:rPr>
          <w:rFonts w:ascii="Times New Roman" w:eastAsia="Calibri" w:hAnsi="Times New Roman" w:cs="Times New Roman"/>
          <w:color w:val="000000" w:themeColor="text1"/>
          <w:sz w:val="24"/>
          <w:szCs w:val="24"/>
        </w:rPr>
        <w:lastRenderedPageBreak/>
        <w:t>of supply. This has benefited the hospital in enabling the reliable use of a range of equipment. It has also allowed students to study in the evenings and to have access to laboratories and computers. The project is expected to generate 500 tonnes of carbon dioxide equivalent (CO</w:t>
      </w:r>
      <w:r w:rsidRPr="00191ACB">
        <w:rPr>
          <w:rFonts w:ascii="Times New Roman" w:eastAsia="Calibri" w:hAnsi="Times New Roman" w:cs="Times New Roman"/>
          <w:color w:val="000000" w:themeColor="text1"/>
          <w:sz w:val="24"/>
          <w:szCs w:val="24"/>
          <w:vertAlign w:val="subscript"/>
        </w:rPr>
        <w:t>2eq</w:t>
      </w:r>
      <w:r w:rsidRPr="00191ACB">
        <w:rPr>
          <w:rFonts w:ascii="Times New Roman" w:eastAsia="Calibri" w:hAnsi="Times New Roman" w:cs="Times New Roman"/>
          <w:color w:val="000000" w:themeColor="text1"/>
          <w:sz w:val="24"/>
          <w:szCs w:val="24"/>
        </w:rPr>
        <w:t>) reductions per year initially, rising to over 3000 tonnes as a wider range of local users are connected. The offset retailer, ClimateCare provided carbon finance for this project.</w:t>
      </w:r>
    </w:p>
    <w:p w14:paraId="26F0EE22" w14:textId="77777777" w:rsidR="00650C37" w:rsidRPr="00191ACB" w:rsidRDefault="00650C37"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p>
    <w:p w14:paraId="5F72B957" w14:textId="3B2E9167" w:rsidR="007D4D34" w:rsidRPr="0036291A" w:rsidRDefault="007D4D34" w:rsidP="0036291A">
      <w:pPr>
        <w:pStyle w:val="Heading3"/>
        <w:numPr>
          <w:ilvl w:val="2"/>
          <w:numId w:val="36"/>
        </w:numPr>
        <w:ind w:left="851" w:hanging="851"/>
      </w:pPr>
      <w:r w:rsidRPr="0036291A">
        <w:t xml:space="preserve">Community Markets for Conservation </w:t>
      </w:r>
      <w:r w:rsidR="00694FF2" w:rsidRPr="0036291A">
        <w:t>Carbon Project</w:t>
      </w:r>
    </w:p>
    <w:p w14:paraId="3D7101D4" w14:textId="77777777" w:rsidR="00997C85" w:rsidRDefault="00997C85" w:rsidP="005E626A">
      <w:pPr>
        <w:spacing w:after="120" w:line="240" w:lineRule="auto"/>
        <w:jc w:val="both"/>
        <w:rPr>
          <w:rFonts w:ascii="Times New Roman" w:eastAsia="Calibri" w:hAnsi="Times New Roman" w:cs="Times New Roman"/>
          <w:color w:val="000000" w:themeColor="text1"/>
          <w:sz w:val="24"/>
          <w:szCs w:val="24"/>
        </w:rPr>
      </w:pPr>
    </w:p>
    <w:p w14:paraId="4F3D3298" w14:textId="7ED145D5" w:rsidR="007D4D34" w:rsidRPr="00191ACB" w:rsidRDefault="007D4D3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In 2015 Community Markets for Conservation (COMACO) worked with the World Bank on Zambia’s first large-scale Reducing Emissions from Deforestation and Forest Degradation (REDD+) carbon project. Under a pilot initiative with nine chiefdoms, a monitoring system was set up that determines how much CO2 emissions were saved by avoided deforestation as a result of Community Conservation Areas. Through a carbon offset scheme, communities were paid for their conservation efforts. In the first monitoring period, 228,000 tonnes of CO2 emission reductions were recorded, which paid out $490,000 to the participating chiefdoms. The carbon revenue was invested in community development projects, such as the drilling of new wells in regions with limited access to clean water, or the launch of additional incomes sources like community poultry farming and bee keeping.</w:t>
      </w:r>
    </w:p>
    <w:p w14:paraId="79CAD1F3" w14:textId="5F379F95" w:rsidR="007D4D34" w:rsidRDefault="007D4D3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Thereafter, COMACO was working with 28 additional chiefdoms to expand the carbon project to serve communities across the Luangwa Valley. Many of the target areas for the project expansion are important wildlife corridors that will connect fragmented forests and greatly aid in the effort to rebuild the Luangwa Valley’s elephant population. </w:t>
      </w:r>
    </w:p>
    <w:p w14:paraId="73F2118F" w14:textId="77777777" w:rsidR="0036291A" w:rsidRPr="00191ACB" w:rsidRDefault="0036291A"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p>
    <w:p w14:paraId="1A771CBF" w14:textId="208C652E" w:rsidR="007D4D34" w:rsidRPr="00191ACB" w:rsidRDefault="007D4D34" w:rsidP="009D64B6">
      <w:pPr>
        <w:pStyle w:val="ListParagraph"/>
        <w:numPr>
          <w:ilvl w:val="2"/>
          <w:numId w:val="36"/>
        </w:numPr>
        <w:spacing w:after="120" w:line="240" w:lineRule="auto"/>
        <w:ind w:left="851" w:hanging="851"/>
        <w:jc w:val="both"/>
        <w:rPr>
          <w:rFonts w:eastAsia="Calibri"/>
          <w:b/>
          <w:bCs/>
          <w:color w:val="000000" w:themeColor="text1"/>
        </w:rPr>
      </w:pPr>
      <w:r w:rsidRPr="0036291A">
        <w:rPr>
          <w:rFonts w:eastAsia="Arial" w:cs="Arial"/>
          <w:b/>
          <w:color w:val="434343"/>
          <w:szCs w:val="28"/>
        </w:rPr>
        <w:t>Biocarbon Partners</w:t>
      </w:r>
      <w:r w:rsidR="00694FF2" w:rsidRPr="0036291A">
        <w:rPr>
          <w:rFonts w:eastAsia="Arial" w:cs="Arial"/>
          <w:b/>
          <w:color w:val="434343"/>
          <w:szCs w:val="28"/>
        </w:rPr>
        <w:t xml:space="preserve"> Luangwa Community Forest Project and Lower Zambezi REDD+</w:t>
      </w:r>
      <w:r w:rsidR="00694FF2" w:rsidRPr="00191ACB">
        <w:rPr>
          <w:rFonts w:eastAsia="Calibri"/>
          <w:b/>
          <w:bCs/>
          <w:color w:val="000000" w:themeColor="text1"/>
        </w:rPr>
        <w:t xml:space="preserve"> Project</w:t>
      </w:r>
    </w:p>
    <w:p w14:paraId="0173B315" w14:textId="77777777" w:rsidR="00997C85" w:rsidRDefault="00997C85" w:rsidP="005E626A">
      <w:pPr>
        <w:spacing w:after="120" w:line="240" w:lineRule="auto"/>
        <w:jc w:val="both"/>
        <w:rPr>
          <w:rFonts w:ascii="Times New Roman" w:eastAsia="Calibri" w:hAnsi="Times New Roman" w:cs="Times New Roman"/>
          <w:color w:val="000000" w:themeColor="text1"/>
          <w:sz w:val="24"/>
          <w:szCs w:val="24"/>
        </w:rPr>
      </w:pPr>
    </w:p>
    <w:p w14:paraId="73246E88" w14:textId="335FE8D3" w:rsidR="007D4D34" w:rsidRPr="00191ACB" w:rsidRDefault="007D4D3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Since 2011 BCP is working on two projects: The Luangwa Community Forest Project (LCFP) and the LZRP Lower Zambezi REDD+ Project (LZRP), between which BCP is protecting close to 535 million trees from deforestation across almost 1 million hectares. That is an annual average reduction of deforestation related emissions of 1.4 million tonnes of carbon dioxide across both projects per year. The REDD+ Reducing Emissions from Deforestation and Forest Degradation (REDD+) projects fund forest protection and community development through the sales of carbon offsets.</w:t>
      </w:r>
    </w:p>
    <w:p w14:paraId="4A07BA86" w14:textId="77777777" w:rsidR="00D10127" w:rsidRPr="00DF0AD3" w:rsidRDefault="00D10127" w:rsidP="00DF0AD3">
      <w:pPr>
        <w:pStyle w:val="Heading2"/>
        <w:spacing w:after="120" w:line="240" w:lineRule="auto"/>
        <w:ind w:left="1440"/>
        <w:rPr>
          <w:rFonts w:ascii="Times New Roman" w:hAnsi="Times New Roman" w:cs="Times New Roman"/>
          <w:b/>
          <w:color w:val="000000" w:themeColor="text1"/>
          <w:sz w:val="24"/>
          <w:szCs w:val="24"/>
        </w:rPr>
      </w:pPr>
    </w:p>
    <w:p w14:paraId="2AD014BA" w14:textId="13272955" w:rsidR="00245464" w:rsidRPr="00191ACB" w:rsidRDefault="00DF0AD3" w:rsidP="009D64B6">
      <w:pPr>
        <w:pStyle w:val="Heading2"/>
        <w:numPr>
          <w:ilvl w:val="1"/>
          <w:numId w:val="36"/>
        </w:numPr>
        <w:spacing w:after="120" w:line="240" w:lineRule="auto"/>
        <w:ind w:left="851" w:hanging="851"/>
        <w:rPr>
          <w:rFonts w:ascii="Times New Roman" w:hAnsi="Times New Roman" w:cs="Times New Roman"/>
          <w:b/>
          <w:color w:val="000000" w:themeColor="text1"/>
          <w:sz w:val="24"/>
          <w:szCs w:val="24"/>
        </w:rPr>
      </w:pPr>
      <w:bookmarkStart w:id="477" w:name="_Toc26264964"/>
      <w:bookmarkStart w:id="478" w:name="_Toc57902882"/>
      <w:r w:rsidRPr="00191ACB">
        <w:rPr>
          <w:rFonts w:ascii="Times New Roman" w:hAnsi="Times New Roman" w:cs="Times New Roman"/>
          <w:b/>
          <w:color w:val="000000" w:themeColor="text1"/>
          <w:sz w:val="24"/>
          <w:szCs w:val="24"/>
        </w:rPr>
        <w:t xml:space="preserve">CHALLENGES </w:t>
      </w:r>
      <w:r>
        <w:rPr>
          <w:rFonts w:ascii="Times New Roman" w:hAnsi="Times New Roman" w:cs="Times New Roman"/>
          <w:b/>
          <w:color w:val="000000" w:themeColor="text1"/>
          <w:sz w:val="24"/>
          <w:szCs w:val="24"/>
        </w:rPr>
        <w:t>I</w:t>
      </w:r>
      <w:r w:rsidRPr="00191ACB">
        <w:rPr>
          <w:rFonts w:ascii="Times New Roman" w:hAnsi="Times New Roman" w:cs="Times New Roman"/>
          <w:b/>
          <w:color w:val="000000" w:themeColor="text1"/>
          <w:sz w:val="24"/>
          <w:szCs w:val="24"/>
        </w:rPr>
        <w:t>N IMPLEMENTING CARBON TRADING MECHANISM IN ZAMBIA</w:t>
      </w:r>
      <w:bookmarkEnd w:id="477"/>
      <w:bookmarkEnd w:id="478"/>
    </w:p>
    <w:p w14:paraId="0BB7FFA9" w14:textId="77777777" w:rsidR="00245464" w:rsidRPr="00191ACB" w:rsidRDefault="00245464"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Implementation of carbon trading mechanism projects has provided Zambia some experiences in carbon trading systems. However, there are still challenges in participating in the carbon trading such as limited capacity in preparation of bankable proposals such as Project Design Documents (PDD). Others are lack of national framework for Measuring Reporting and Verification, limited capacity within the country to undertake mitigation analysis among others.</w:t>
      </w:r>
    </w:p>
    <w:p w14:paraId="6E91C02B" w14:textId="7CA36011" w:rsidR="005B5FDA" w:rsidRPr="00191ACB" w:rsidRDefault="005B5FDA">
      <w:pPr>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br w:type="page"/>
      </w:r>
    </w:p>
    <w:p w14:paraId="69F87208" w14:textId="20493343" w:rsidR="00245464" w:rsidRPr="00191ACB" w:rsidRDefault="002937AD" w:rsidP="009D64B6">
      <w:pPr>
        <w:pStyle w:val="Heading1"/>
        <w:numPr>
          <w:ilvl w:val="0"/>
          <w:numId w:val="36"/>
        </w:numPr>
        <w:spacing w:after="120" w:line="240" w:lineRule="auto"/>
        <w:ind w:left="851" w:hanging="851"/>
        <w:rPr>
          <w:rFonts w:ascii="Times New Roman" w:eastAsia="Times New Roman" w:hAnsi="Times New Roman" w:cs="Times New Roman"/>
          <w:b/>
          <w:color w:val="000000" w:themeColor="text1"/>
          <w:sz w:val="24"/>
          <w:szCs w:val="24"/>
        </w:rPr>
      </w:pPr>
      <w:bookmarkStart w:id="479" w:name="_Toc57902883"/>
      <w:bookmarkStart w:id="480" w:name="_Toc26264965"/>
      <w:r w:rsidRPr="00191ACB">
        <w:rPr>
          <w:rFonts w:ascii="Times New Roman" w:eastAsia="Times New Roman" w:hAnsi="Times New Roman" w:cs="Times New Roman"/>
          <w:b/>
          <w:color w:val="000000" w:themeColor="text1"/>
          <w:sz w:val="24"/>
          <w:szCs w:val="24"/>
        </w:rPr>
        <w:lastRenderedPageBreak/>
        <w:t>NATIONAL MEASURING REPORTING AND VERIFICATION SYSTEM</w:t>
      </w:r>
      <w:bookmarkEnd w:id="479"/>
      <w:r w:rsidRPr="00191ACB">
        <w:rPr>
          <w:rFonts w:ascii="Times New Roman" w:eastAsia="Times New Roman" w:hAnsi="Times New Roman" w:cs="Times New Roman"/>
          <w:b/>
          <w:color w:val="000000" w:themeColor="text1"/>
          <w:sz w:val="24"/>
          <w:szCs w:val="24"/>
        </w:rPr>
        <w:t xml:space="preserve"> </w:t>
      </w:r>
      <w:bookmarkEnd w:id="480"/>
    </w:p>
    <w:p w14:paraId="34602BB1" w14:textId="77777777" w:rsidR="00D45CAF" w:rsidRDefault="00D45CAF" w:rsidP="003F5062">
      <w:pPr>
        <w:spacing w:after="0" w:line="276" w:lineRule="auto"/>
        <w:jc w:val="both"/>
        <w:rPr>
          <w:rFonts w:ascii="Times New Roman" w:eastAsia="Calibri" w:hAnsi="Times New Roman" w:cs="Times New Roman"/>
          <w:color w:val="000000" w:themeColor="text1"/>
          <w:sz w:val="24"/>
          <w:szCs w:val="24"/>
          <w:lang w:val="en-GB"/>
        </w:rPr>
      </w:pPr>
    </w:p>
    <w:p w14:paraId="58F0DC6F" w14:textId="792B33E3" w:rsidR="00CB7851" w:rsidRPr="00191ACB" w:rsidRDefault="00CB7851" w:rsidP="000C4FCD">
      <w:pPr>
        <w:autoSpaceDE w:val="0"/>
        <w:autoSpaceDN w:val="0"/>
        <w:adjustRightInd w:val="0"/>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 xml:space="preserve">Zambia is developing an MRV system in the context of the Enhance Transparency Framework building on previous MRV following the adoption of the Paris Agreement. The National MRV System is envisaged to contain three main components namely, MRV of emissions, mitigation and support (i.e. finance, technology transfer and capacity building) and will be characterized by the </w:t>
      </w:r>
      <w:r w:rsidRPr="000C4FCD">
        <w:rPr>
          <w:rFonts w:ascii="Times New Roman" w:eastAsia="Calibri" w:hAnsi="Times New Roman" w:cs="Times New Roman"/>
          <w:color w:val="000000" w:themeColor="text1"/>
          <w:sz w:val="24"/>
          <w:szCs w:val="24"/>
        </w:rPr>
        <w:t>following</w:t>
      </w:r>
      <w:r w:rsidRPr="00191ACB">
        <w:rPr>
          <w:rFonts w:ascii="Times New Roman" w:eastAsia="Calibri" w:hAnsi="Times New Roman" w:cs="Times New Roman"/>
          <w:color w:val="000000" w:themeColor="text1"/>
          <w:sz w:val="24"/>
          <w:szCs w:val="24"/>
          <w:lang w:val="en-GB"/>
        </w:rPr>
        <w:t>:</w:t>
      </w:r>
      <w:r w:rsidR="000C4FCD">
        <w:rPr>
          <w:rFonts w:ascii="Times New Roman" w:eastAsia="Calibri" w:hAnsi="Times New Roman" w:cs="Times New Roman"/>
          <w:color w:val="000000" w:themeColor="text1"/>
          <w:sz w:val="24"/>
          <w:szCs w:val="24"/>
          <w:lang w:val="en-GB"/>
        </w:rPr>
        <w:t xml:space="preserve"> </w:t>
      </w:r>
      <w:r w:rsidRPr="00191ACB">
        <w:rPr>
          <w:rFonts w:ascii="Times New Roman" w:eastAsia="Calibri" w:hAnsi="Times New Roman" w:cs="Times New Roman"/>
          <w:color w:val="000000" w:themeColor="text1"/>
          <w:sz w:val="24"/>
          <w:szCs w:val="24"/>
          <w:lang w:val="en-GB"/>
        </w:rPr>
        <w:t xml:space="preserve"> </w:t>
      </w:r>
    </w:p>
    <w:p w14:paraId="2B456132" w14:textId="77777777" w:rsidR="00CB7851" w:rsidRPr="00191ACB" w:rsidRDefault="00CB7851" w:rsidP="000C4FCD">
      <w:pPr>
        <w:numPr>
          <w:ilvl w:val="0"/>
          <w:numId w:val="46"/>
        </w:numPr>
        <w:spacing w:after="0" w:line="276" w:lineRule="auto"/>
        <w:jc w:val="both"/>
        <w:rPr>
          <w:rFonts w:ascii="Times New Roman" w:hAnsi="Times New Roman" w:cs="Times New Roman"/>
          <w:color w:val="000000"/>
          <w:sz w:val="24"/>
          <w:szCs w:val="24"/>
        </w:rPr>
      </w:pPr>
      <w:r w:rsidRPr="00191ACB">
        <w:rPr>
          <w:rFonts w:ascii="Times New Roman" w:hAnsi="Times New Roman" w:cs="Times New Roman"/>
          <w:color w:val="000000"/>
          <w:sz w:val="24"/>
          <w:szCs w:val="24"/>
        </w:rPr>
        <w:t>Mechanism for tracking emissions, mitigation actions, finance, capacity building, and technology transfer;</w:t>
      </w:r>
    </w:p>
    <w:p w14:paraId="1FAE90F6" w14:textId="77777777" w:rsidR="00CB7851" w:rsidRPr="00191ACB" w:rsidRDefault="00CB7851" w:rsidP="000C4FCD">
      <w:pPr>
        <w:numPr>
          <w:ilvl w:val="0"/>
          <w:numId w:val="46"/>
        </w:numPr>
        <w:spacing w:after="0" w:line="276" w:lineRule="auto"/>
        <w:jc w:val="both"/>
        <w:rPr>
          <w:rFonts w:ascii="Times New Roman" w:hAnsi="Times New Roman" w:cs="Times New Roman"/>
          <w:color w:val="000000"/>
          <w:sz w:val="24"/>
          <w:szCs w:val="24"/>
        </w:rPr>
      </w:pPr>
      <w:r w:rsidRPr="00191ACB">
        <w:rPr>
          <w:rFonts w:ascii="Times New Roman" w:hAnsi="Times New Roman" w:cs="Times New Roman"/>
          <w:color w:val="000000"/>
          <w:sz w:val="24"/>
          <w:szCs w:val="24"/>
        </w:rPr>
        <w:t>Online monitoring plans;</w:t>
      </w:r>
    </w:p>
    <w:p w14:paraId="06FBE006" w14:textId="77777777" w:rsidR="00CB7851" w:rsidRPr="00191ACB" w:rsidRDefault="00CB7851" w:rsidP="000C4FCD">
      <w:pPr>
        <w:numPr>
          <w:ilvl w:val="0"/>
          <w:numId w:val="46"/>
        </w:numPr>
        <w:spacing w:after="0" w:line="276" w:lineRule="auto"/>
        <w:jc w:val="both"/>
        <w:rPr>
          <w:rFonts w:ascii="Times New Roman" w:hAnsi="Times New Roman" w:cs="Times New Roman"/>
          <w:color w:val="000000"/>
          <w:sz w:val="24"/>
          <w:szCs w:val="24"/>
        </w:rPr>
      </w:pPr>
      <w:r w:rsidRPr="00191ACB">
        <w:rPr>
          <w:rFonts w:ascii="Times New Roman" w:hAnsi="Times New Roman" w:cs="Times New Roman"/>
          <w:color w:val="000000"/>
          <w:sz w:val="24"/>
          <w:szCs w:val="24"/>
        </w:rPr>
        <w:t>Facility for accrediting independent verifiers;</w:t>
      </w:r>
    </w:p>
    <w:p w14:paraId="07CDF191" w14:textId="77777777" w:rsidR="00CB7851" w:rsidRPr="00191ACB" w:rsidRDefault="00CB7851" w:rsidP="000C4FCD">
      <w:pPr>
        <w:numPr>
          <w:ilvl w:val="0"/>
          <w:numId w:val="46"/>
        </w:numPr>
        <w:spacing w:after="0" w:line="276" w:lineRule="auto"/>
        <w:jc w:val="both"/>
        <w:rPr>
          <w:rFonts w:ascii="Times New Roman" w:hAnsi="Times New Roman" w:cs="Times New Roman"/>
          <w:color w:val="000000"/>
          <w:sz w:val="24"/>
          <w:szCs w:val="24"/>
        </w:rPr>
      </w:pPr>
      <w:r w:rsidRPr="00191ACB">
        <w:rPr>
          <w:rFonts w:ascii="Times New Roman" w:hAnsi="Times New Roman" w:cs="Times New Roman"/>
          <w:color w:val="000000"/>
          <w:sz w:val="24"/>
          <w:szCs w:val="24"/>
        </w:rPr>
        <w:t>Guidelines, instructions and audit procedures;</w:t>
      </w:r>
    </w:p>
    <w:p w14:paraId="02B901AD" w14:textId="77777777" w:rsidR="00CB7851" w:rsidRPr="00191ACB" w:rsidRDefault="00CB7851" w:rsidP="000C4FCD">
      <w:pPr>
        <w:numPr>
          <w:ilvl w:val="0"/>
          <w:numId w:val="46"/>
        </w:numPr>
        <w:spacing w:after="0" w:line="276" w:lineRule="auto"/>
        <w:jc w:val="both"/>
        <w:rPr>
          <w:rFonts w:ascii="Times New Roman" w:hAnsi="Times New Roman" w:cs="Times New Roman"/>
          <w:color w:val="000000"/>
          <w:sz w:val="24"/>
          <w:szCs w:val="24"/>
        </w:rPr>
      </w:pPr>
      <w:r w:rsidRPr="00191ACB">
        <w:rPr>
          <w:rFonts w:ascii="Times New Roman" w:hAnsi="Times New Roman" w:cs="Times New Roman"/>
          <w:color w:val="000000"/>
          <w:sz w:val="24"/>
          <w:szCs w:val="24"/>
        </w:rPr>
        <w:t>MRV Institutional coordination structures, responsibilities and competencies</w:t>
      </w:r>
      <w:r w:rsidRPr="00191ACB">
        <w:rPr>
          <w:rFonts w:ascii="Times New Roman" w:hAnsi="Times New Roman" w:cs="Times New Roman"/>
          <w:b/>
          <w:color w:val="000000"/>
          <w:sz w:val="24"/>
          <w:szCs w:val="24"/>
        </w:rPr>
        <w:t>;</w:t>
      </w:r>
    </w:p>
    <w:p w14:paraId="0E81ED98" w14:textId="77777777" w:rsidR="00CB7851" w:rsidRPr="00191ACB" w:rsidRDefault="00CB7851" w:rsidP="000C4FCD">
      <w:pPr>
        <w:numPr>
          <w:ilvl w:val="0"/>
          <w:numId w:val="46"/>
        </w:numPr>
        <w:spacing w:after="0" w:line="276" w:lineRule="auto"/>
        <w:jc w:val="both"/>
        <w:rPr>
          <w:rFonts w:ascii="Times New Roman" w:hAnsi="Times New Roman" w:cs="Times New Roman"/>
          <w:color w:val="000000"/>
          <w:sz w:val="24"/>
          <w:szCs w:val="24"/>
        </w:rPr>
      </w:pPr>
      <w:r w:rsidRPr="00191ACB">
        <w:rPr>
          <w:rFonts w:ascii="Times New Roman" w:hAnsi="Times New Roman" w:cs="Times New Roman"/>
          <w:color w:val="000000"/>
          <w:sz w:val="24"/>
          <w:szCs w:val="24"/>
        </w:rPr>
        <w:t>Interactive NDC database and IT Platform;</w:t>
      </w:r>
    </w:p>
    <w:p w14:paraId="298485FD" w14:textId="77777777" w:rsidR="00CB7851" w:rsidRPr="00191ACB" w:rsidRDefault="00CB7851" w:rsidP="000C4FCD">
      <w:pPr>
        <w:numPr>
          <w:ilvl w:val="0"/>
          <w:numId w:val="46"/>
        </w:numPr>
        <w:spacing w:after="0" w:line="276" w:lineRule="auto"/>
        <w:jc w:val="both"/>
        <w:rPr>
          <w:rFonts w:ascii="Times New Roman" w:hAnsi="Times New Roman" w:cs="Times New Roman"/>
          <w:color w:val="000000"/>
          <w:sz w:val="24"/>
          <w:szCs w:val="24"/>
        </w:rPr>
      </w:pPr>
      <w:r w:rsidRPr="00191ACB">
        <w:rPr>
          <w:rFonts w:ascii="Times New Roman" w:hAnsi="Times New Roman" w:cs="Times New Roman"/>
          <w:color w:val="000000"/>
          <w:sz w:val="24"/>
          <w:szCs w:val="24"/>
        </w:rPr>
        <w:t>Web based, Multi-user;</w:t>
      </w:r>
    </w:p>
    <w:p w14:paraId="5C14F401" w14:textId="77777777" w:rsidR="00CB7851" w:rsidRPr="00191ACB" w:rsidRDefault="00CB7851" w:rsidP="000C4FCD">
      <w:pPr>
        <w:numPr>
          <w:ilvl w:val="0"/>
          <w:numId w:val="46"/>
        </w:numPr>
        <w:spacing w:after="0" w:line="276" w:lineRule="auto"/>
        <w:jc w:val="both"/>
        <w:rPr>
          <w:rFonts w:ascii="Times New Roman" w:hAnsi="Times New Roman" w:cs="Times New Roman"/>
          <w:color w:val="000000"/>
          <w:sz w:val="24"/>
          <w:szCs w:val="24"/>
        </w:rPr>
      </w:pPr>
      <w:r w:rsidRPr="00191ACB">
        <w:rPr>
          <w:rFonts w:ascii="Times New Roman" w:hAnsi="Times New Roman" w:cs="Times New Roman"/>
          <w:color w:val="000000"/>
          <w:sz w:val="24"/>
          <w:szCs w:val="24"/>
        </w:rPr>
        <w:t>Geospatial Database with interactive map of Zambia showing implementation of climate change projects; and</w:t>
      </w:r>
    </w:p>
    <w:p w14:paraId="2AE1B3F0" w14:textId="77777777" w:rsidR="00CB7851" w:rsidRPr="00191ACB" w:rsidRDefault="00CB7851" w:rsidP="000C4FCD">
      <w:pPr>
        <w:numPr>
          <w:ilvl w:val="0"/>
          <w:numId w:val="46"/>
        </w:numPr>
        <w:spacing w:after="0" w:line="276" w:lineRule="auto"/>
        <w:jc w:val="both"/>
        <w:rPr>
          <w:rFonts w:ascii="Times New Roman" w:hAnsi="Times New Roman" w:cs="Times New Roman"/>
          <w:color w:val="000000"/>
          <w:sz w:val="24"/>
          <w:szCs w:val="24"/>
        </w:rPr>
      </w:pPr>
      <w:r w:rsidRPr="00191ACB">
        <w:rPr>
          <w:rFonts w:ascii="Times New Roman" w:hAnsi="Times New Roman" w:cs="Times New Roman"/>
          <w:color w:val="000000"/>
          <w:sz w:val="24"/>
          <w:szCs w:val="24"/>
        </w:rPr>
        <w:t>An interactive database showing NDC mitigation and adaptation projects, support received and SDGs progress contributions of NDC projects.</w:t>
      </w:r>
    </w:p>
    <w:p w14:paraId="2FC0D568" w14:textId="77777777" w:rsidR="00CB7851" w:rsidRPr="00191ACB" w:rsidRDefault="00CB7851" w:rsidP="00CB7851">
      <w:pPr>
        <w:spacing w:after="0" w:line="276" w:lineRule="auto"/>
        <w:rPr>
          <w:rFonts w:ascii="Times New Roman" w:hAnsi="Times New Roman" w:cs="Times New Roman"/>
          <w:color w:val="000000"/>
          <w:sz w:val="24"/>
          <w:szCs w:val="24"/>
        </w:rPr>
      </w:pPr>
    </w:p>
    <w:p w14:paraId="355787CE" w14:textId="309DFA4A" w:rsidR="00110AD5" w:rsidRPr="00191ACB" w:rsidRDefault="00CB7851" w:rsidP="000C4FCD">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The institutional arrangements for the MRV system will be based on the provision of the national policy on climate change with established linkages to sub-national and sectoral institutions. The benefits of institutionalization include: Improved inventory quality; data documentation; archiving; and transparency. The development of an MRV system will contribute to efficient measuring, reporting and verification of emissions from different sectors of the economy, thereby enhancing transparency of mitigation actions.</w:t>
      </w:r>
      <w:r w:rsidR="00110AD5" w:rsidRPr="00191ACB">
        <w:rPr>
          <w:rFonts w:ascii="Times New Roman" w:eastAsia="Calibri" w:hAnsi="Times New Roman" w:cs="Times New Roman"/>
          <w:color w:val="000000" w:themeColor="text1"/>
          <w:sz w:val="24"/>
          <w:szCs w:val="24"/>
          <w:lang w:val="en-GB"/>
        </w:rPr>
        <w:t xml:space="preserve"> </w:t>
      </w:r>
      <w:r w:rsidR="00245464" w:rsidRPr="00191ACB">
        <w:rPr>
          <w:rFonts w:ascii="Times New Roman" w:eastAsia="Calibri" w:hAnsi="Times New Roman" w:cs="Times New Roman"/>
          <w:color w:val="000000" w:themeColor="text1"/>
          <w:sz w:val="24"/>
          <w:szCs w:val="24"/>
          <w:lang w:val="en-GB"/>
        </w:rPr>
        <w:t>The institutional arrangement</w:t>
      </w:r>
      <w:r w:rsidR="00110AD5" w:rsidRPr="00191ACB">
        <w:rPr>
          <w:rFonts w:ascii="Times New Roman" w:eastAsia="Calibri" w:hAnsi="Times New Roman" w:cs="Times New Roman"/>
          <w:color w:val="000000" w:themeColor="text1"/>
          <w:sz w:val="24"/>
          <w:szCs w:val="24"/>
          <w:lang w:val="en-GB"/>
        </w:rPr>
        <w:t xml:space="preserve">s for implementation of MRV are elaborated in </w:t>
      </w:r>
    </w:p>
    <w:p w14:paraId="0EAE7C02" w14:textId="7BBF9743" w:rsidR="00245464" w:rsidRPr="00191ACB" w:rsidRDefault="008A52DB" w:rsidP="000C4FCD">
      <w:pPr>
        <w:spacing w:after="0" w:line="276" w:lineRule="auto"/>
        <w:jc w:val="both"/>
        <w:rPr>
          <w:rFonts w:ascii="Times New Roman" w:eastAsia="Calibri" w:hAnsi="Times New Roman" w:cs="Times New Roman"/>
          <w:color w:val="000000" w:themeColor="text1"/>
          <w:sz w:val="24"/>
          <w:szCs w:val="24"/>
          <w:lang w:val="en-GB"/>
        </w:rPr>
      </w:pPr>
      <w:r w:rsidRPr="008A52DB">
        <w:rPr>
          <w:rFonts w:ascii="Times New Roman" w:eastAsia="Calibri" w:hAnsi="Times New Roman" w:cs="Times New Roman"/>
          <w:color w:val="000000" w:themeColor="text1"/>
          <w:sz w:val="24"/>
          <w:szCs w:val="24"/>
        </w:rPr>
        <w:t>figure 6.1.</w:t>
      </w:r>
    </w:p>
    <w:p w14:paraId="56D80B9A" w14:textId="77777777" w:rsidR="00245464" w:rsidRPr="00191ACB" w:rsidRDefault="00245464" w:rsidP="005E626A">
      <w:pPr>
        <w:spacing w:after="120" w:line="240" w:lineRule="auto"/>
        <w:contextualSpacing/>
        <w:jc w:val="both"/>
        <w:rPr>
          <w:rFonts w:ascii="Times New Roman" w:eastAsia="Calibri" w:hAnsi="Times New Roman" w:cs="Times New Roman"/>
          <w:color w:val="000000" w:themeColor="text1"/>
          <w:sz w:val="24"/>
          <w:szCs w:val="24"/>
        </w:rPr>
      </w:pPr>
    </w:p>
    <w:p w14:paraId="249739A9" w14:textId="77777777" w:rsidR="008A52DB" w:rsidRDefault="008A52DB" w:rsidP="008A52DB">
      <w:pPr>
        <w:spacing w:after="200" w:line="276" w:lineRule="auto"/>
        <w:contextualSpacing/>
        <w:jc w:val="both"/>
        <w:rPr>
          <w:rFonts w:ascii="Times New Roman" w:eastAsia="Calibri" w:hAnsi="Times New Roman" w:cs="Times New Roman"/>
          <w:noProof/>
          <w:color w:val="000000" w:themeColor="text1"/>
          <w:sz w:val="24"/>
          <w:szCs w:val="24"/>
        </w:rPr>
      </w:pPr>
    </w:p>
    <w:p w14:paraId="44D3BE1B" w14:textId="77777777" w:rsidR="008A52DB" w:rsidRDefault="008A52DB" w:rsidP="008A52DB">
      <w:pPr>
        <w:pStyle w:val="Caption"/>
      </w:pPr>
    </w:p>
    <w:p w14:paraId="103D82F5" w14:textId="77777777" w:rsidR="008A52DB" w:rsidRDefault="008A52DB" w:rsidP="008A52DB">
      <w:pPr>
        <w:pStyle w:val="Caption"/>
      </w:pPr>
    </w:p>
    <w:p w14:paraId="789DF9A8" w14:textId="77777777" w:rsidR="008A52DB" w:rsidRDefault="008A52DB" w:rsidP="008A52DB">
      <w:pPr>
        <w:pStyle w:val="Caption"/>
      </w:pPr>
    </w:p>
    <w:p w14:paraId="3B01B1B1" w14:textId="77777777" w:rsidR="008A52DB" w:rsidRDefault="008A52DB" w:rsidP="008A52DB">
      <w:pPr>
        <w:pStyle w:val="Caption"/>
      </w:pPr>
    </w:p>
    <w:p w14:paraId="7028D7B6" w14:textId="77777777" w:rsidR="008A52DB" w:rsidRDefault="008A52DB" w:rsidP="008A52DB">
      <w:pPr>
        <w:pStyle w:val="Caption"/>
      </w:pPr>
    </w:p>
    <w:p w14:paraId="0E35EEA7" w14:textId="77777777" w:rsidR="008A52DB" w:rsidRDefault="008A52DB" w:rsidP="008A52DB">
      <w:pPr>
        <w:pStyle w:val="Caption"/>
      </w:pPr>
    </w:p>
    <w:p w14:paraId="1C6DED3F" w14:textId="77777777" w:rsidR="008A52DB" w:rsidRDefault="008A52DB" w:rsidP="008A52DB">
      <w:pPr>
        <w:pStyle w:val="Caption"/>
      </w:pPr>
    </w:p>
    <w:p w14:paraId="0952C420" w14:textId="77777777" w:rsidR="008A52DB" w:rsidRDefault="008A52DB" w:rsidP="008A52DB">
      <w:pPr>
        <w:pStyle w:val="Caption"/>
      </w:pPr>
    </w:p>
    <w:p w14:paraId="3060705A" w14:textId="77777777" w:rsidR="008A52DB" w:rsidRDefault="008A52DB" w:rsidP="008A52DB">
      <w:pPr>
        <w:pStyle w:val="Caption"/>
      </w:pPr>
    </w:p>
    <w:p w14:paraId="1BA4DE85" w14:textId="77777777" w:rsidR="008A52DB" w:rsidRDefault="008A52DB" w:rsidP="008A52DB">
      <w:pPr>
        <w:pStyle w:val="Caption"/>
      </w:pPr>
    </w:p>
    <w:p w14:paraId="33113694" w14:textId="41A8A8FE" w:rsidR="00245464" w:rsidRDefault="00245464" w:rsidP="008A52DB">
      <w:pPr>
        <w:pStyle w:val="Caption"/>
        <w:rPr>
          <w:rFonts w:eastAsia="Calibri"/>
          <w:color w:val="000000" w:themeColor="text1"/>
          <w:sz w:val="24"/>
          <w:szCs w:val="24"/>
        </w:rPr>
      </w:pPr>
      <w:r w:rsidRPr="00191ACB">
        <w:rPr>
          <w:rFonts w:eastAsia="Calibri"/>
          <w:noProof/>
          <w:color w:val="000000" w:themeColor="text1"/>
          <w:sz w:val="24"/>
          <w:szCs w:val="24"/>
          <w:lang w:val="en-GB" w:eastAsia="en-GB"/>
        </w:rPr>
        <w:lastRenderedPageBreak/>
        <w:drawing>
          <wp:inline distT="0" distB="0" distL="0" distR="0" wp14:anchorId="454C1375" wp14:editId="780D8F57">
            <wp:extent cx="5943600" cy="37871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3787140"/>
                    </a:xfrm>
                    <a:prstGeom prst="rect">
                      <a:avLst/>
                    </a:prstGeom>
                    <a:noFill/>
                    <a:ln>
                      <a:noFill/>
                    </a:ln>
                  </pic:spPr>
                </pic:pic>
              </a:graphicData>
            </a:graphic>
          </wp:inline>
        </w:drawing>
      </w:r>
    </w:p>
    <w:p w14:paraId="7E67FC00" w14:textId="1456DE34" w:rsidR="008A52DB" w:rsidRPr="0036291A" w:rsidRDefault="008A52DB" w:rsidP="008A52DB">
      <w:pPr>
        <w:pStyle w:val="Caption"/>
        <w:rPr>
          <w:rFonts w:eastAsia="Calibri"/>
          <w:sz w:val="24"/>
          <w:szCs w:val="24"/>
        </w:rPr>
      </w:pPr>
      <w:bookmarkStart w:id="481" w:name="_Toc56583892"/>
      <w:r w:rsidRPr="0036291A">
        <w:rPr>
          <w:sz w:val="24"/>
          <w:szCs w:val="24"/>
        </w:rPr>
        <w:t xml:space="preserve">Figure </w:t>
      </w:r>
      <w:r w:rsidR="009D481C" w:rsidRPr="0036291A">
        <w:rPr>
          <w:sz w:val="24"/>
          <w:szCs w:val="24"/>
        </w:rPr>
        <w:fldChar w:fldCharType="begin"/>
      </w:r>
      <w:r w:rsidR="009D481C" w:rsidRPr="0036291A">
        <w:rPr>
          <w:sz w:val="24"/>
          <w:szCs w:val="24"/>
        </w:rPr>
        <w:instrText xml:space="preserve"> STYLEREF 1 \s </w:instrText>
      </w:r>
      <w:r w:rsidR="009D481C" w:rsidRPr="0036291A">
        <w:rPr>
          <w:sz w:val="24"/>
          <w:szCs w:val="24"/>
        </w:rPr>
        <w:fldChar w:fldCharType="separate"/>
      </w:r>
      <w:r w:rsidR="009D481C" w:rsidRPr="0036291A">
        <w:rPr>
          <w:noProof/>
          <w:sz w:val="24"/>
          <w:szCs w:val="24"/>
        </w:rPr>
        <w:t>6</w:t>
      </w:r>
      <w:r w:rsidR="009D481C" w:rsidRPr="0036291A">
        <w:rPr>
          <w:sz w:val="24"/>
          <w:szCs w:val="24"/>
        </w:rPr>
        <w:fldChar w:fldCharType="end"/>
      </w:r>
      <w:r w:rsidR="009D481C" w:rsidRPr="0036291A">
        <w:rPr>
          <w:sz w:val="24"/>
          <w:szCs w:val="24"/>
        </w:rPr>
        <w:t>.</w:t>
      </w:r>
      <w:r w:rsidR="009D481C" w:rsidRPr="0036291A">
        <w:rPr>
          <w:sz w:val="24"/>
          <w:szCs w:val="24"/>
        </w:rPr>
        <w:fldChar w:fldCharType="begin"/>
      </w:r>
      <w:r w:rsidR="009D481C" w:rsidRPr="0036291A">
        <w:rPr>
          <w:sz w:val="24"/>
          <w:szCs w:val="24"/>
        </w:rPr>
        <w:instrText xml:space="preserve"> SEQ Figure \* ARABIC \s 1 </w:instrText>
      </w:r>
      <w:r w:rsidR="009D481C" w:rsidRPr="0036291A">
        <w:rPr>
          <w:sz w:val="24"/>
          <w:szCs w:val="24"/>
        </w:rPr>
        <w:fldChar w:fldCharType="separate"/>
      </w:r>
      <w:r w:rsidR="009D481C" w:rsidRPr="0036291A">
        <w:rPr>
          <w:noProof/>
          <w:sz w:val="24"/>
          <w:szCs w:val="24"/>
        </w:rPr>
        <w:t>1</w:t>
      </w:r>
      <w:r w:rsidR="009D481C" w:rsidRPr="0036291A">
        <w:rPr>
          <w:sz w:val="24"/>
          <w:szCs w:val="24"/>
        </w:rPr>
        <w:fldChar w:fldCharType="end"/>
      </w:r>
      <w:r w:rsidRPr="0036291A">
        <w:rPr>
          <w:sz w:val="24"/>
          <w:szCs w:val="24"/>
        </w:rPr>
        <w:t>:Proposed reinforcement of institutional arrangement to accommodate MRV system</w:t>
      </w:r>
      <w:bookmarkEnd w:id="481"/>
    </w:p>
    <w:p w14:paraId="1F347817" w14:textId="178ACE77" w:rsidR="00245464" w:rsidRPr="009D64B6" w:rsidRDefault="008A52DB" w:rsidP="009D64B6">
      <w:pPr>
        <w:pStyle w:val="Heading2"/>
        <w:numPr>
          <w:ilvl w:val="1"/>
          <w:numId w:val="36"/>
        </w:numPr>
        <w:spacing w:after="120" w:line="240" w:lineRule="auto"/>
        <w:ind w:left="851" w:hanging="851"/>
        <w:rPr>
          <w:rFonts w:ascii="Times New Roman" w:hAnsi="Times New Roman" w:cs="Times New Roman"/>
          <w:b/>
          <w:bCs/>
          <w:color w:val="auto"/>
          <w:sz w:val="24"/>
          <w:szCs w:val="24"/>
        </w:rPr>
      </w:pPr>
      <w:bookmarkStart w:id="482" w:name="_Toc19284592"/>
      <w:bookmarkStart w:id="483" w:name="_Toc26264966"/>
      <w:bookmarkStart w:id="484" w:name="_Toc57902884"/>
      <w:r w:rsidRPr="009D64B6">
        <w:rPr>
          <w:rFonts w:ascii="Times New Roman" w:hAnsi="Times New Roman" w:cs="Times New Roman"/>
          <w:b/>
          <w:bCs/>
          <w:color w:val="auto"/>
          <w:sz w:val="24"/>
          <w:szCs w:val="24"/>
        </w:rPr>
        <w:t>NATIONAL MRV SYSTEM FOR ZAMBIA-POST PARIS AGREEMENT</w:t>
      </w:r>
      <w:bookmarkEnd w:id="482"/>
      <w:bookmarkEnd w:id="483"/>
      <w:bookmarkEnd w:id="484"/>
    </w:p>
    <w:p w14:paraId="02CC66AD" w14:textId="523F77F7" w:rsidR="00245464" w:rsidRDefault="00245464" w:rsidP="000C4FCD">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Ministry of Lands and Natural Resources </w:t>
      </w:r>
      <w:r w:rsidR="00110AD5" w:rsidRPr="00191ACB">
        <w:rPr>
          <w:rFonts w:ascii="Times New Roman" w:eastAsia="Calibri" w:hAnsi="Times New Roman" w:cs="Times New Roman"/>
          <w:color w:val="000000" w:themeColor="text1"/>
          <w:sz w:val="24"/>
          <w:szCs w:val="24"/>
        </w:rPr>
        <w:t xml:space="preserve">with support from UNDP </w:t>
      </w:r>
      <w:r w:rsidRPr="00191ACB">
        <w:rPr>
          <w:rFonts w:ascii="Times New Roman" w:eastAsia="Calibri" w:hAnsi="Times New Roman" w:cs="Times New Roman"/>
          <w:color w:val="000000" w:themeColor="text1"/>
          <w:sz w:val="24"/>
          <w:szCs w:val="24"/>
        </w:rPr>
        <w:t>is implementing the NDC Support Programme</w:t>
      </w:r>
      <w:r w:rsidR="00110AD5" w:rsidRPr="00191ACB">
        <w:rPr>
          <w:rFonts w:ascii="Times New Roman" w:eastAsia="Calibri" w:hAnsi="Times New Roman" w:cs="Times New Roman"/>
          <w:color w:val="000000" w:themeColor="text1"/>
          <w:sz w:val="24"/>
          <w:szCs w:val="24"/>
        </w:rPr>
        <w:t>, aimed at developing an integrated MRV system</w:t>
      </w:r>
      <w:r w:rsidRPr="00191ACB">
        <w:rPr>
          <w:rFonts w:ascii="Times New Roman" w:eastAsia="Calibri" w:hAnsi="Times New Roman" w:cs="Times New Roman"/>
          <w:color w:val="000000" w:themeColor="text1"/>
          <w:sz w:val="24"/>
          <w:szCs w:val="24"/>
        </w:rPr>
        <w:t>. The National MRV system is being envisaged to contain three main components namely, MRV of emissions, MRV of mitigation actions, and MRV of support which are elaborated as follows:</w:t>
      </w:r>
    </w:p>
    <w:p w14:paraId="67EA31F8" w14:textId="77777777" w:rsidR="009D64B6" w:rsidRPr="00191ACB" w:rsidRDefault="009D64B6" w:rsidP="000C4FCD">
      <w:pPr>
        <w:spacing w:after="0" w:line="276" w:lineRule="auto"/>
        <w:jc w:val="both"/>
        <w:rPr>
          <w:rFonts w:ascii="Times New Roman" w:eastAsia="Calibri" w:hAnsi="Times New Roman" w:cs="Times New Roman"/>
          <w:color w:val="000000" w:themeColor="text1"/>
          <w:sz w:val="24"/>
          <w:szCs w:val="24"/>
          <w:lang w:val="en-GB"/>
        </w:rPr>
      </w:pPr>
    </w:p>
    <w:p w14:paraId="768BBB5C" w14:textId="258C3791" w:rsidR="00245464" w:rsidRPr="009D64B6" w:rsidRDefault="00245464" w:rsidP="0036291A">
      <w:pPr>
        <w:pStyle w:val="Heading3"/>
        <w:numPr>
          <w:ilvl w:val="2"/>
          <w:numId w:val="36"/>
        </w:numPr>
        <w:tabs>
          <w:tab w:val="left" w:pos="1418"/>
        </w:tabs>
        <w:ind w:left="851" w:hanging="851"/>
      </w:pPr>
      <w:r w:rsidRPr="009D64B6">
        <w:t xml:space="preserve">MRV of </w:t>
      </w:r>
      <w:r w:rsidR="0036291A">
        <w:t>E</w:t>
      </w:r>
      <w:r w:rsidRPr="009D64B6">
        <w:t>missions</w:t>
      </w:r>
    </w:p>
    <w:p w14:paraId="699FA152" w14:textId="77777777" w:rsidR="00245464" w:rsidRPr="00191ACB" w:rsidRDefault="00245464" w:rsidP="000C4FCD">
      <w:pPr>
        <w:spacing w:after="0" w:line="276" w:lineRule="auto"/>
        <w:jc w:val="both"/>
        <w:rPr>
          <w:rFonts w:ascii="Times New Roman" w:eastAsiaTheme="minorEastAsia" w:hAnsi="Times New Roman" w:cs="Times New Roman"/>
          <w:color w:val="000000" w:themeColor="text1"/>
          <w:kern w:val="24"/>
          <w:sz w:val="24"/>
          <w:szCs w:val="24"/>
        </w:rPr>
      </w:pPr>
      <w:r w:rsidRPr="00191ACB">
        <w:rPr>
          <w:rFonts w:ascii="Times New Roman" w:eastAsiaTheme="minorEastAsia" w:hAnsi="Times New Roman" w:cs="Times New Roman"/>
          <w:color w:val="000000" w:themeColor="text1"/>
          <w:kern w:val="24"/>
          <w:sz w:val="24"/>
          <w:szCs w:val="24"/>
        </w:rPr>
        <w:t xml:space="preserve">The MRV of emissions has already been developed and it involved development of tools, guidelines and procedures and may require strengthening of institutional arrangements for GHG management system. However, it should be pointed out the MRV of emissions is at national level and facility level MRV has not been developed yet. </w:t>
      </w:r>
    </w:p>
    <w:p w14:paraId="2BFCC319" w14:textId="77777777" w:rsidR="00245464" w:rsidRPr="00191ACB" w:rsidRDefault="00245464" w:rsidP="005E626A">
      <w:pPr>
        <w:spacing w:after="120" w:line="240" w:lineRule="auto"/>
        <w:rPr>
          <w:rFonts w:ascii="Times New Roman" w:eastAsia="Calibri" w:hAnsi="Times New Roman" w:cs="Times New Roman"/>
          <w:snapToGrid w:val="0"/>
          <w:color w:val="000000" w:themeColor="text1"/>
          <w:sz w:val="24"/>
          <w:szCs w:val="24"/>
        </w:rPr>
      </w:pPr>
    </w:p>
    <w:p w14:paraId="1AD556AC" w14:textId="0D867319" w:rsidR="00245464" w:rsidRPr="0036291A" w:rsidRDefault="00245464" w:rsidP="0036291A">
      <w:pPr>
        <w:pStyle w:val="Heading3"/>
        <w:numPr>
          <w:ilvl w:val="2"/>
          <w:numId w:val="36"/>
        </w:numPr>
        <w:tabs>
          <w:tab w:val="left" w:pos="1418"/>
        </w:tabs>
        <w:ind w:left="851" w:hanging="851"/>
      </w:pPr>
      <w:r w:rsidRPr="0036291A">
        <w:t xml:space="preserve">MRV of </w:t>
      </w:r>
      <w:r w:rsidR="0036291A">
        <w:t>M</w:t>
      </w:r>
      <w:r w:rsidRPr="0036291A">
        <w:t xml:space="preserve">itigation </w:t>
      </w:r>
      <w:r w:rsidR="0036291A">
        <w:t>A</w:t>
      </w:r>
      <w:r w:rsidRPr="0036291A">
        <w:t>ctions</w:t>
      </w:r>
    </w:p>
    <w:p w14:paraId="056ACDFE" w14:textId="77777777" w:rsidR="00245464" w:rsidRPr="00191ACB" w:rsidRDefault="00245464" w:rsidP="000C4FCD">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MRV of mitigation actions is being developed while considering the following elements: </w:t>
      </w:r>
    </w:p>
    <w:p w14:paraId="6D6D4404" w14:textId="77777777" w:rsidR="00245464" w:rsidRPr="00191ACB" w:rsidRDefault="00245464" w:rsidP="000C4FCD">
      <w:pPr>
        <w:numPr>
          <w:ilvl w:val="0"/>
          <w:numId w:val="20"/>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Develop Guidelines and procedures for developing monitoring plans;  </w:t>
      </w:r>
    </w:p>
    <w:p w14:paraId="13D736E1" w14:textId="77777777" w:rsidR="00245464" w:rsidRPr="00191ACB" w:rsidRDefault="00245464" w:rsidP="000C4FCD">
      <w:pPr>
        <w:numPr>
          <w:ilvl w:val="0"/>
          <w:numId w:val="20"/>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Develop procedures for selecting and accrediting independent verifiers;</w:t>
      </w:r>
    </w:p>
    <w:p w14:paraId="42611F18" w14:textId="77777777" w:rsidR="00245464" w:rsidRPr="00191ACB" w:rsidRDefault="00245464" w:rsidP="000C4FCD">
      <w:pPr>
        <w:numPr>
          <w:ilvl w:val="0"/>
          <w:numId w:val="20"/>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Develop verification checklist and audit procedures for verifiers which incorporate gender and social safeguard metrics and process guidelines for verifiers; and</w:t>
      </w:r>
    </w:p>
    <w:p w14:paraId="22F2AEE4" w14:textId="77777777" w:rsidR="00245464" w:rsidRPr="00191ACB" w:rsidRDefault="00245464" w:rsidP="000C4FCD">
      <w:pPr>
        <w:numPr>
          <w:ilvl w:val="0"/>
          <w:numId w:val="20"/>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Equipment for measuring and verifications.</w:t>
      </w:r>
    </w:p>
    <w:p w14:paraId="68DCBB6D" w14:textId="77777777" w:rsidR="00C27BFD" w:rsidRPr="00191ACB" w:rsidRDefault="00C27BFD" w:rsidP="005E626A">
      <w:pPr>
        <w:spacing w:after="120" w:line="240" w:lineRule="auto"/>
        <w:ind w:left="720"/>
        <w:contextualSpacing/>
        <w:jc w:val="both"/>
        <w:rPr>
          <w:rFonts w:ascii="Times New Roman" w:eastAsia="Calibri" w:hAnsi="Times New Roman" w:cs="Times New Roman"/>
          <w:color w:val="000000" w:themeColor="text1"/>
          <w:sz w:val="24"/>
          <w:szCs w:val="24"/>
        </w:rPr>
      </w:pPr>
    </w:p>
    <w:p w14:paraId="532C2C21" w14:textId="0A7C688F" w:rsidR="00245464" w:rsidRPr="0036291A" w:rsidRDefault="00245464" w:rsidP="0036291A">
      <w:pPr>
        <w:pStyle w:val="Heading3"/>
        <w:numPr>
          <w:ilvl w:val="2"/>
          <w:numId w:val="36"/>
        </w:numPr>
        <w:tabs>
          <w:tab w:val="left" w:pos="1418"/>
        </w:tabs>
        <w:ind w:left="851" w:hanging="851"/>
      </w:pPr>
      <w:r w:rsidRPr="0036291A">
        <w:lastRenderedPageBreak/>
        <w:t xml:space="preserve">MRV of </w:t>
      </w:r>
      <w:r w:rsidR="0036291A">
        <w:t>S</w:t>
      </w:r>
      <w:r w:rsidRPr="0036291A">
        <w:t xml:space="preserve">upport </w:t>
      </w:r>
    </w:p>
    <w:p w14:paraId="6DC59877" w14:textId="2BE1EF7F" w:rsidR="00A04D8A" w:rsidRDefault="00245464" w:rsidP="0036291A">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The MRV of support will involve development of tracking mechanism for finance, technology transfer and capacity building. </w:t>
      </w:r>
      <w:bookmarkStart w:id="485" w:name="_Toc19284593"/>
      <w:bookmarkStart w:id="486" w:name="_Toc26264967"/>
      <w:r w:rsidR="00A04D8A" w:rsidRPr="00191ACB">
        <w:rPr>
          <w:rFonts w:ascii="Times New Roman" w:eastAsia="Calibri" w:hAnsi="Times New Roman" w:cs="Times New Roman"/>
          <w:color w:val="000000" w:themeColor="text1"/>
          <w:sz w:val="24"/>
          <w:szCs w:val="24"/>
        </w:rPr>
        <w:t xml:space="preserve">Other systems being developed related to MRV include the National Management Monitoring System under the Ministry of National Development Planning, Energy Management Monitoring System under Ministry of Energy. These systems are aimed at capturing information for measuring performance towards the 7NDP and subsequent national development plans. </w:t>
      </w:r>
    </w:p>
    <w:p w14:paraId="15AD9762" w14:textId="77777777" w:rsidR="0036291A" w:rsidRPr="0036291A" w:rsidRDefault="0036291A" w:rsidP="0036291A">
      <w:pPr>
        <w:spacing w:after="0" w:line="276" w:lineRule="auto"/>
        <w:jc w:val="both"/>
        <w:rPr>
          <w:rFonts w:ascii="Times New Roman" w:eastAsia="Calibri" w:hAnsi="Times New Roman" w:cs="Times New Roman"/>
          <w:color w:val="000000" w:themeColor="text1"/>
          <w:sz w:val="24"/>
          <w:szCs w:val="24"/>
          <w:lang w:val="en-GB"/>
        </w:rPr>
      </w:pPr>
    </w:p>
    <w:p w14:paraId="05B052EF" w14:textId="77777777" w:rsidR="00FE0C9C" w:rsidRPr="00191ACB" w:rsidRDefault="00FE0C9C" w:rsidP="000C4FCD">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For solid waste management, information, statistics and reports would be collected by a Solid Waste Management Company in conjunction with a Local Authority and submitted to the Department of Waste Management in the Ministry of Local Government and Housing. The Ministry of Local Government and Housing as a lead institution under the GHG management system has an information management link with ZEMA.</w:t>
      </w:r>
    </w:p>
    <w:p w14:paraId="3256CB40" w14:textId="77777777" w:rsidR="00F63B3F" w:rsidRPr="00191ACB" w:rsidRDefault="00F63B3F" w:rsidP="005E626A">
      <w:pPr>
        <w:pStyle w:val="Heading2"/>
        <w:spacing w:after="120" w:line="240" w:lineRule="auto"/>
        <w:rPr>
          <w:rFonts w:ascii="Times New Roman" w:eastAsia="Times New Roman" w:hAnsi="Times New Roman" w:cs="Times New Roman"/>
          <w:color w:val="000000" w:themeColor="text1"/>
          <w:sz w:val="24"/>
          <w:szCs w:val="24"/>
        </w:rPr>
      </w:pPr>
    </w:p>
    <w:p w14:paraId="46C02CF1" w14:textId="7667540B" w:rsidR="00245464" w:rsidRPr="00191ACB" w:rsidRDefault="003D4F31" w:rsidP="009D64B6">
      <w:pPr>
        <w:pStyle w:val="Heading2"/>
        <w:numPr>
          <w:ilvl w:val="1"/>
          <w:numId w:val="36"/>
        </w:numPr>
        <w:spacing w:after="120" w:line="240" w:lineRule="auto"/>
        <w:ind w:left="851" w:hanging="851"/>
        <w:rPr>
          <w:rFonts w:ascii="Times New Roman" w:hAnsi="Times New Roman" w:cs="Times New Roman"/>
          <w:b/>
          <w:color w:val="000000" w:themeColor="text1"/>
          <w:sz w:val="24"/>
          <w:szCs w:val="24"/>
        </w:rPr>
      </w:pPr>
      <w:bookmarkStart w:id="487" w:name="_Toc57902885"/>
      <w:r w:rsidRPr="00191ACB">
        <w:rPr>
          <w:rFonts w:ascii="Times New Roman" w:hAnsi="Times New Roman" w:cs="Times New Roman"/>
          <w:b/>
          <w:color w:val="000000" w:themeColor="text1"/>
          <w:sz w:val="24"/>
          <w:szCs w:val="24"/>
        </w:rPr>
        <w:t>MRV SYSTEMS DEVELOPED PRE-PARIS AGREEMENT</w:t>
      </w:r>
      <w:bookmarkEnd w:id="485"/>
      <w:bookmarkEnd w:id="486"/>
      <w:bookmarkEnd w:id="487"/>
      <w:r w:rsidRPr="00191ACB">
        <w:rPr>
          <w:rFonts w:ascii="Times New Roman" w:hAnsi="Times New Roman" w:cs="Times New Roman"/>
          <w:b/>
          <w:color w:val="000000" w:themeColor="text1"/>
          <w:sz w:val="24"/>
          <w:szCs w:val="24"/>
        </w:rPr>
        <w:t xml:space="preserve"> </w:t>
      </w:r>
    </w:p>
    <w:p w14:paraId="748FDA1C" w14:textId="6F7783FE" w:rsidR="00245464" w:rsidRDefault="00245464" w:rsidP="000C4FCD">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Efforts have been undertaken in Zambia to develop MRV related systems pre-Paris Agreement and these included MRV of GHGs, NAMAs and</w:t>
      </w:r>
      <w:r w:rsidR="00C077D3"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REDD+</w:t>
      </w:r>
      <w:r w:rsidR="00C077D3" w:rsidRPr="00191ACB">
        <w:rPr>
          <w:rFonts w:ascii="Times New Roman" w:eastAsia="Calibri" w:hAnsi="Times New Roman" w:cs="Times New Roman"/>
          <w:color w:val="000000" w:themeColor="text1"/>
          <w:sz w:val="24"/>
          <w:szCs w:val="24"/>
        </w:rPr>
        <w:t>. These systems were supported through the Low</w:t>
      </w:r>
      <w:r w:rsidRPr="00191ACB">
        <w:rPr>
          <w:rFonts w:ascii="Times New Roman" w:eastAsia="Calibri" w:hAnsi="Times New Roman" w:cs="Times New Roman"/>
          <w:color w:val="000000" w:themeColor="text1"/>
          <w:sz w:val="24"/>
          <w:szCs w:val="24"/>
        </w:rPr>
        <w:t xml:space="preserve"> </w:t>
      </w:r>
      <w:r w:rsidR="00C077D3" w:rsidRPr="00191ACB">
        <w:rPr>
          <w:rFonts w:ascii="Times New Roman" w:eastAsia="Calibri" w:hAnsi="Times New Roman" w:cs="Times New Roman"/>
          <w:color w:val="000000" w:themeColor="text1"/>
          <w:sz w:val="24"/>
          <w:szCs w:val="24"/>
        </w:rPr>
        <w:t>Emission Capacity Building (LECB) Project.</w:t>
      </w:r>
      <w:r w:rsidRPr="00191ACB">
        <w:rPr>
          <w:rFonts w:ascii="Times New Roman" w:eastAsia="Calibri" w:hAnsi="Times New Roman" w:cs="Times New Roman"/>
          <w:color w:val="000000" w:themeColor="text1"/>
          <w:sz w:val="24"/>
          <w:szCs w:val="24"/>
        </w:rPr>
        <w:t xml:space="preserve"> </w:t>
      </w:r>
      <w:r w:rsidR="0069532C" w:rsidRPr="00191ACB">
        <w:rPr>
          <w:rFonts w:ascii="Times New Roman" w:eastAsia="Calibri" w:hAnsi="Times New Roman" w:cs="Times New Roman"/>
          <w:color w:val="000000" w:themeColor="text1"/>
          <w:sz w:val="24"/>
          <w:szCs w:val="24"/>
        </w:rPr>
        <w:t>T</w:t>
      </w:r>
      <w:r w:rsidR="00C077D3" w:rsidRPr="00191ACB">
        <w:rPr>
          <w:rFonts w:ascii="Times New Roman" w:eastAsia="Calibri" w:hAnsi="Times New Roman" w:cs="Times New Roman"/>
          <w:color w:val="000000" w:themeColor="text1"/>
          <w:sz w:val="24"/>
          <w:szCs w:val="24"/>
        </w:rPr>
        <w:t>here have been efforts to develop MRV systems at sub national level</w:t>
      </w:r>
      <w:r w:rsidR="00C077D3" w:rsidRPr="000C4FCD">
        <w:rPr>
          <w:rFonts w:ascii="Times New Roman" w:eastAsia="Calibri" w:hAnsi="Times New Roman" w:cs="Times New Roman"/>
          <w:color w:val="000000" w:themeColor="text1"/>
          <w:sz w:val="24"/>
          <w:szCs w:val="24"/>
        </w:rPr>
        <w:t xml:space="preserve"> through interventions under the </w:t>
      </w:r>
      <w:r w:rsidRPr="00191ACB">
        <w:rPr>
          <w:rFonts w:ascii="Times New Roman" w:eastAsia="Calibri" w:hAnsi="Times New Roman" w:cs="Times New Roman"/>
          <w:color w:val="000000" w:themeColor="text1"/>
          <w:sz w:val="24"/>
          <w:szCs w:val="24"/>
        </w:rPr>
        <w:t>Community Markets for Conservation (COMACO)</w:t>
      </w:r>
      <w:r w:rsidRPr="000C4FCD">
        <w:rPr>
          <w:rFonts w:ascii="Times New Roman" w:eastAsia="Calibri" w:hAnsi="Times New Roman" w:cs="Times New Roman"/>
          <w:color w:val="000000" w:themeColor="text1"/>
          <w:sz w:val="24"/>
          <w:szCs w:val="24"/>
        </w:rPr>
        <w:footnoteReference w:id="8"/>
      </w:r>
      <w:r w:rsidRPr="00191ACB">
        <w:rPr>
          <w:rFonts w:ascii="Times New Roman" w:eastAsia="Calibri" w:hAnsi="Times New Roman" w:cs="Times New Roman"/>
          <w:color w:val="000000" w:themeColor="text1"/>
          <w:sz w:val="24"/>
          <w:szCs w:val="24"/>
        </w:rPr>
        <w:t xml:space="preserve"> model</w:t>
      </w:r>
      <w:r w:rsidR="0069532C" w:rsidRPr="00191ACB">
        <w:rPr>
          <w:rFonts w:ascii="Times New Roman" w:eastAsia="Calibri" w:hAnsi="Times New Roman" w:cs="Times New Roman"/>
          <w:color w:val="000000" w:themeColor="text1"/>
          <w:sz w:val="24"/>
          <w:szCs w:val="24"/>
        </w:rPr>
        <w:t xml:space="preserve">. The </w:t>
      </w:r>
      <w:r w:rsidRPr="00191ACB">
        <w:rPr>
          <w:rFonts w:ascii="Times New Roman" w:eastAsia="Calibri" w:hAnsi="Times New Roman" w:cs="Times New Roman"/>
          <w:color w:val="000000" w:themeColor="text1"/>
          <w:sz w:val="24"/>
          <w:szCs w:val="24"/>
        </w:rPr>
        <w:t xml:space="preserve">Netherlands Development Organisation (SNV) also practices a model of MRV with </w:t>
      </w:r>
      <w:r w:rsidR="0069532C" w:rsidRPr="0022004A">
        <w:rPr>
          <w:rFonts w:ascii="Times New Roman" w:eastAsia="Calibri" w:hAnsi="Times New Roman" w:cs="Times New Roman"/>
          <w:color w:val="000000" w:themeColor="text1"/>
          <w:sz w:val="24"/>
          <w:szCs w:val="24"/>
        </w:rPr>
        <w:t>participating</w:t>
      </w:r>
      <w:r w:rsidRPr="0022004A">
        <w:rPr>
          <w:rFonts w:ascii="Times New Roman" w:eastAsia="Calibri" w:hAnsi="Times New Roman" w:cs="Times New Roman"/>
          <w:color w:val="000000" w:themeColor="text1"/>
          <w:sz w:val="24"/>
          <w:szCs w:val="24"/>
        </w:rPr>
        <w:t xml:space="preserve"> communit</w:t>
      </w:r>
      <w:r w:rsidR="0069532C" w:rsidRPr="0022004A">
        <w:rPr>
          <w:rFonts w:ascii="Times New Roman" w:eastAsia="Calibri" w:hAnsi="Times New Roman" w:cs="Times New Roman"/>
          <w:color w:val="000000" w:themeColor="text1"/>
          <w:sz w:val="24"/>
          <w:szCs w:val="24"/>
        </w:rPr>
        <w:t>ies</w:t>
      </w:r>
      <w:r w:rsidRPr="0022004A">
        <w:rPr>
          <w:rFonts w:ascii="Times New Roman" w:eastAsia="Calibri" w:hAnsi="Times New Roman" w:cs="Times New Roman"/>
          <w:color w:val="000000" w:themeColor="text1"/>
          <w:sz w:val="24"/>
          <w:szCs w:val="24"/>
        </w:rPr>
        <w:t xml:space="preserve">. </w:t>
      </w:r>
    </w:p>
    <w:p w14:paraId="570F9C3C" w14:textId="77777777" w:rsidR="00650C37" w:rsidRPr="0022004A" w:rsidRDefault="00650C37" w:rsidP="000C4FCD">
      <w:pPr>
        <w:spacing w:after="0" w:line="276" w:lineRule="auto"/>
        <w:jc w:val="both"/>
        <w:rPr>
          <w:rFonts w:ascii="Times New Roman" w:eastAsia="Calibri" w:hAnsi="Times New Roman" w:cs="Times New Roman"/>
          <w:color w:val="000000" w:themeColor="text1"/>
          <w:sz w:val="24"/>
          <w:szCs w:val="24"/>
        </w:rPr>
      </w:pPr>
    </w:p>
    <w:p w14:paraId="69345546" w14:textId="26BB2AD7" w:rsidR="00FE0C9C" w:rsidRPr="000C4FCD" w:rsidRDefault="00650C37" w:rsidP="000C4FCD">
      <w:pPr>
        <w:spacing w:after="0" w:line="276" w:lineRule="auto"/>
        <w:jc w:val="both"/>
        <w:rPr>
          <w:rFonts w:ascii="Times New Roman" w:eastAsia="Calibri" w:hAnsi="Times New Roman" w:cs="Times New Roman"/>
          <w:color w:val="000000" w:themeColor="text1"/>
          <w:sz w:val="24"/>
          <w:szCs w:val="24"/>
        </w:rPr>
      </w:pPr>
      <w:bookmarkStart w:id="488" w:name="_Toc26264972"/>
      <w:r>
        <w:rPr>
          <w:rFonts w:ascii="Times New Roman" w:eastAsia="Calibri" w:hAnsi="Times New Roman" w:cs="Times New Roman"/>
          <w:color w:val="000000" w:themeColor="text1"/>
          <w:sz w:val="24"/>
          <w:szCs w:val="24"/>
        </w:rPr>
        <w:t>In reference</w:t>
      </w:r>
      <w:r w:rsidR="00A04D8A" w:rsidRPr="000C4FCD">
        <w:rPr>
          <w:rFonts w:ascii="Times New Roman" w:eastAsia="Calibri" w:hAnsi="Times New Roman" w:cs="Times New Roman"/>
          <w:color w:val="000000" w:themeColor="text1"/>
          <w:sz w:val="24"/>
          <w:szCs w:val="24"/>
        </w:rPr>
        <w:t xml:space="preserve"> to waste water and solid waste, the system has been developed to track the waste water treatment facilities and effluent standard compliance</w:t>
      </w:r>
      <w:r w:rsidR="00FE0C9C" w:rsidRPr="000C4FCD">
        <w:rPr>
          <w:rFonts w:ascii="Times New Roman" w:eastAsia="Calibri" w:hAnsi="Times New Roman" w:cs="Times New Roman"/>
          <w:color w:val="000000" w:themeColor="text1"/>
          <w:sz w:val="24"/>
          <w:szCs w:val="24"/>
        </w:rPr>
        <w:t xml:space="preserve"> by water utility companies</w:t>
      </w:r>
      <w:r w:rsidR="00A04D8A" w:rsidRPr="000C4FCD">
        <w:rPr>
          <w:rFonts w:ascii="Times New Roman" w:eastAsia="Calibri" w:hAnsi="Times New Roman" w:cs="Times New Roman"/>
          <w:color w:val="000000" w:themeColor="text1"/>
          <w:sz w:val="24"/>
          <w:szCs w:val="24"/>
        </w:rPr>
        <w:t xml:space="preserve"> through</w:t>
      </w:r>
      <w:r w:rsidR="00FE0C9C" w:rsidRPr="000C4FCD">
        <w:rPr>
          <w:rFonts w:ascii="Times New Roman" w:eastAsia="Calibri" w:hAnsi="Times New Roman" w:cs="Times New Roman"/>
          <w:color w:val="000000" w:themeColor="text1"/>
          <w:sz w:val="24"/>
          <w:szCs w:val="24"/>
        </w:rPr>
        <w:t xml:space="preserve"> NWASCO and ZEMA.</w:t>
      </w:r>
      <w:bookmarkEnd w:id="488"/>
      <w:r w:rsidR="00FE0C9C" w:rsidRPr="000C4FCD">
        <w:rPr>
          <w:rFonts w:ascii="Times New Roman" w:eastAsia="Calibri" w:hAnsi="Times New Roman" w:cs="Times New Roman"/>
          <w:color w:val="000000" w:themeColor="text1"/>
          <w:sz w:val="24"/>
          <w:szCs w:val="24"/>
        </w:rPr>
        <w:t xml:space="preserve"> </w:t>
      </w:r>
      <w:r w:rsidR="00245464" w:rsidRPr="000C4FCD">
        <w:rPr>
          <w:rFonts w:ascii="Times New Roman" w:eastAsia="Calibri" w:hAnsi="Times New Roman" w:cs="Times New Roman"/>
          <w:color w:val="000000" w:themeColor="text1"/>
          <w:sz w:val="24"/>
          <w:szCs w:val="24"/>
        </w:rPr>
        <w:t>At both institutions</w:t>
      </w:r>
      <w:r w:rsidR="00FE0C9C" w:rsidRPr="000C4FCD">
        <w:rPr>
          <w:rFonts w:ascii="Times New Roman" w:eastAsia="Calibri" w:hAnsi="Times New Roman" w:cs="Times New Roman"/>
          <w:color w:val="000000" w:themeColor="text1"/>
          <w:sz w:val="24"/>
          <w:szCs w:val="24"/>
        </w:rPr>
        <w:t>,</w:t>
      </w:r>
      <w:r w:rsidR="00245464" w:rsidRPr="000C4FCD">
        <w:rPr>
          <w:rFonts w:ascii="Times New Roman" w:eastAsia="Calibri" w:hAnsi="Times New Roman" w:cs="Times New Roman"/>
          <w:color w:val="000000" w:themeColor="text1"/>
          <w:sz w:val="24"/>
          <w:szCs w:val="24"/>
        </w:rPr>
        <w:t xml:space="preserve"> information is collected which is verified through internal reviews. </w:t>
      </w:r>
    </w:p>
    <w:p w14:paraId="648CDF3F" w14:textId="41B3B470" w:rsidR="00245464" w:rsidRPr="000C4FCD" w:rsidRDefault="00FE0C9C" w:rsidP="000C4FCD">
      <w:pPr>
        <w:spacing w:after="0" w:line="276" w:lineRule="auto"/>
        <w:jc w:val="both"/>
        <w:rPr>
          <w:rFonts w:ascii="Times New Roman" w:eastAsia="Calibri" w:hAnsi="Times New Roman" w:cs="Times New Roman"/>
          <w:color w:val="000000" w:themeColor="text1"/>
          <w:sz w:val="24"/>
          <w:szCs w:val="24"/>
        </w:rPr>
      </w:pPr>
      <w:r w:rsidRPr="000C4FCD">
        <w:rPr>
          <w:rFonts w:ascii="Times New Roman" w:eastAsia="Calibri" w:hAnsi="Times New Roman" w:cs="Times New Roman"/>
          <w:color w:val="000000" w:themeColor="text1"/>
          <w:sz w:val="24"/>
          <w:szCs w:val="24"/>
        </w:rPr>
        <w:t xml:space="preserve">Further, the University of Zambia in collaboration </w:t>
      </w:r>
      <w:r w:rsidR="00245464" w:rsidRPr="000C4FCD">
        <w:rPr>
          <w:rFonts w:ascii="Times New Roman" w:eastAsia="Calibri" w:hAnsi="Times New Roman" w:cs="Times New Roman"/>
          <w:color w:val="000000" w:themeColor="text1"/>
          <w:sz w:val="24"/>
          <w:szCs w:val="24"/>
        </w:rPr>
        <w:t xml:space="preserve">with </w:t>
      </w:r>
      <w:r w:rsidRPr="000C4FCD">
        <w:rPr>
          <w:rFonts w:ascii="Times New Roman" w:eastAsia="Calibri" w:hAnsi="Times New Roman" w:cs="Times New Roman"/>
          <w:color w:val="000000" w:themeColor="text1"/>
          <w:sz w:val="24"/>
          <w:szCs w:val="24"/>
        </w:rPr>
        <w:t>the</w:t>
      </w:r>
      <w:r w:rsidR="00A442DC" w:rsidRPr="000C4FCD">
        <w:rPr>
          <w:rFonts w:ascii="Times New Roman" w:eastAsia="Calibri" w:hAnsi="Times New Roman" w:cs="Times New Roman"/>
          <w:color w:val="000000" w:themeColor="text1"/>
          <w:sz w:val="24"/>
          <w:szCs w:val="24"/>
        </w:rPr>
        <w:t xml:space="preserve"> </w:t>
      </w:r>
      <w:r w:rsidR="00245464" w:rsidRPr="000C4FCD">
        <w:rPr>
          <w:rFonts w:ascii="Times New Roman" w:eastAsia="Calibri" w:hAnsi="Times New Roman" w:cs="Times New Roman"/>
          <w:color w:val="000000" w:themeColor="text1"/>
          <w:sz w:val="24"/>
          <w:szCs w:val="24"/>
        </w:rPr>
        <w:t xml:space="preserve">Chinese Academy of Excellence </w:t>
      </w:r>
      <w:r w:rsidRPr="000C4FCD">
        <w:rPr>
          <w:rFonts w:ascii="Times New Roman" w:eastAsia="Calibri" w:hAnsi="Times New Roman" w:cs="Times New Roman"/>
          <w:color w:val="000000" w:themeColor="text1"/>
          <w:sz w:val="24"/>
          <w:szCs w:val="24"/>
        </w:rPr>
        <w:t>has been</w:t>
      </w:r>
      <w:r w:rsidR="00245464" w:rsidRPr="000C4FCD">
        <w:rPr>
          <w:rFonts w:ascii="Times New Roman" w:eastAsia="Calibri" w:hAnsi="Times New Roman" w:cs="Times New Roman"/>
          <w:color w:val="000000" w:themeColor="text1"/>
          <w:sz w:val="24"/>
          <w:szCs w:val="24"/>
        </w:rPr>
        <w:t xml:space="preserve"> develop</w:t>
      </w:r>
      <w:r w:rsidRPr="000C4FCD">
        <w:rPr>
          <w:rFonts w:ascii="Times New Roman" w:eastAsia="Calibri" w:hAnsi="Times New Roman" w:cs="Times New Roman"/>
          <w:color w:val="000000" w:themeColor="text1"/>
          <w:sz w:val="24"/>
          <w:szCs w:val="24"/>
        </w:rPr>
        <w:t>ing</w:t>
      </w:r>
      <w:r w:rsidR="00245464" w:rsidRPr="000C4FCD">
        <w:rPr>
          <w:rFonts w:ascii="Times New Roman" w:eastAsia="Calibri" w:hAnsi="Times New Roman" w:cs="Times New Roman"/>
          <w:color w:val="000000" w:themeColor="text1"/>
          <w:sz w:val="24"/>
          <w:szCs w:val="24"/>
        </w:rPr>
        <w:t xml:space="preserve"> a mechanism for collecting real time data for crop monitoring through remote sensing to be fully operational in 2021. The data will be used for crop forecasting. The system will provide data on how much land is under cultivation of various types of crops. It will also provide monthly updates on status of any crops. The data is to be shared with the Ministry of Agriculture (Field Services). Field Services staff throughout the country will be trained to use the system to carry out crop forecasting.</w:t>
      </w:r>
    </w:p>
    <w:p w14:paraId="5D1797D9" w14:textId="0DBFD11F" w:rsidR="00245464" w:rsidRPr="00191ACB" w:rsidRDefault="00245464" w:rsidP="000C4FCD">
      <w:pPr>
        <w:spacing w:after="0" w:line="276" w:lineRule="auto"/>
        <w:jc w:val="both"/>
        <w:rPr>
          <w:rFonts w:ascii="Times New Roman" w:eastAsia="Times New Roman" w:hAnsi="Times New Roman" w:cs="Times New Roman"/>
          <w:color w:val="000000" w:themeColor="text1"/>
          <w:sz w:val="24"/>
          <w:szCs w:val="24"/>
          <w:lang w:eastAsia="x-none"/>
        </w:rPr>
      </w:pPr>
      <w:r w:rsidRPr="000C4FCD">
        <w:rPr>
          <w:rFonts w:ascii="Times New Roman" w:eastAsia="Calibri" w:hAnsi="Times New Roman" w:cs="Times New Roman"/>
          <w:color w:val="000000" w:themeColor="text1"/>
          <w:sz w:val="24"/>
          <w:szCs w:val="24"/>
        </w:rPr>
        <w:t>The MLNR and the MNDP have</w:t>
      </w:r>
      <w:r w:rsidR="00240678" w:rsidRPr="000C4FCD">
        <w:rPr>
          <w:rFonts w:ascii="Times New Roman" w:eastAsia="Calibri" w:hAnsi="Times New Roman" w:cs="Times New Roman"/>
          <w:color w:val="000000" w:themeColor="text1"/>
          <w:sz w:val="24"/>
          <w:szCs w:val="24"/>
        </w:rPr>
        <w:t xml:space="preserve"> developed a</w:t>
      </w:r>
      <w:r w:rsidRPr="000C4FCD">
        <w:rPr>
          <w:rFonts w:ascii="Times New Roman" w:eastAsia="Calibri" w:hAnsi="Times New Roman" w:cs="Times New Roman"/>
          <w:color w:val="000000" w:themeColor="text1"/>
          <w:sz w:val="24"/>
          <w:szCs w:val="24"/>
        </w:rPr>
        <w:t xml:space="preserve"> mechanism</w:t>
      </w:r>
      <w:r w:rsidR="00240678" w:rsidRPr="000C4FCD">
        <w:rPr>
          <w:rFonts w:ascii="Times New Roman" w:eastAsia="Calibri" w:hAnsi="Times New Roman" w:cs="Times New Roman"/>
          <w:color w:val="000000" w:themeColor="text1"/>
          <w:sz w:val="24"/>
          <w:szCs w:val="24"/>
        </w:rPr>
        <w:t xml:space="preserve"> (Dashboard)</w:t>
      </w:r>
      <w:r w:rsidRPr="000C4FCD">
        <w:rPr>
          <w:rFonts w:ascii="Times New Roman" w:eastAsia="Calibri" w:hAnsi="Times New Roman" w:cs="Times New Roman"/>
          <w:color w:val="000000" w:themeColor="text1"/>
          <w:sz w:val="24"/>
          <w:szCs w:val="24"/>
        </w:rPr>
        <w:t xml:space="preserve"> to track </w:t>
      </w:r>
      <w:r w:rsidR="00240678" w:rsidRPr="000C4FCD">
        <w:rPr>
          <w:rFonts w:ascii="Times New Roman" w:eastAsia="Calibri" w:hAnsi="Times New Roman" w:cs="Times New Roman"/>
          <w:color w:val="000000" w:themeColor="text1"/>
          <w:sz w:val="24"/>
          <w:szCs w:val="24"/>
        </w:rPr>
        <w:t>support received and actions taken on adaption and mitigation</w:t>
      </w:r>
      <w:r w:rsidRPr="000C4FCD">
        <w:rPr>
          <w:rFonts w:ascii="Times New Roman" w:eastAsia="Calibri" w:hAnsi="Times New Roman" w:cs="Times New Roman"/>
          <w:color w:val="000000" w:themeColor="text1"/>
          <w:sz w:val="24"/>
          <w:szCs w:val="24"/>
        </w:rPr>
        <w:t xml:space="preserve">. The data and information </w:t>
      </w:r>
      <w:r w:rsidR="00240678" w:rsidRPr="000C4FCD">
        <w:rPr>
          <w:rFonts w:ascii="Times New Roman" w:eastAsia="Calibri" w:hAnsi="Times New Roman" w:cs="Times New Roman"/>
          <w:color w:val="000000" w:themeColor="text1"/>
          <w:sz w:val="24"/>
          <w:szCs w:val="24"/>
        </w:rPr>
        <w:t>is</w:t>
      </w:r>
      <w:r w:rsidRPr="000C4FCD">
        <w:rPr>
          <w:rFonts w:ascii="Times New Roman" w:eastAsia="Calibri" w:hAnsi="Times New Roman" w:cs="Times New Roman"/>
          <w:color w:val="000000" w:themeColor="text1"/>
          <w:sz w:val="24"/>
          <w:szCs w:val="24"/>
        </w:rPr>
        <w:t xml:space="preserve"> collected from projects work plans and progress reports that are provided to the Climate Change Technical Committee </w:t>
      </w:r>
      <w:r w:rsidR="00240678" w:rsidRPr="000C4FCD">
        <w:rPr>
          <w:rFonts w:ascii="Times New Roman" w:eastAsia="Calibri" w:hAnsi="Times New Roman" w:cs="Times New Roman"/>
          <w:color w:val="000000" w:themeColor="text1"/>
          <w:sz w:val="24"/>
          <w:szCs w:val="24"/>
        </w:rPr>
        <w:t xml:space="preserve">through </w:t>
      </w:r>
      <w:r w:rsidRPr="000C4FCD">
        <w:rPr>
          <w:rFonts w:ascii="Times New Roman" w:eastAsia="Calibri" w:hAnsi="Times New Roman" w:cs="Times New Roman"/>
          <w:color w:val="000000" w:themeColor="text1"/>
          <w:sz w:val="24"/>
          <w:szCs w:val="24"/>
        </w:rPr>
        <w:t>the Department of Climate Change and Natural Resources</w:t>
      </w:r>
      <w:r w:rsidRPr="00191ACB">
        <w:rPr>
          <w:rFonts w:ascii="Times New Roman" w:eastAsia="Times New Roman" w:hAnsi="Times New Roman" w:cs="Times New Roman"/>
          <w:color w:val="000000" w:themeColor="text1"/>
          <w:sz w:val="24"/>
          <w:szCs w:val="24"/>
          <w:lang w:eastAsia="x-none"/>
        </w:rPr>
        <w:t xml:space="preserve">. </w:t>
      </w:r>
    </w:p>
    <w:p w14:paraId="6F38D5A5" w14:textId="77777777" w:rsidR="00245464" w:rsidRPr="00191ACB" w:rsidRDefault="00245464" w:rsidP="005E626A">
      <w:pPr>
        <w:spacing w:after="120" w:line="240" w:lineRule="auto"/>
        <w:jc w:val="both"/>
        <w:rPr>
          <w:rFonts w:ascii="Times New Roman" w:eastAsia="Times New Roman" w:hAnsi="Times New Roman" w:cs="Times New Roman"/>
          <w:color w:val="000000" w:themeColor="text1"/>
          <w:sz w:val="24"/>
          <w:szCs w:val="24"/>
          <w:lang w:eastAsia="x-none"/>
        </w:rPr>
      </w:pPr>
    </w:p>
    <w:p w14:paraId="7268FD65" w14:textId="5A33ECBF" w:rsidR="00245464" w:rsidRPr="00191ACB" w:rsidRDefault="00245464" w:rsidP="005E626A">
      <w:pPr>
        <w:pStyle w:val="Heading2"/>
        <w:spacing w:after="120" w:line="240" w:lineRule="auto"/>
        <w:rPr>
          <w:rFonts w:ascii="Times New Roman" w:eastAsia="Times New Roman" w:hAnsi="Times New Roman" w:cs="Times New Roman"/>
          <w:b/>
          <w:i/>
          <w:color w:val="000000" w:themeColor="text1"/>
          <w:sz w:val="24"/>
          <w:szCs w:val="24"/>
        </w:rPr>
      </w:pPr>
      <w:bookmarkStart w:id="489" w:name="_Toc26264975"/>
      <w:bookmarkStart w:id="490" w:name="_Toc57902886"/>
      <w:r w:rsidRPr="00191ACB">
        <w:rPr>
          <w:rFonts w:ascii="Times New Roman" w:eastAsia="Times New Roman" w:hAnsi="Times New Roman" w:cs="Times New Roman"/>
          <w:b/>
          <w:color w:val="000000" w:themeColor="text1"/>
          <w:sz w:val="24"/>
          <w:szCs w:val="24"/>
        </w:rPr>
        <w:t>Constraints and gaps on MRV Pre Paris Agreement</w:t>
      </w:r>
      <w:bookmarkEnd w:id="489"/>
      <w:bookmarkEnd w:id="490"/>
    </w:p>
    <w:p w14:paraId="40CDFF9B" w14:textId="2A9B34D2" w:rsidR="00245464" w:rsidRPr="00191ACB" w:rsidRDefault="00245464" w:rsidP="000C4FCD">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MRV systems developed pre-Paris agreement were preliminary and project specific. The</w:t>
      </w:r>
      <w:r w:rsidR="00115AA2" w:rsidRPr="00191ACB">
        <w:rPr>
          <w:rFonts w:ascii="Times New Roman" w:eastAsia="Calibri" w:hAnsi="Times New Roman" w:cs="Times New Roman"/>
          <w:color w:val="000000" w:themeColor="text1"/>
          <w:sz w:val="24"/>
          <w:szCs w:val="24"/>
        </w:rPr>
        <w:t>y</w:t>
      </w:r>
      <w:r w:rsidRPr="00191ACB">
        <w:rPr>
          <w:rFonts w:ascii="Times New Roman" w:eastAsia="Calibri" w:hAnsi="Times New Roman" w:cs="Times New Roman"/>
          <w:color w:val="000000" w:themeColor="text1"/>
          <w:sz w:val="24"/>
          <w:szCs w:val="24"/>
        </w:rPr>
        <w:t xml:space="preserve"> lacked robust mechanism for tracking emissions, mitigation actions, finance, capacity building, and </w:t>
      </w:r>
      <w:r w:rsidRPr="00191ACB">
        <w:rPr>
          <w:rFonts w:ascii="Times New Roman" w:eastAsia="Calibri" w:hAnsi="Times New Roman" w:cs="Times New Roman"/>
          <w:color w:val="000000" w:themeColor="text1"/>
          <w:sz w:val="24"/>
          <w:szCs w:val="24"/>
        </w:rPr>
        <w:lastRenderedPageBreak/>
        <w:t>technology transfer. In addition</w:t>
      </w:r>
      <w:r w:rsidR="00240678"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tools including monitoring plans, guidelines, instructions and audit procedures were lacking. Further, </w:t>
      </w:r>
      <w:r w:rsidR="00B478C0" w:rsidRPr="00191ACB">
        <w:rPr>
          <w:rFonts w:ascii="Times New Roman" w:eastAsia="Calibri" w:hAnsi="Times New Roman" w:cs="Times New Roman"/>
          <w:color w:val="000000" w:themeColor="text1"/>
          <w:sz w:val="24"/>
          <w:szCs w:val="24"/>
        </w:rPr>
        <w:t xml:space="preserve">a </w:t>
      </w:r>
      <w:r w:rsidRPr="00191ACB">
        <w:rPr>
          <w:rFonts w:ascii="Times New Roman" w:eastAsia="Calibri" w:hAnsi="Times New Roman" w:cs="Times New Roman"/>
          <w:color w:val="000000" w:themeColor="text1"/>
          <w:sz w:val="24"/>
          <w:szCs w:val="24"/>
        </w:rPr>
        <w:t>mechanism</w:t>
      </w:r>
      <w:r w:rsidR="00B478C0" w:rsidRPr="00191ACB">
        <w:rPr>
          <w:rFonts w:ascii="Times New Roman" w:eastAsia="Calibri" w:hAnsi="Times New Roman" w:cs="Times New Roman"/>
          <w:color w:val="000000" w:themeColor="text1"/>
          <w:sz w:val="24"/>
          <w:szCs w:val="24"/>
        </w:rPr>
        <w:t xml:space="preserve"> for</w:t>
      </w:r>
      <w:r w:rsidRPr="00191ACB">
        <w:rPr>
          <w:rFonts w:ascii="Times New Roman" w:eastAsia="Calibri" w:hAnsi="Times New Roman" w:cs="Times New Roman"/>
          <w:color w:val="000000" w:themeColor="text1"/>
          <w:sz w:val="24"/>
          <w:szCs w:val="24"/>
        </w:rPr>
        <w:t xml:space="preserve"> accrediting independent verifiers was lacking.</w:t>
      </w:r>
      <w:r w:rsidR="00D238A2" w:rsidRPr="00191ACB">
        <w:rPr>
          <w:rFonts w:ascii="Times New Roman" w:eastAsia="Calibri" w:hAnsi="Times New Roman" w:cs="Times New Roman"/>
          <w:color w:val="000000" w:themeColor="text1"/>
          <w:sz w:val="24"/>
          <w:szCs w:val="24"/>
        </w:rPr>
        <w:t xml:space="preserve"> Con</w:t>
      </w:r>
      <w:r w:rsidR="00240678" w:rsidRPr="00191ACB">
        <w:rPr>
          <w:rFonts w:ascii="Times New Roman" w:eastAsia="Calibri" w:hAnsi="Times New Roman" w:cs="Times New Roman"/>
          <w:color w:val="000000" w:themeColor="text1"/>
          <w:sz w:val="24"/>
          <w:szCs w:val="24"/>
        </w:rPr>
        <w:t>s</w:t>
      </w:r>
      <w:r w:rsidR="00D238A2" w:rsidRPr="00191ACB">
        <w:rPr>
          <w:rFonts w:ascii="Times New Roman" w:eastAsia="Calibri" w:hAnsi="Times New Roman" w:cs="Times New Roman"/>
          <w:color w:val="000000" w:themeColor="text1"/>
          <w:sz w:val="24"/>
          <w:szCs w:val="24"/>
        </w:rPr>
        <w:t xml:space="preserve">traints and gaps </w:t>
      </w:r>
      <w:r w:rsidR="0021349E" w:rsidRPr="00191ACB">
        <w:rPr>
          <w:rFonts w:ascii="Times New Roman" w:eastAsia="Calibri" w:hAnsi="Times New Roman" w:cs="Times New Roman"/>
          <w:color w:val="000000" w:themeColor="text1"/>
          <w:sz w:val="24"/>
          <w:szCs w:val="24"/>
        </w:rPr>
        <w:t xml:space="preserve">for the various aspects of MRV are further </w:t>
      </w:r>
      <w:r w:rsidR="0021349E" w:rsidRPr="003D4F31">
        <w:rPr>
          <w:rFonts w:ascii="Times New Roman" w:eastAsia="Calibri" w:hAnsi="Times New Roman" w:cs="Times New Roman"/>
          <w:color w:val="000000" w:themeColor="text1"/>
          <w:sz w:val="24"/>
          <w:szCs w:val="24"/>
        </w:rPr>
        <w:t xml:space="preserve">elaborated in </w:t>
      </w:r>
      <w:r w:rsidR="003D4F31" w:rsidRPr="003D4F31">
        <w:rPr>
          <w:rFonts w:ascii="Times New Roman" w:eastAsia="Calibri" w:hAnsi="Times New Roman" w:cs="Times New Roman"/>
          <w:color w:val="000000" w:themeColor="text1"/>
          <w:sz w:val="24"/>
          <w:szCs w:val="24"/>
        </w:rPr>
        <w:t>Table 6.2</w:t>
      </w:r>
    </w:p>
    <w:p w14:paraId="7EFB42B5" w14:textId="44ECDF54" w:rsidR="003D4F31" w:rsidRDefault="003D4F31" w:rsidP="00245464">
      <w:pPr>
        <w:jc w:val="both"/>
        <w:rPr>
          <w:rFonts w:ascii="Times New Roman" w:eastAsia="Calibri" w:hAnsi="Times New Roman" w:cs="Times New Roman"/>
          <w:color w:val="000000" w:themeColor="text1"/>
          <w:sz w:val="24"/>
          <w:szCs w:val="24"/>
        </w:rPr>
      </w:pPr>
    </w:p>
    <w:p w14:paraId="4E40784D" w14:textId="1F462040" w:rsidR="003D4F31" w:rsidRDefault="003D4F31" w:rsidP="00245464">
      <w:pPr>
        <w:jc w:val="both"/>
        <w:rPr>
          <w:rFonts w:ascii="Times New Roman" w:eastAsia="Calibri" w:hAnsi="Times New Roman" w:cs="Times New Roman"/>
          <w:color w:val="000000" w:themeColor="text1"/>
          <w:sz w:val="24"/>
          <w:szCs w:val="24"/>
        </w:rPr>
      </w:pPr>
    </w:p>
    <w:p w14:paraId="6050076C" w14:textId="77777777" w:rsidR="003D4F31" w:rsidRDefault="003D4F31" w:rsidP="00245464">
      <w:pPr>
        <w:jc w:val="both"/>
        <w:rPr>
          <w:rFonts w:ascii="Times New Roman" w:eastAsia="Calibri" w:hAnsi="Times New Roman" w:cs="Times New Roman"/>
          <w:color w:val="000000" w:themeColor="text1"/>
          <w:sz w:val="24"/>
          <w:szCs w:val="24"/>
        </w:rPr>
      </w:pPr>
    </w:p>
    <w:p w14:paraId="21A59B1C" w14:textId="23DC7486" w:rsidR="003D4F31" w:rsidRPr="00191ACB" w:rsidRDefault="003D4F31" w:rsidP="003D4F31">
      <w:pPr>
        <w:pStyle w:val="Caption"/>
        <w:rPr>
          <w:rFonts w:eastAsia="Calibri"/>
          <w:color w:val="000000" w:themeColor="text1"/>
          <w:sz w:val="24"/>
          <w:szCs w:val="24"/>
        </w:rPr>
      </w:pPr>
      <w:bookmarkStart w:id="491" w:name="_Toc56583832"/>
      <w:r>
        <w:t xml:space="preserve">Table </w:t>
      </w:r>
      <w:r w:rsidR="00875942">
        <w:fldChar w:fldCharType="begin"/>
      </w:r>
      <w:r w:rsidR="00875942">
        <w:instrText xml:space="preserve"> STYLEREF 1 \s </w:instrText>
      </w:r>
      <w:r w:rsidR="00875942">
        <w:fldChar w:fldCharType="separate"/>
      </w:r>
      <w:r w:rsidR="00875942">
        <w:rPr>
          <w:noProof/>
        </w:rPr>
        <w:t>6</w:t>
      </w:r>
      <w:r w:rsidR="00875942">
        <w:fldChar w:fldCharType="end"/>
      </w:r>
      <w:r w:rsidR="00875942">
        <w:t>.</w:t>
      </w:r>
      <w:r w:rsidR="00875942">
        <w:fldChar w:fldCharType="begin"/>
      </w:r>
      <w:r w:rsidR="00875942">
        <w:instrText xml:space="preserve"> SEQ Table \* ARABIC \s 1 </w:instrText>
      </w:r>
      <w:r w:rsidR="00875942">
        <w:fldChar w:fldCharType="separate"/>
      </w:r>
      <w:r w:rsidR="00875942">
        <w:rPr>
          <w:noProof/>
        </w:rPr>
        <w:t>1</w:t>
      </w:r>
      <w:r w:rsidR="00875942">
        <w:fldChar w:fldCharType="end"/>
      </w:r>
      <w:r>
        <w:t>:</w:t>
      </w:r>
      <w:r w:rsidRPr="003B47B3">
        <w:t>Constraints and gaps identified in various MRV aspects Pre-Paris Agreement</w:t>
      </w:r>
      <w:bookmarkEnd w:id="491"/>
    </w:p>
    <w:tbl>
      <w:tblPr>
        <w:tblStyle w:val="TableGrid"/>
        <w:tblW w:w="0" w:type="auto"/>
        <w:tblLook w:val="04A0" w:firstRow="1" w:lastRow="0" w:firstColumn="1" w:lastColumn="0" w:noHBand="0" w:noVBand="1"/>
      </w:tblPr>
      <w:tblGrid>
        <w:gridCol w:w="355"/>
        <w:gridCol w:w="3060"/>
        <w:gridCol w:w="6180"/>
      </w:tblGrid>
      <w:tr w:rsidR="002B7451" w:rsidRPr="00191ACB" w14:paraId="4FABBE3C" w14:textId="77777777" w:rsidTr="005E626A">
        <w:tc>
          <w:tcPr>
            <w:tcW w:w="355" w:type="dxa"/>
          </w:tcPr>
          <w:p w14:paraId="4DDC0EA5" w14:textId="77777777" w:rsidR="002B7451" w:rsidRPr="00191ACB" w:rsidRDefault="002B7451" w:rsidP="00245464">
            <w:pPr>
              <w:jc w:val="both"/>
              <w:rPr>
                <w:rFonts w:ascii="Times New Roman" w:eastAsia="Calibri" w:hAnsi="Times New Roman" w:cs="Times New Roman"/>
                <w:b/>
                <w:bCs/>
                <w:color w:val="000000" w:themeColor="text1"/>
                <w:sz w:val="24"/>
                <w:szCs w:val="24"/>
              </w:rPr>
            </w:pPr>
          </w:p>
        </w:tc>
        <w:tc>
          <w:tcPr>
            <w:tcW w:w="3060" w:type="dxa"/>
          </w:tcPr>
          <w:p w14:paraId="0E2AAE5B" w14:textId="3A5C2134" w:rsidR="002B7451" w:rsidRPr="00191ACB" w:rsidRDefault="002B7451" w:rsidP="00245464">
            <w:pPr>
              <w:jc w:val="both"/>
              <w:rPr>
                <w:rFonts w:ascii="Times New Roman" w:eastAsia="Calibri" w:hAnsi="Times New Roman" w:cs="Times New Roman"/>
                <w:b/>
                <w:bCs/>
                <w:color w:val="000000" w:themeColor="text1"/>
                <w:sz w:val="24"/>
                <w:szCs w:val="24"/>
              </w:rPr>
            </w:pPr>
            <w:r w:rsidRPr="00191ACB">
              <w:rPr>
                <w:rFonts w:ascii="Times New Roman" w:eastAsia="Calibri" w:hAnsi="Times New Roman" w:cs="Times New Roman"/>
                <w:b/>
                <w:bCs/>
                <w:color w:val="000000" w:themeColor="text1"/>
                <w:sz w:val="24"/>
                <w:szCs w:val="24"/>
              </w:rPr>
              <w:t>Aspect of MRV</w:t>
            </w:r>
          </w:p>
        </w:tc>
        <w:tc>
          <w:tcPr>
            <w:tcW w:w="6180" w:type="dxa"/>
          </w:tcPr>
          <w:p w14:paraId="166F8771" w14:textId="3B8A5500" w:rsidR="002B7451" w:rsidRPr="00191ACB" w:rsidRDefault="002B7451" w:rsidP="00245464">
            <w:pPr>
              <w:jc w:val="both"/>
              <w:rPr>
                <w:rFonts w:ascii="Times New Roman" w:eastAsia="Calibri" w:hAnsi="Times New Roman" w:cs="Times New Roman"/>
                <w:b/>
                <w:bCs/>
                <w:color w:val="000000" w:themeColor="text1"/>
                <w:sz w:val="24"/>
                <w:szCs w:val="24"/>
              </w:rPr>
            </w:pPr>
            <w:r w:rsidRPr="00191ACB">
              <w:rPr>
                <w:rFonts w:ascii="Times New Roman" w:eastAsia="Calibri" w:hAnsi="Times New Roman" w:cs="Times New Roman"/>
                <w:b/>
                <w:bCs/>
                <w:color w:val="000000" w:themeColor="text1"/>
                <w:sz w:val="24"/>
                <w:szCs w:val="24"/>
              </w:rPr>
              <w:t>Constraints and Gaps</w:t>
            </w:r>
          </w:p>
        </w:tc>
      </w:tr>
      <w:tr w:rsidR="002B7451" w:rsidRPr="00191ACB" w14:paraId="20C9E633" w14:textId="77777777" w:rsidTr="005E626A">
        <w:tc>
          <w:tcPr>
            <w:tcW w:w="355" w:type="dxa"/>
          </w:tcPr>
          <w:p w14:paraId="0AADE8E1" w14:textId="43D7A6F7" w:rsidR="002B7451" w:rsidRPr="00191ACB" w:rsidRDefault="002B7451" w:rsidP="00245464">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1</w:t>
            </w:r>
          </w:p>
        </w:tc>
        <w:tc>
          <w:tcPr>
            <w:tcW w:w="3060" w:type="dxa"/>
          </w:tcPr>
          <w:p w14:paraId="4CCBB47D" w14:textId="7EBDF05B" w:rsidR="002B7451" w:rsidRPr="00191ACB" w:rsidRDefault="002B7451" w:rsidP="00245464">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MRV of Emissions</w:t>
            </w:r>
          </w:p>
        </w:tc>
        <w:tc>
          <w:tcPr>
            <w:tcW w:w="6180" w:type="dxa"/>
          </w:tcPr>
          <w:p w14:paraId="16C0C2E4" w14:textId="6745A2C1" w:rsidR="007C7AA5" w:rsidRPr="00191ACB" w:rsidRDefault="007C7AA5" w:rsidP="00E435F6">
            <w:pPr>
              <w:pStyle w:val="ListParagraph"/>
              <w:numPr>
                <w:ilvl w:val="0"/>
                <w:numId w:val="41"/>
              </w:numPr>
              <w:spacing w:line="240" w:lineRule="auto"/>
              <w:ind w:left="429" w:hanging="180"/>
              <w:jc w:val="both"/>
              <w:rPr>
                <w:rFonts w:eastAsia="Calibri"/>
                <w:color w:val="000000" w:themeColor="text1"/>
              </w:rPr>
            </w:pPr>
            <w:r w:rsidRPr="00191ACB">
              <w:rPr>
                <w:rFonts w:eastAsia="Calibri"/>
                <w:color w:val="000000" w:themeColor="text1"/>
              </w:rPr>
              <w:t>Lack of equipment to enable measurements of emissions and move to higher tiers</w:t>
            </w:r>
          </w:p>
          <w:p w14:paraId="3DD7F474" w14:textId="63AD9F2F" w:rsidR="002B7451" w:rsidRPr="00191ACB" w:rsidRDefault="007C7AA5" w:rsidP="00E435F6">
            <w:pPr>
              <w:pStyle w:val="ListParagraph"/>
              <w:numPr>
                <w:ilvl w:val="0"/>
                <w:numId w:val="41"/>
              </w:numPr>
              <w:spacing w:line="240" w:lineRule="auto"/>
              <w:ind w:left="429" w:hanging="180"/>
              <w:jc w:val="both"/>
              <w:rPr>
                <w:rFonts w:eastAsia="Calibri"/>
                <w:color w:val="000000" w:themeColor="text1"/>
              </w:rPr>
            </w:pPr>
            <w:r w:rsidRPr="00191ACB">
              <w:rPr>
                <w:rFonts w:eastAsia="Calibri"/>
                <w:color w:val="000000" w:themeColor="text1"/>
              </w:rPr>
              <w:t>MRV of emissions only developed at national level and not yet developed at facility level</w:t>
            </w:r>
          </w:p>
        </w:tc>
      </w:tr>
      <w:tr w:rsidR="002B7451" w:rsidRPr="00191ACB" w14:paraId="4947FB3E" w14:textId="77777777" w:rsidTr="005E626A">
        <w:tc>
          <w:tcPr>
            <w:tcW w:w="355" w:type="dxa"/>
          </w:tcPr>
          <w:p w14:paraId="7C91071E" w14:textId="432D1FBB" w:rsidR="002B7451" w:rsidRPr="00191ACB" w:rsidRDefault="002B7451" w:rsidP="00245464">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2</w:t>
            </w:r>
          </w:p>
        </w:tc>
        <w:tc>
          <w:tcPr>
            <w:tcW w:w="3060" w:type="dxa"/>
          </w:tcPr>
          <w:p w14:paraId="62CB0CDF" w14:textId="7695488A" w:rsidR="002B7451" w:rsidRPr="00191ACB" w:rsidRDefault="002B7451" w:rsidP="00245464">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MRV of Mitigation</w:t>
            </w:r>
          </w:p>
        </w:tc>
        <w:tc>
          <w:tcPr>
            <w:tcW w:w="6180" w:type="dxa"/>
          </w:tcPr>
          <w:p w14:paraId="1D434E68" w14:textId="37C663B1" w:rsidR="00D238A2" w:rsidRPr="00191ACB" w:rsidRDefault="00D238A2" w:rsidP="00E435F6">
            <w:pPr>
              <w:pStyle w:val="ListParagraph"/>
              <w:numPr>
                <w:ilvl w:val="0"/>
                <w:numId w:val="40"/>
              </w:numPr>
              <w:spacing w:line="240" w:lineRule="auto"/>
              <w:ind w:left="429" w:hanging="180"/>
              <w:jc w:val="both"/>
              <w:rPr>
                <w:rFonts w:eastAsia="Calibri"/>
                <w:color w:val="000000" w:themeColor="text1"/>
              </w:rPr>
            </w:pPr>
            <w:r w:rsidRPr="00191ACB">
              <w:rPr>
                <w:rFonts w:eastAsia="Calibri"/>
                <w:color w:val="000000" w:themeColor="text1"/>
              </w:rPr>
              <w:t>Lack of national framework for Measuring Reporting and Verification, and limited capacity within the country to undertake mitigation analysis</w:t>
            </w:r>
          </w:p>
          <w:p w14:paraId="349D260D" w14:textId="78A2EBF7" w:rsidR="00454E75" w:rsidRPr="00191ACB" w:rsidRDefault="00454E75" w:rsidP="00E435F6">
            <w:pPr>
              <w:pStyle w:val="ListParagraph"/>
              <w:numPr>
                <w:ilvl w:val="0"/>
                <w:numId w:val="40"/>
              </w:numPr>
              <w:spacing w:line="240" w:lineRule="auto"/>
              <w:ind w:left="429" w:hanging="180"/>
              <w:jc w:val="both"/>
              <w:rPr>
                <w:rFonts w:eastAsia="Calibri"/>
                <w:color w:val="000000" w:themeColor="text1"/>
              </w:rPr>
            </w:pPr>
            <w:r w:rsidRPr="00191ACB">
              <w:rPr>
                <w:rFonts w:eastAsia="Calibri"/>
                <w:color w:val="000000" w:themeColor="text1"/>
              </w:rPr>
              <w:t>Lack of procedures, guidelines, instructions linking community MRV systems to Government systems</w:t>
            </w:r>
          </w:p>
          <w:p w14:paraId="22B9B456" w14:textId="49F77054" w:rsidR="002B7451" w:rsidRPr="00191ACB" w:rsidRDefault="00454E75" w:rsidP="00E435F6">
            <w:pPr>
              <w:pStyle w:val="ListParagraph"/>
              <w:numPr>
                <w:ilvl w:val="0"/>
                <w:numId w:val="40"/>
              </w:numPr>
              <w:spacing w:line="240" w:lineRule="auto"/>
              <w:ind w:left="429" w:hanging="180"/>
              <w:jc w:val="both"/>
              <w:rPr>
                <w:rFonts w:eastAsia="Calibri"/>
                <w:color w:val="000000" w:themeColor="text1"/>
              </w:rPr>
            </w:pPr>
            <w:r w:rsidRPr="00191ACB">
              <w:rPr>
                <w:rFonts w:eastAsia="Calibri"/>
                <w:color w:val="000000" w:themeColor="text1"/>
              </w:rPr>
              <w:t>Lack of specific indicators to be used for reporting of mitigation projects</w:t>
            </w:r>
          </w:p>
        </w:tc>
      </w:tr>
      <w:tr w:rsidR="002B7451" w:rsidRPr="00191ACB" w14:paraId="0B5DEA81" w14:textId="77777777" w:rsidTr="005E626A">
        <w:tc>
          <w:tcPr>
            <w:tcW w:w="355" w:type="dxa"/>
          </w:tcPr>
          <w:p w14:paraId="697E559C" w14:textId="35272625" w:rsidR="002B7451" w:rsidRPr="00191ACB" w:rsidRDefault="002B7451" w:rsidP="00245464">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3</w:t>
            </w:r>
          </w:p>
        </w:tc>
        <w:tc>
          <w:tcPr>
            <w:tcW w:w="3060" w:type="dxa"/>
          </w:tcPr>
          <w:p w14:paraId="2EA72494" w14:textId="3E1B7E52" w:rsidR="002B7451" w:rsidRPr="00191ACB" w:rsidRDefault="002B7451" w:rsidP="00245464">
            <w:pPr>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MRV of </w:t>
            </w:r>
            <w:r w:rsidR="00D075F7" w:rsidRPr="00191ACB">
              <w:rPr>
                <w:rFonts w:ascii="Times New Roman" w:eastAsia="Calibri" w:hAnsi="Times New Roman" w:cs="Times New Roman"/>
                <w:color w:val="000000" w:themeColor="text1"/>
                <w:sz w:val="24"/>
                <w:szCs w:val="24"/>
              </w:rPr>
              <w:t>S</w:t>
            </w:r>
            <w:r w:rsidRPr="00191ACB">
              <w:rPr>
                <w:rFonts w:ascii="Times New Roman" w:eastAsia="Calibri" w:hAnsi="Times New Roman" w:cs="Times New Roman"/>
                <w:color w:val="000000" w:themeColor="text1"/>
                <w:sz w:val="24"/>
                <w:szCs w:val="24"/>
              </w:rPr>
              <w:t>upport</w:t>
            </w:r>
          </w:p>
        </w:tc>
        <w:tc>
          <w:tcPr>
            <w:tcW w:w="6180" w:type="dxa"/>
          </w:tcPr>
          <w:p w14:paraId="08FA1357" w14:textId="6C14592A" w:rsidR="00454E75" w:rsidRPr="00191ACB" w:rsidRDefault="00454E75" w:rsidP="00E435F6">
            <w:pPr>
              <w:pStyle w:val="ListParagraph"/>
              <w:numPr>
                <w:ilvl w:val="0"/>
                <w:numId w:val="39"/>
              </w:numPr>
              <w:spacing w:line="240" w:lineRule="auto"/>
              <w:ind w:left="429" w:hanging="180"/>
              <w:jc w:val="both"/>
              <w:rPr>
                <w:rFonts w:eastAsia="Calibri"/>
                <w:color w:val="000000" w:themeColor="text1"/>
              </w:rPr>
            </w:pPr>
            <w:r w:rsidRPr="00191ACB">
              <w:rPr>
                <w:rFonts w:eastAsia="Calibri"/>
                <w:color w:val="000000" w:themeColor="text1"/>
              </w:rPr>
              <w:t xml:space="preserve">Lack of </w:t>
            </w:r>
            <w:r w:rsidR="00D075F7" w:rsidRPr="00191ACB">
              <w:rPr>
                <w:rFonts w:eastAsia="Calibri"/>
                <w:color w:val="000000" w:themeColor="text1"/>
              </w:rPr>
              <w:t xml:space="preserve">tools including monitoring plans, guidelines, instructions and audit procedures </w:t>
            </w:r>
          </w:p>
          <w:p w14:paraId="7DD7D548" w14:textId="77777777" w:rsidR="00D238A2" w:rsidRPr="00191ACB" w:rsidRDefault="00454E75" w:rsidP="00E435F6">
            <w:pPr>
              <w:pStyle w:val="ListParagraph"/>
              <w:numPr>
                <w:ilvl w:val="0"/>
                <w:numId w:val="39"/>
              </w:numPr>
              <w:spacing w:line="240" w:lineRule="auto"/>
              <w:ind w:left="429" w:hanging="180"/>
              <w:jc w:val="both"/>
            </w:pPr>
            <w:r w:rsidRPr="00191ACB">
              <w:rPr>
                <w:rFonts w:eastAsia="Calibri"/>
                <w:color w:val="000000" w:themeColor="text1"/>
              </w:rPr>
              <w:t xml:space="preserve">Lack of </w:t>
            </w:r>
            <w:r w:rsidR="00D075F7" w:rsidRPr="00191ACB">
              <w:rPr>
                <w:rFonts w:eastAsia="Calibri"/>
                <w:color w:val="000000" w:themeColor="text1"/>
              </w:rPr>
              <w:t>mechanism accrediting independent verifiers</w:t>
            </w:r>
            <w:r w:rsidR="00D238A2" w:rsidRPr="00191ACB">
              <w:t xml:space="preserve"> </w:t>
            </w:r>
          </w:p>
          <w:p w14:paraId="5D33129D" w14:textId="4C32F68F" w:rsidR="00D238A2" w:rsidRPr="00191ACB" w:rsidRDefault="00D238A2" w:rsidP="00E435F6">
            <w:pPr>
              <w:pStyle w:val="ListParagraph"/>
              <w:numPr>
                <w:ilvl w:val="0"/>
                <w:numId w:val="39"/>
              </w:numPr>
              <w:spacing w:line="240" w:lineRule="auto"/>
              <w:ind w:left="429" w:hanging="180"/>
              <w:jc w:val="both"/>
              <w:rPr>
                <w:rFonts w:eastAsia="Calibri"/>
                <w:color w:val="000000" w:themeColor="text1"/>
              </w:rPr>
            </w:pPr>
            <w:r w:rsidRPr="00191ACB">
              <w:rPr>
                <w:rFonts w:eastAsia="Calibri"/>
                <w:color w:val="000000" w:themeColor="text1"/>
              </w:rPr>
              <w:t>limited capacity in preparation of bankable proposals such as Project Design Documents (PDD)</w:t>
            </w:r>
          </w:p>
        </w:tc>
      </w:tr>
    </w:tbl>
    <w:p w14:paraId="1CF0D75E" w14:textId="793B6FF1" w:rsidR="009D64B6" w:rsidRDefault="009D64B6" w:rsidP="00245464">
      <w:pPr>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br w:type="page"/>
      </w:r>
    </w:p>
    <w:p w14:paraId="7842776B" w14:textId="77777777" w:rsidR="00B33B6F" w:rsidRPr="00191ACB" w:rsidRDefault="00B33B6F" w:rsidP="00245464">
      <w:pPr>
        <w:jc w:val="both"/>
        <w:rPr>
          <w:rFonts w:ascii="Times New Roman" w:eastAsia="Calibri" w:hAnsi="Times New Roman" w:cs="Times New Roman"/>
          <w:color w:val="000000" w:themeColor="text1"/>
          <w:sz w:val="24"/>
          <w:szCs w:val="24"/>
        </w:rPr>
      </w:pPr>
    </w:p>
    <w:p w14:paraId="7A0F65DE" w14:textId="28EC4247" w:rsidR="00B33B6F" w:rsidRDefault="00B33B6F" w:rsidP="009D64B6">
      <w:pPr>
        <w:pStyle w:val="Heading1"/>
        <w:numPr>
          <w:ilvl w:val="0"/>
          <w:numId w:val="36"/>
        </w:numPr>
        <w:ind w:left="851" w:hanging="851"/>
        <w:rPr>
          <w:rFonts w:ascii="Times New Roman" w:hAnsi="Times New Roman" w:cs="Times New Roman"/>
          <w:b/>
          <w:bCs/>
          <w:color w:val="auto"/>
          <w:sz w:val="24"/>
          <w:szCs w:val="24"/>
        </w:rPr>
      </w:pPr>
      <w:bookmarkStart w:id="492" w:name="_Toc57902887"/>
      <w:r w:rsidRPr="000C4FCD">
        <w:rPr>
          <w:rFonts w:ascii="Times New Roman" w:hAnsi="Times New Roman" w:cs="Times New Roman"/>
          <w:b/>
          <w:bCs/>
          <w:color w:val="auto"/>
          <w:sz w:val="24"/>
          <w:szCs w:val="24"/>
        </w:rPr>
        <w:t>CAPACITY, FINANCIAL AND TECHNOLOGY NEEDS</w:t>
      </w:r>
      <w:bookmarkEnd w:id="492"/>
      <w:r w:rsidRPr="000C4FCD">
        <w:rPr>
          <w:rFonts w:ascii="Times New Roman" w:hAnsi="Times New Roman" w:cs="Times New Roman"/>
          <w:b/>
          <w:bCs/>
          <w:color w:val="auto"/>
          <w:sz w:val="24"/>
          <w:szCs w:val="24"/>
        </w:rPr>
        <w:t xml:space="preserve"> </w:t>
      </w:r>
    </w:p>
    <w:p w14:paraId="0AB761C2" w14:textId="77777777" w:rsidR="009D64B6" w:rsidRPr="009D64B6" w:rsidRDefault="009D64B6" w:rsidP="009D64B6"/>
    <w:p w14:paraId="3BC3EAFD" w14:textId="0FFE031A" w:rsidR="00B33B6F" w:rsidRPr="000C4FCD" w:rsidRDefault="003D4F31" w:rsidP="009D64B6">
      <w:pPr>
        <w:pStyle w:val="Heading2"/>
        <w:numPr>
          <w:ilvl w:val="1"/>
          <w:numId w:val="36"/>
        </w:numPr>
        <w:ind w:left="851" w:hanging="851"/>
        <w:rPr>
          <w:rFonts w:ascii="Times New Roman" w:eastAsia="Times New Roman" w:hAnsi="Times New Roman" w:cs="Times New Roman"/>
          <w:b/>
          <w:color w:val="auto"/>
          <w:sz w:val="24"/>
          <w:szCs w:val="24"/>
        </w:rPr>
      </w:pPr>
      <w:bookmarkStart w:id="493" w:name="_Toc57902888"/>
      <w:r w:rsidRPr="000C4FCD">
        <w:rPr>
          <w:rFonts w:ascii="Times New Roman" w:eastAsia="Times New Roman" w:hAnsi="Times New Roman" w:cs="Times New Roman"/>
          <w:b/>
          <w:color w:val="auto"/>
          <w:sz w:val="24"/>
          <w:szCs w:val="24"/>
        </w:rPr>
        <w:t>FINANCIAL NEEDS AND SUPPORT RECEIVED</w:t>
      </w:r>
      <w:bookmarkEnd w:id="493"/>
    </w:p>
    <w:p w14:paraId="01F9112F" w14:textId="77777777" w:rsidR="000F3EEB" w:rsidRPr="00191ACB" w:rsidRDefault="000F3EEB" w:rsidP="000F3EEB">
      <w:pPr>
        <w:pBdr>
          <w:top w:val="nil"/>
          <w:left w:val="nil"/>
          <w:bottom w:val="nil"/>
          <w:right w:val="nil"/>
          <w:between w:val="nil"/>
        </w:pBdr>
        <w:spacing w:after="0" w:line="276" w:lineRule="auto"/>
        <w:rPr>
          <w:rFonts w:ascii="Times New Roman" w:hAnsi="Times New Roman" w:cs="Times New Roman"/>
          <w:color w:val="000000"/>
          <w:sz w:val="24"/>
          <w:szCs w:val="24"/>
        </w:rPr>
      </w:pPr>
    </w:p>
    <w:p w14:paraId="661AB0C4" w14:textId="2E74504F" w:rsidR="00B33B6F" w:rsidRPr="00191ACB" w:rsidRDefault="00B33B6F" w:rsidP="002E2B09">
      <w:pPr>
        <w:pStyle w:val="Heading3"/>
        <w:numPr>
          <w:ilvl w:val="2"/>
          <w:numId w:val="36"/>
        </w:numPr>
        <w:ind w:left="851" w:hanging="851"/>
        <w:rPr>
          <w:rFonts w:eastAsia="Times New Roman" w:cs="Times New Roman"/>
          <w:color w:val="000000" w:themeColor="text1"/>
          <w:szCs w:val="24"/>
        </w:rPr>
      </w:pPr>
      <w:bookmarkStart w:id="494" w:name="_Toc57902889"/>
      <w:r w:rsidRPr="002E2B09">
        <w:rPr>
          <w:rStyle w:val="Heading3Char"/>
          <w:b/>
          <w:bCs/>
          <w:color w:val="auto"/>
        </w:rPr>
        <w:t xml:space="preserve">Financial </w:t>
      </w:r>
      <w:r w:rsidR="003D4F31" w:rsidRPr="002E2B09">
        <w:rPr>
          <w:rStyle w:val="Heading3Char"/>
          <w:b/>
          <w:bCs/>
          <w:color w:val="auto"/>
        </w:rPr>
        <w:t>Needs</w:t>
      </w:r>
      <w:bookmarkEnd w:id="494"/>
    </w:p>
    <w:p w14:paraId="7214BF3C" w14:textId="68C557A2" w:rsidR="00B33B6F" w:rsidRDefault="00B33B6F" w:rsidP="00AB731A">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Zambia submitted an ambitious NDC with a conditional pledge of reducing GHG emissions by 25</w:t>
      </w:r>
      <w:r w:rsidR="004B4382"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in 2030 against a base year of 2010 with limited international support or by 47</w:t>
      </w:r>
      <w:r w:rsidR="004B4382" w:rsidRPr="00191ACB">
        <w:rPr>
          <w:rFonts w:ascii="Times New Roman" w:eastAsia="Calibri" w:hAnsi="Times New Roman" w:cs="Times New Roman"/>
          <w:color w:val="000000" w:themeColor="text1"/>
          <w:sz w:val="24"/>
          <w:szCs w:val="24"/>
        </w:rPr>
        <w:t xml:space="preserve"> percent</w:t>
      </w:r>
      <w:r w:rsidRPr="00191ACB">
        <w:rPr>
          <w:rFonts w:ascii="Times New Roman" w:eastAsia="Calibri" w:hAnsi="Times New Roman" w:cs="Times New Roman"/>
          <w:color w:val="000000" w:themeColor="text1"/>
          <w:sz w:val="24"/>
          <w:szCs w:val="24"/>
        </w:rPr>
        <w:t xml:space="preserve"> with substantial international support. </w:t>
      </w:r>
      <w:r w:rsidR="000F3EEB" w:rsidRPr="00191ACB">
        <w:rPr>
          <w:rFonts w:ascii="Times New Roman" w:eastAsia="Calibri" w:hAnsi="Times New Roman" w:cs="Times New Roman"/>
          <w:color w:val="000000" w:themeColor="text1"/>
          <w:sz w:val="24"/>
          <w:szCs w:val="24"/>
        </w:rPr>
        <w:t xml:space="preserve">Implementation of </w:t>
      </w:r>
      <w:r w:rsidRPr="00191ACB">
        <w:rPr>
          <w:rFonts w:ascii="Times New Roman" w:eastAsia="Calibri" w:hAnsi="Times New Roman" w:cs="Times New Roman"/>
          <w:color w:val="000000" w:themeColor="text1"/>
          <w:sz w:val="24"/>
          <w:szCs w:val="24"/>
        </w:rPr>
        <w:t>Zambia’s NDC</w:t>
      </w:r>
      <w:r w:rsidR="002050E6" w:rsidRPr="00191ACB">
        <w:rPr>
          <w:rFonts w:ascii="Times New Roman" w:eastAsia="Calibri" w:hAnsi="Times New Roman" w:cs="Times New Roman"/>
          <w:color w:val="000000" w:themeColor="text1"/>
          <w:sz w:val="24"/>
          <w:szCs w:val="24"/>
        </w:rPr>
        <w:t xml:space="preserve"> requires</w:t>
      </w:r>
      <w:r w:rsidRPr="00191ACB">
        <w:rPr>
          <w:rFonts w:ascii="Times New Roman" w:eastAsia="Calibri" w:hAnsi="Times New Roman" w:cs="Times New Roman"/>
          <w:color w:val="000000" w:themeColor="text1"/>
          <w:sz w:val="24"/>
          <w:szCs w:val="24"/>
        </w:rPr>
        <w:t xml:space="preserve"> both domestic and international support</w:t>
      </w:r>
      <w:r w:rsidR="002050E6" w:rsidRPr="00191ACB">
        <w:rPr>
          <w:rFonts w:ascii="Times New Roman" w:eastAsia="Calibri" w:hAnsi="Times New Roman" w:cs="Times New Roman"/>
          <w:color w:val="000000" w:themeColor="text1"/>
          <w:sz w:val="24"/>
          <w:szCs w:val="24"/>
        </w:rPr>
        <w:t xml:space="preserve"> estimated at </w:t>
      </w:r>
      <w:r w:rsidRPr="00191ACB">
        <w:rPr>
          <w:rFonts w:ascii="Times New Roman" w:eastAsia="Calibri" w:hAnsi="Times New Roman" w:cs="Times New Roman"/>
          <w:color w:val="000000" w:themeColor="text1"/>
          <w:sz w:val="24"/>
          <w:szCs w:val="24"/>
        </w:rPr>
        <w:t>USD 50 billion (</w:t>
      </w:r>
      <w:r w:rsidR="002050E6" w:rsidRPr="00191ACB">
        <w:rPr>
          <w:rFonts w:ascii="Times New Roman" w:eastAsia="Calibri" w:hAnsi="Times New Roman" w:cs="Times New Roman"/>
          <w:color w:val="000000" w:themeColor="text1"/>
          <w:sz w:val="24"/>
          <w:szCs w:val="24"/>
        </w:rPr>
        <w:t>GRZ</w:t>
      </w:r>
      <w:r w:rsidRPr="00191ACB">
        <w:rPr>
          <w:rFonts w:ascii="Times New Roman" w:eastAsia="Calibri" w:hAnsi="Times New Roman" w:cs="Times New Roman"/>
          <w:color w:val="000000" w:themeColor="text1"/>
          <w:sz w:val="24"/>
          <w:szCs w:val="24"/>
        </w:rPr>
        <w:t>, 2016).</w:t>
      </w:r>
      <w:r w:rsidR="002050E6" w:rsidRPr="00191ACB">
        <w:rPr>
          <w:rFonts w:ascii="Times New Roman" w:eastAsia="Calibri" w:hAnsi="Times New Roman" w:cs="Times New Roman"/>
          <w:color w:val="000000" w:themeColor="text1"/>
          <w:sz w:val="24"/>
          <w:szCs w:val="24"/>
        </w:rPr>
        <w:t xml:space="preserve"> </w:t>
      </w:r>
      <w:r w:rsidR="0056573E" w:rsidRPr="00191ACB">
        <w:rPr>
          <w:rFonts w:ascii="Times New Roman" w:eastAsia="Calibri" w:hAnsi="Times New Roman" w:cs="Times New Roman"/>
          <w:color w:val="000000" w:themeColor="text1"/>
          <w:sz w:val="24"/>
          <w:szCs w:val="24"/>
        </w:rPr>
        <w:t>T</w:t>
      </w:r>
      <w:r w:rsidR="002050E6" w:rsidRPr="00191ACB">
        <w:rPr>
          <w:rFonts w:ascii="Times New Roman" w:eastAsia="Calibri" w:hAnsi="Times New Roman" w:cs="Times New Roman"/>
          <w:color w:val="000000" w:themeColor="text1"/>
          <w:sz w:val="24"/>
          <w:szCs w:val="24"/>
        </w:rPr>
        <w:t xml:space="preserve">he country </w:t>
      </w:r>
      <w:r w:rsidR="0056573E" w:rsidRPr="00191ACB">
        <w:rPr>
          <w:rFonts w:ascii="Times New Roman" w:eastAsia="Calibri" w:hAnsi="Times New Roman" w:cs="Times New Roman"/>
          <w:color w:val="000000" w:themeColor="text1"/>
          <w:sz w:val="24"/>
          <w:szCs w:val="24"/>
        </w:rPr>
        <w:t xml:space="preserve">has developed a “National Investment Plan to Reduce Deforestation and Forest Degradation (2018-2022) which will require </w:t>
      </w:r>
      <w:r w:rsidR="002050E6" w:rsidRPr="00191ACB">
        <w:rPr>
          <w:rFonts w:ascii="Times New Roman" w:eastAsia="Calibri" w:hAnsi="Times New Roman" w:cs="Times New Roman"/>
          <w:color w:val="000000" w:themeColor="text1"/>
          <w:sz w:val="24"/>
          <w:szCs w:val="24"/>
        </w:rPr>
        <w:t>US$404.67 million</w:t>
      </w:r>
      <w:r w:rsidR="0056573E" w:rsidRPr="00191ACB">
        <w:rPr>
          <w:rFonts w:ascii="Times New Roman" w:eastAsia="Calibri" w:hAnsi="Times New Roman" w:cs="Times New Roman"/>
          <w:color w:val="000000" w:themeColor="text1"/>
          <w:sz w:val="24"/>
          <w:szCs w:val="24"/>
        </w:rPr>
        <w:t xml:space="preserve"> to be implemented.</w:t>
      </w:r>
      <w:r w:rsidRPr="00191ACB">
        <w:rPr>
          <w:rFonts w:ascii="Times New Roman" w:eastAsia="Calibri" w:hAnsi="Times New Roman" w:cs="Times New Roman"/>
          <w:color w:val="000000" w:themeColor="text1"/>
          <w:sz w:val="24"/>
          <w:szCs w:val="24"/>
        </w:rPr>
        <w:t xml:space="preserve"> The Investment Plan aspires to reduce emissions from land use change by 30% (</w:t>
      </w:r>
      <w:r w:rsidR="0056573E" w:rsidRPr="00191ACB">
        <w:rPr>
          <w:rFonts w:ascii="Times New Roman" w:eastAsia="Calibri" w:hAnsi="Times New Roman" w:cs="Times New Roman"/>
          <w:color w:val="000000" w:themeColor="text1"/>
          <w:sz w:val="24"/>
          <w:szCs w:val="24"/>
        </w:rPr>
        <w:t>GRZ</w:t>
      </w:r>
      <w:r w:rsidRPr="00191ACB">
        <w:rPr>
          <w:rFonts w:ascii="Times New Roman" w:eastAsia="Calibri" w:hAnsi="Times New Roman" w:cs="Times New Roman"/>
          <w:color w:val="000000" w:themeColor="text1"/>
          <w:sz w:val="24"/>
          <w:szCs w:val="24"/>
        </w:rPr>
        <w:t>, 2018).</w:t>
      </w:r>
      <w:r w:rsidRPr="00191ACB">
        <w:rPr>
          <w:rFonts w:ascii="Times New Roman" w:eastAsia="Calibri" w:hAnsi="Times New Roman" w:cs="Times New Roman"/>
          <w:color w:val="000000" w:themeColor="text1"/>
          <w:sz w:val="24"/>
          <w:szCs w:val="24"/>
          <w:vertAlign w:val="superscript"/>
        </w:rPr>
        <w:footnoteReference w:id="9"/>
      </w:r>
    </w:p>
    <w:p w14:paraId="75BFD038" w14:textId="77777777" w:rsidR="002E2B09" w:rsidRPr="00191ACB" w:rsidRDefault="002E2B09" w:rsidP="00AB731A">
      <w:pPr>
        <w:spacing w:after="0" w:line="276" w:lineRule="auto"/>
        <w:jc w:val="both"/>
        <w:rPr>
          <w:rFonts w:ascii="Times New Roman" w:eastAsia="Calibri" w:hAnsi="Times New Roman" w:cs="Times New Roman"/>
          <w:color w:val="000000" w:themeColor="text1"/>
          <w:sz w:val="24"/>
          <w:szCs w:val="24"/>
        </w:rPr>
      </w:pPr>
    </w:p>
    <w:p w14:paraId="19D47122" w14:textId="1D4DD558" w:rsidR="00B33B6F" w:rsidRPr="002E2B09" w:rsidRDefault="00B33B6F" w:rsidP="002E2B09">
      <w:pPr>
        <w:pStyle w:val="Heading3"/>
        <w:numPr>
          <w:ilvl w:val="2"/>
          <w:numId w:val="36"/>
        </w:numPr>
        <w:ind w:left="851" w:hanging="851"/>
        <w:rPr>
          <w:rStyle w:val="Heading3Char"/>
          <w:b/>
          <w:bCs/>
          <w:color w:val="auto"/>
        </w:rPr>
      </w:pPr>
      <w:bookmarkStart w:id="495" w:name="_Toc57902890"/>
      <w:r w:rsidRPr="002E2B09">
        <w:rPr>
          <w:rStyle w:val="Heading3Char"/>
          <w:b/>
          <w:bCs/>
          <w:color w:val="auto"/>
        </w:rPr>
        <w:t>Financial Support Received</w:t>
      </w:r>
      <w:bookmarkEnd w:id="495"/>
    </w:p>
    <w:p w14:paraId="61F0F6F6" w14:textId="2684F0F8" w:rsidR="003B122D" w:rsidRPr="00191ACB" w:rsidRDefault="003B122D" w:rsidP="00AB731A">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Zambia continues to propose and leverage opportunities on climate financing from bilateral, multilateral and other sources. The government received financial support from GEF amounting to </w:t>
      </w:r>
      <w:r w:rsidRPr="00CE24DD">
        <w:rPr>
          <w:rFonts w:ascii="Times New Roman" w:eastAsia="Calibri" w:hAnsi="Times New Roman" w:cs="Times New Roman"/>
          <w:color w:val="000000" w:themeColor="text1"/>
          <w:sz w:val="24"/>
          <w:szCs w:val="24"/>
        </w:rPr>
        <w:t xml:space="preserve">USD 342,000 for the preparation of the BUR. In addition, government also contributed USD </w:t>
      </w:r>
      <w:r w:rsidR="00CE24DD" w:rsidRPr="00CE24DD">
        <w:rPr>
          <w:rFonts w:ascii="Times New Roman" w:eastAsia="Calibri" w:hAnsi="Times New Roman" w:cs="Times New Roman"/>
          <w:color w:val="000000" w:themeColor="text1"/>
          <w:sz w:val="24"/>
          <w:szCs w:val="24"/>
        </w:rPr>
        <w:t>33,440</w:t>
      </w:r>
      <w:r w:rsidRPr="00CE24DD">
        <w:rPr>
          <w:rFonts w:ascii="Times New Roman" w:eastAsia="Calibri" w:hAnsi="Times New Roman" w:cs="Times New Roman"/>
          <w:color w:val="000000" w:themeColor="text1"/>
          <w:sz w:val="24"/>
          <w:szCs w:val="24"/>
        </w:rPr>
        <w:t xml:space="preserve"> as in-kind contribution towards the process. Technical support for the preparation of BUR was received</w:t>
      </w:r>
      <w:r w:rsidRPr="00191ACB">
        <w:rPr>
          <w:rFonts w:ascii="Times New Roman" w:eastAsia="Calibri" w:hAnsi="Times New Roman" w:cs="Times New Roman"/>
          <w:color w:val="000000" w:themeColor="text1"/>
          <w:sz w:val="24"/>
          <w:szCs w:val="24"/>
        </w:rPr>
        <w:t xml:space="preserve"> from the GSP, UNEP, UNDP, GIZ, UNFCCC and the National Technical Committee on climate change. </w:t>
      </w:r>
    </w:p>
    <w:p w14:paraId="37985053" w14:textId="77777777" w:rsidR="003B122D" w:rsidRPr="00191ACB" w:rsidRDefault="003B122D" w:rsidP="00AB731A">
      <w:pPr>
        <w:spacing w:after="0" w:line="276" w:lineRule="auto"/>
        <w:jc w:val="both"/>
        <w:rPr>
          <w:rFonts w:ascii="Times New Roman" w:eastAsia="Calibri" w:hAnsi="Times New Roman" w:cs="Times New Roman"/>
          <w:color w:val="000000" w:themeColor="text1"/>
          <w:sz w:val="24"/>
          <w:szCs w:val="24"/>
        </w:rPr>
      </w:pPr>
    </w:p>
    <w:p w14:paraId="1B2E6D93" w14:textId="62561EA6" w:rsidR="00B33B6F" w:rsidRPr="00AB731A" w:rsidRDefault="00B33B6F" w:rsidP="00AB731A">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Zambia has received financial support in implementing several climate change interventions </w:t>
      </w:r>
      <w:r w:rsidR="003B122D" w:rsidRPr="00191ACB">
        <w:rPr>
          <w:rFonts w:ascii="Times New Roman" w:eastAsia="Calibri" w:hAnsi="Times New Roman" w:cs="Times New Roman"/>
          <w:color w:val="000000" w:themeColor="text1"/>
          <w:sz w:val="24"/>
          <w:szCs w:val="24"/>
        </w:rPr>
        <w:t>which</w:t>
      </w:r>
      <w:r w:rsidRPr="00191ACB">
        <w:rPr>
          <w:rFonts w:ascii="Times New Roman" w:eastAsia="Calibri" w:hAnsi="Times New Roman" w:cs="Times New Roman"/>
          <w:color w:val="000000" w:themeColor="text1"/>
          <w:sz w:val="24"/>
          <w:szCs w:val="24"/>
        </w:rPr>
        <w:t xml:space="preserve"> include among others, adaptation, GHG inventory preparation, research and systematic observation, awareness and sensitization creation. The </w:t>
      </w:r>
      <w:r w:rsidR="003B122D" w:rsidRPr="00191ACB">
        <w:rPr>
          <w:rFonts w:ascii="Times New Roman" w:eastAsia="Calibri" w:hAnsi="Times New Roman" w:cs="Times New Roman"/>
          <w:color w:val="000000" w:themeColor="text1"/>
          <w:sz w:val="24"/>
          <w:szCs w:val="24"/>
        </w:rPr>
        <w:t>detailed breakdown of the support is as outlined in the Third National Communication</w:t>
      </w:r>
      <w:r w:rsidRPr="00191ACB">
        <w:rPr>
          <w:rFonts w:ascii="Times New Roman" w:eastAsia="Calibri" w:hAnsi="Times New Roman" w:cs="Times New Roman"/>
          <w:color w:val="000000" w:themeColor="text1"/>
          <w:sz w:val="24"/>
          <w:szCs w:val="24"/>
        </w:rPr>
        <w:t xml:space="preserve">. </w:t>
      </w:r>
      <w:r w:rsidR="003B122D" w:rsidRPr="00191ACB">
        <w:rPr>
          <w:rFonts w:ascii="Times New Roman" w:eastAsia="Calibri" w:hAnsi="Times New Roman" w:cs="Times New Roman"/>
          <w:color w:val="000000" w:themeColor="text1"/>
          <w:sz w:val="24"/>
          <w:szCs w:val="24"/>
        </w:rPr>
        <w:t xml:space="preserve">The main sources of funding are </w:t>
      </w:r>
      <w:r w:rsidR="004961DB" w:rsidRPr="00191ACB">
        <w:rPr>
          <w:rFonts w:ascii="Times New Roman" w:eastAsia="Calibri" w:hAnsi="Times New Roman" w:cs="Times New Roman"/>
          <w:color w:val="000000" w:themeColor="text1"/>
          <w:sz w:val="24"/>
          <w:szCs w:val="24"/>
        </w:rPr>
        <w:t xml:space="preserve">summarized </w:t>
      </w:r>
      <w:r w:rsidR="003B122D" w:rsidRPr="00CE24DD">
        <w:rPr>
          <w:rFonts w:ascii="Times New Roman" w:eastAsia="Calibri" w:hAnsi="Times New Roman" w:cs="Times New Roman"/>
          <w:color w:val="000000" w:themeColor="text1"/>
          <w:sz w:val="24"/>
          <w:szCs w:val="24"/>
        </w:rPr>
        <w:t xml:space="preserve">in </w:t>
      </w:r>
      <w:r w:rsidR="00CE24DD" w:rsidRPr="00CE24DD">
        <w:rPr>
          <w:rFonts w:ascii="Times New Roman" w:eastAsia="Calibri" w:hAnsi="Times New Roman" w:cs="Times New Roman"/>
          <w:color w:val="000000" w:themeColor="text1"/>
          <w:sz w:val="24"/>
          <w:szCs w:val="24"/>
        </w:rPr>
        <w:t>Table 7.1.</w:t>
      </w:r>
      <w:r w:rsidRPr="00191ACB">
        <w:rPr>
          <w:rFonts w:ascii="Times New Roman" w:eastAsia="Calibri" w:hAnsi="Times New Roman" w:cs="Times New Roman"/>
          <w:color w:val="000000" w:themeColor="text1"/>
          <w:sz w:val="24"/>
          <w:szCs w:val="24"/>
        </w:rPr>
        <w:t xml:space="preserve"> </w:t>
      </w:r>
    </w:p>
    <w:p w14:paraId="7E92A22A" w14:textId="77777777" w:rsidR="00DD0C0F" w:rsidRPr="00191ACB" w:rsidRDefault="00DD0C0F" w:rsidP="00B33B6F">
      <w:pPr>
        <w:spacing w:after="0" w:line="240" w:lineRule="auto"/>
        <w:jc w:val="both"/>
        <w:rPr>
          <w:rFonts w:ascii="Times New Roman" w:eastAsia="Times New Roman" w:hAnsi="Times New Roman" w:cs="Times New Roman"/>
          <w:iCs/>
          <w:color w:val="000000" w:themeColor="text1"/>
          <w:sz w:val="24"/>
          <w:szCs w:val="24"/>
          <w:lang w:eastAsia="x-none"/>
        </w:rPr>
      </w:pPr>
    </w:p>
    <w:p w14:paraId="345F3581" w14:textId="24F375AA" w:rsidR="00826F26" w:rsidRPr="002E2B09" w:rsidRDefault="00CE24DD" w:rsidP="00CE24DD">
      <w:pPr>
        <w:pStyle w:val="Caption"/>
        <w:rPr>
          <w:iCs w:val="0"/>
          <w:color w:val="000000" w:themeColor="text1"/>
          <w:sz w:val="24"/>
          <w:szCs w:val="24"/>
          <w:lang w:eastAsia="x-none"/>
        </w:rPr>
      </w:pPr>
      <w:bookmarkStart w:id="496" w:name="_Toc56583833"/>
      <w:r w:rsidRPr="002E2B09">
        <w:rPr>
          <w:sz w:val="24"/>
          <w:szCs w:val="24"/>
        </w:rPr>
        <w:t xml:space="preserve">Table </w:t>
      </w:r>
      <w:r w:rsidR="00875942" w:rsidRPr="002E2B09">
        <w:rPr>
          <w:sz w:val="24"/>
          <w:szCs w:val="24"/>
        </w:rPr>
        <w:fldChar w:fldCharType="begin"/>
      </w:r>
      <w:r w:rsidR="00875942" w:rsidRPr="002E2B09">
        <w:rPr>
          <w:sz w:val="24"/>
          <w:szCs w:val="24"/>
        </w:rPr>
        <w:instrText xml:space="preserve"> STYLEREF 1 \s </w:instrText>
      </w:r>
      <w:r w:rsidR="00875942" w:rsidRPr="002E2B09">
        <w:rPr>
          <w:sz w:val="24"/>
          <w:szCs w:val="24"/>
        </w:rPr>
        <w:fldChar w:fldCharType="separate"/>
      </w:r>
      <w:r w:rsidR="00875942" w:rsidRPr="002E2B09">
        <w:rPr>
          <w:noProof/>
          <w:sz w:val="24"/>
          <w:szCs w:val="24"/>
        </w:rPr>
        <w:t>7</w:t>
      </w:r>
      <w:r w:rsidR="00875942" w:rsidRPr="002E2B09">
        <w:rPr>
          <w:sz w:val="24"/>
          <w:szCs w:val="24"/>
        </w:rPr>
        <w:fldChar w:fldCharType="end"/>
      </w:r>
      <w:r w:rsidR="00875942" w:rsidRPr="002E2B09">
        <w:rPr>
          <w:sz w:val="24"/>
          <w:szCs w:val="24"/>
        </w:rPr>
        <w:t>.</w:t>
      </w:r>
      <w:r w:rsidR="00875942" w:rsidRPr="002E2B09">
        <w:rPr>
          <w:sz w:val="24"/>
          <w:szCs w:val="24"/>
        </w:rPr>
        <w:fldChar w:fldCharType="begin"/>
      </w:r>
      <w:r w:rsidR="00875942" w:rsidRPr="002E2B09">
        <w:rPr>
          <w:sz w:val="24"/>
          <w:szCs w:val="24"/>
        </w:rPr>
        <w:instrText xml:space="preserve"> SEQ Table \* ARABIC \s 1 </w:instrText>
      </w:r>
      <w:r w:rsidR="00875942" w:rsidRPr="002E2B09">
        <w:rPr>
          <w:sz w:val="24"/>
          <w:szCs w:val="24"/>
        </w:rPr>
        <w:fldChar w:fldCharType="separate"/>
      </w:r>
      <w:r w:rsidR="00875942" w:rsidRPr="002E2B09">
        <w:rPr>
          <w:noProof/>
          <w:sz w:val="24"/>
          <w:szCs w:val="24"/>
        </w:rPr>
        <w:t>1</w:t>
      </w:r>
      <w:r w:rsidR="00875942" w:rsidRPr="002E2B09">
        <w:rPr>
          <w:sz w:val="24"/>
          <w:szCs w:val="24"/>
        </w:rPr>
        <w:fldChar w:fldCharType="end"/>
      </w:r>
      <w:r w:rsidRPr="002E2B09">
        <w:rPr>
          <w:sz w:val="24"/>
          <w:szCs w:val="24"/>
        </w:rPr>
        <w:t>:: Summary of support received per category of organisation</w:t>
      </w:r>
      <w:bookmarkEnd w:id="496"/>
    </w:p>
    <w:tbl>
      <w:tblPr>
        <w:tblW w:w="6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2520"/>
        <w:gridCol w:w="2700"/>
      </w:tblGrid>
      <w:tr w:rsidR="00826F26" w:rsidRPr="002E2B09" w14:paraId="3B6CFD11" w14:textId="77777777" w:rsidTr="00596C4C">
        <w:trPr>
          <w:trHeight w:val="300"/>
        </w:trPr>
        <w:tc>
          <w:tcPr>
            <w:tcW w:w="900" w:type="dxa"/>
            <w:shd w:val="clear" w:color="auto" w:fill="auto"/>
          </w:tcPr>
          <w:p w14:paraId="4394533B" w14:textId="77777777" w:rsidR="00826F26" w:rsidRPr="002E2B09" w:rsidRDefault="00826F26" w:rsidP="00596C4C">
            <w:pPr>
              <w:spacing w:after="0" w:line="240" w:lineRule="auto"/>
              <w:rPr>
                <w:rFonts w:ascii="Times New Roman" w:eastAsia="Times New Roman" w:hAnsi="Times New Roman" w:cs="Times New Roman"/>
                <w:b/>
                <w:bCs/>
                <w:color w:val="000000"/>
                <w:sz w:val="20"/>
                <w:szCs w:val="20"/>
              </w:rPr>
            </w:pPr>
          </w:p>
        </w:tc>
        <w:tc>
          <w:tcPr>
            <w:tcW w:w="2520" w:type="dxa"/>
            <w:shd w:val="clear" w:color="auto" w:fill="auto"/>
            <w:noWrap/>
            <w:vAlign w:val="bottom"/>
          </w:tcPr>
          <w:p w14:paraId="2C49CF35" w14:textId="77777777" w:rsidR="00826F26" w:rsidRPr="002E2B09" w:rsidRDefault="00826F26" w:rsidP="00596C4C">
            <w:pPr>
              <w:spacing w:after="0" w:line="240" w:lineRule="auto"/>
              <w:rPr>
                <w:rFonts w:ascii="Times New Roman" w:eastAsia="Times New Roman" w:hAnsi="Times New Roman" w:cs="Times New Roman"/>
                <w:b/>
                <w:bCs/>
                <w:color w:val="000000"/>
                <w:sz w:val="20"/>
                <w:szCs w:val="20"/>
              </w:rPr>
            </w:pPr>
            <w:r w:rsidRPr="002E2B09">
              <w:rPr>
                <w:rFonts w:ascii="Times New Roman" w:eastAsia="Times New Roman" w:hAnsi="Times New Roman" w:cs="Times New Roman"/>
                <w:b/>
                <w:bCs/>
                <w:color w:val="000000"/>
                <w:sz w:val="20"/>
                <w:szCs w:val="20"/>
              </w:rPr>
              <w:t>Category of organisation</w:t>
            </w:r>
          </w:p>
        </w:tc>
        <w:tc>
          <w:tcPr>
            <w:tcW w:w="2700" w:type="dxa"/>
            <w:shd w:val="clear" w:color="auto" w:fill="auto"/>
            <w:noWrap/>
            <w:vAlign w:val="bottom"/>
          </w:tcPr>
          <w:p w14:paraId="269EF6C0" w14:textId="77777777" w:rsidR="00826F26" w:rsidRPr="002E2B09" w:rsidRDefault="00826F26" w:rsidP="00596C4C">
            <w:pPr>
              <w:spacing w:after="0" w:line="240" w:lineRule="auto"/>
              <w:jc w:val="right"/>
              <w:rPr>
                <w:rFonts w:ascii="Times New Roman" w:eastAsia="Times New Roman" w:hAnsi="Times New Roman" w:cs="Times New Roman"/>
                <w:b/>
                <w:bCs/>
                <w:color w:val="000000"/>
                <w:sz w:val="20"/>
                <w:szCs w:val="20"/>
              </w:rPr>
            </w:pPr>
            <w:r w:rsidRPr="002E2B09">
              <w:rPr>
                <w:rFonts w:ascii="Times New Roman" w:eastAsia="Times New Roman" w:hAnsi="Times New Roman" w:cs="Times New Roman"/>
                <w:b/>
                <w:bCs/>
                <w:color w:val="000000"/>
                <w:sz w:val="20"/>
                <w:szCs w:val="20"/>
              </w:rPr>
              <w:t>Amount of support US $</w:t>
            </w:r>
          </w:p>
        </w:tc>
      </w:tr>
      <w:tr w:rsidR="00826F26" w:rsidRPr="002E2B09" w14:paraId="76513464" w14:textId="77777777" w:rsidTr="00596C4C">
        <w:trPr>
          <w:trHeight w:val="300"/>
        </w:trPr>
        <w:tc>
          <w:tcPr>
            <w:tcW w:w="900" w:type="dxa"/>
            <w:shd w:val="clear" w:color="auto" w:fill="auto"/>
          </w:tcPr>
          <w:p w14:paraId="5F353C6E" w14:textId="77777777" w:rsidR="00826F26" w:rsidRPr="002E2B09" w:rsidRDefault="00826F26" w:rsidP="00596C4C">
            <w:pPr>
              <w:spacing w:after="0" w:line="240" w:lineRule="auto"/>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1</w:t>
            </w:r>
          </w:p>
        </w:tc>
        <w:tc>
          <w:tcPr>
            <w:tcW w:w="2520" w:type="dxa"/>
            <w:shd w:val="clear" w:color="auto" w:fill="auto"/>
            <w:noWrap/>
            <w:vAlign w:val="bottom"/>
            <w:hideMark/>
          </w:tcPr>
          <w:p w14:paraId="185C3E33" w14:textId="77777777" w:rsidR="00826F26" w:rsidRPr="002E2B09" w:rsidRDefault="00826F26" w:rsidP="00596C4C">
            <w:pPr>
              <w:spacing w:after="0" w:line="240" w:lineRule="auto"/>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Multilateral</w:t>
            </w:r>
          </w:p>
        </w:tc>
        <w:tc>
          <w:tcPr>
            <w:tcW w:w="2700" w:type="dxa"/>
            <w:shd w:val="clear" w:color="auto" w:fill="auto"/>
            <w:noWrap/>
            <w:vAlign w:val="bottom"/>
            <w:hideMark/>
          </w:tcPr>
          <w:p w14:paraId="25CAF622" w14:textId="77777777" w:rsidR="00826F26" w:rsidRPr="002E2B09" w:rsidRDefault="00826F26" w:rsidP="00596C4C">
            <w:pPr>
              <w:spacing w:after="0" w:line="240" w:lineRule="auto"/>
              <w:jc w:val="right"/>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451,979,000</w:t>
            </w:r>
          </w:p>
        </w:tc>
      </w:tr>
      <w:tr w:rsidR="00826F26" w:rsidRPr="002E2B09" w14:paraId="79C8C9B1" w14:textId="77777777" w:rsidTr="00596C4C">
        <w:trPr>
          <w:trHeight w:val="300"/>
        </w:trPr>
        <w:tc>
          <w:tcPr>
            <w:tcW w:w="900" w:type="dxa"/>
            <w:shd w:val="clear" w:color="auto" w:fill="auto"/>
          </w:tcPr>
          <w:p w14:paraId="2453C974" w14:textId="77777777" w:rsidR="00826F26" w:rsidRPr="002E2B09" w:rsidRDefault="00826F26" w:rsidP="00596C4C">
            <w:pPr>
              <w:spacing w:after="0" w:line="240" w:lineRule="auto"/>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2</w:t>
            </w:r>
          </w:p>
        </w:tc>
        <w:tc>
          <w:tcPr>
            <w:tcW w:w="2520" w:type="dxa"/>
            <w:shd w:val="clear" w:color="auto" w:fill="auto"/>
            <w:noWrap/>
            <w:vAlign w:val="bottom"/>
            <w:hideMark/>
          </w:tcPr>
          <w:p w14:paraId="3D643AFC" w14:textId="77777777" w:rsidR="00826F26" w:rsidRPr="002E2B09" w:rsidRDefault="00826F26" w:rsidP="00596C4C">
            <w:pPr>
              <w:spacing w:after="0" w:line="240" w:lineRule="auto"/>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UNFCCC</w:t>
            </w:r>
          </w:p>
        </w:tc>
        <w:tc>
          <w:tcPr>
            <w:tcW w:w="2700" w:type="dxa"/>
            <w:shd w:val="clear" w:color="auto" w:fill="auto"/>
            <w:noWrap/>
            <w:vAlign w:val="bottom"/>
            <w:hideMark/>
          </w:tcPr>
          <w:p w14:paraId="4937B934" w14:textId="77777777" w:rsidR="00826F26" w:rsidRPr="002E2B09" w:rsidRDefault="00826F26" w:rsidP="00596C4C">
            <w:pPr>
              <w:spacing w:after="0" w:line="240" w:lineRule="auto"/>
              <w:jc w:val="right"/>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72,305,000</w:t>
            </w:r>
          </w:p>
        </w:tc>
      </w:tr>
      <w:tr w:rsidR="00826F26" w:rsidRPr="002E2B09" w14:paraId="6F544466" w14:textId="77777777" w:rsidTr="00596C4C">
        <w:trPr>
          <w:trHeight w:val="300"/>
        </w:trPr>
        <w:tc>
          <w:tcPr>
            <w:tcW w:w="900" w:type="dxa"/>
            <w:shd w:val="clear" w:color="auto" w:fill="auto"/>
          </w:tcPr>
          <w:p w14:paraId="26EE8848" w14:textId="77777777" w:rsidR="00826F26" w:rsidRPr="002E2B09" w:rsidRDefault="00826F26" w:rsidP="00596C4C">
            <w:pPr>
              <w:spacing w:after="0" w:line="240" w:lineRule="auto"/>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3</w:t>
            </w:r>
          </w:p>
        </w:tc>
        <w:tc>
          <w:tcPr>
            <w:tcW w:w="2520" w:type="dxa"/>
            <w:shd w:val="clear" w:color="auto" w:fill="auto"/>
            <w:noWrap/>
            <w:vAlign w:val="bottom"/>
            <w:hideMark/>
          </w:tcPr>
          <w:p w14:paraId="27EF0B19" w14:textId="77777777" w:rsidR="00826F26" w:rsidRPr="002E2B09" w:rsidRDefault="00826F26" w:rsidP="00596C4C">
            <w:pPr>
              <w:spacing w:after="0" w:line="240" w:lineRule="auto"/>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Bilateral</w:t>
            </w:r>
          </w:p>
        </w:tc>
        <w:tc>
          <w:tcPr>
            <w:tcW w:w="2700" w:type="dxa"/>
            <w:shd w:val="clear" w:color="auto" w:fill="auto"/>
            <w:noWrap/>
            <w:vAlign w:val="bottom"/>
            <w:hideMark/>
          </w:tcPr>
          <w:p w14:paraId="188988DD" w14:textId="77777777" w:rsidR="00826F26" w:rsidRPr="002E2B09" w:rsidRDefault="00826F26" w:rsidP="00596C4C">
            <w:pPr>
              <w:spacing w:after="0" w:line="240" w:lineRule="auto"/>
              <w:jc w:val="right"/>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4,648,000</w:t>
            </w:r>
          </w:p>
        </w:tc>
      </w:tr>
      <w:tr w:rsidR="00826F26" w:rsidRPr="002E2B09" w14:paraId="766C624B" w14:textId="77777777" w:rsidTr="00596C4C">
        <w:trPr>
          <w:trHeight w:val="300"/>
        </w:trPr>
        <w:tc>
          <w:tcPr>
            <w:tcW w:w="900" w:type="dxa"/>
            <w:shd w:val="clear" w:color="auto" w:fill="auto"/>
          </w:tcPr>
          <w:p w14:paraId="0ED0ED27" w14:textId="77777777" w:rsidR="00826F26" w:rsidRPr="002E2B09" w:rsidRDefault="00826F26" w:rsidP="00596C4C">
            <w:pPr>
              <w:spacing w:after="0" w:line="240" w:lineRule="auto"/>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4</w:t>
            </w:r>
          </w:p>
        </w:tc>
        <w:tc>
          <w:tcPr>
            <w:tcW w:w="2520" w:type="dxa"/>
            <w:shd w:val="clear" w:color="auto" w:fill="auto"/>
            <w:noWrap/>
            <w:vAlign w:val="bottom"/>
            <w:hideMark/>
          </w:tcPr>
          <w:p w14:paraId="00269A75" w14:textId="77777777" w:rsidR="00826F26" w:rsidRPr="002E2B09" w:rsidRDefault="00826F26" w:rsidP="00596C4C">
            <w:pPr>
              <w:spacing w:after="0" w:line="240" w:lineRule="auto"/>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Private</w:t>
            </w:r>
          </w:p>
        </w:tc>
        <w:tc>
          <w:tcPr>
            <w:tcW w:w="2700" w:type="dxa"/>
            <w:shd w:val="clear" w:color="auto" w:fill="auto"/>
            <w:noWrap/>
            <w:vAlign w:val="bottom"/>
            <w:hideMark/>
          </w:tcPr>
          <w:p w14:paraId="64003133" w14:textId="77777777" w:rsidR="00826F26" w:rsidRPr="002E2B09" w:rsidRDefault="00826F26" w:rsidP="00596C4C">
            <w:pPr>
              <w:spacing w:after="0" w:line="240" w:lineRule="auto"/>
              <w:jc w:val="right"/>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10,600</w:t>
            </w:r>
          </w:p>
        </w:tc>
      </w:tr>
      <w:tr w:rsidR="00826F26" w:rsidRPr="002E2B09" w14:paraId="314E3E49" w14:textId="77777777" w:rsidTr="00596C4C">
        <w:trPr>
          <w:trHeight w:val="300"/>
        </w:trPr>
        <w:tc>
          <w:tcPr>
            <w:tcW w:w="900" w:type="dxa"/>
            <w:shd w:val="clear" w:color="auto" w:fill="auto"/>
          </w:tcPr>
          <w:p w14:paraId="3703CDA2" w14:textId="77777777" w:rsidR="00826F26" w:rsidRPr="002E2B09" w:rsidRDefault="00826F26" w:rsidP="00596C4C">
            <w:pPr>
              <w:spacing w:after="0" w:line="240" w:lineRule="auto"/>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5</w:t>
            </w:r>
          </w:p>
        </w:tc>
        <w:tc>
          <w:tcPr>
            <w:tcW w:w="2520" w:type="dxa"/>
            <w:shd w:val="clear" w:color="auto" w:fill="auto"/>
            <w:noWrap/>
            <w:vAlign w:val="bottom"/>
            <w:hideMark/>
          </w:tcPr>
          <w:p w14:paraId="27F49965" w14:textId="77777777" w:rsidR="00826F26" w:rsidRPr="002E2B09" w:rsidRDefault="00826F26" w:rsidP="00596C4C">
            <w:pPr>
              <w:spacing w:after="0" w:line="240" w:lineRule="auto"/>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Others</w:t>
            </w:r>
          </w:p>
        </w:tc>
        <w:tc>
          <w:tcPr>
            <w:tcW w:w="2700" w:type="dxa"/>
            <w:shd w:val="clear" w:color="auto" w:fill="auto"/>
            <w:noWrap/>
            <w:vAlign w:val="bottom"/>
            <w:hideMark/>
          </w:tcPr>
          <w:p w14:paraId="6DAD6D7D" w14:textId="77777777" w:rsidR="00826F26" w:rsidRPr="002E2B09" w:rsidRDefault="00826F26" w:rsidP="00596C4C">
            <w:pPr>
              <w:spacing w:after="0" w:line="240" w:lineRule="auto"/>
              <w:jc w:val="right"/>
              <w:rPr>
                <w:rFonts w:ascii="Times New Roman" w:eastAsia="Times New Roman" w:hAnsi="Times New Roman" w:cs="Times New Roman"/>
                <w:color w:val="000000"/>
                <w:sz w:val="20"/>
                <w:szCs w:val="20"/>
              </w:rPr>
            </w:pPr>
            <w:r w:rsidRPr="002E2B09">
              <w:rPr>
                <w:rFonts w:ascii="Times New Roman" w:eastAsia="Times New Roman" w:hAnsi="Times New Roman" w:cs="Times New Roman"/>
                <w:color w:val="000000"/>
                <w:sz w:val="20"/>
                <w:szCs w:val="20"/>
              </w:rPr>
              <w:t>974,000</w:t>
            </w:r>
          </w:p>
        </w:tc>
      </w:tr>
      <w:tr w:rsidR="00826F26" w:rsidRPr="002E2B09" w14:paraId="4B842A1E" w14:textId="77777777" w:rsidTr="00596C4C">
        <w:trPr>
          <w:trHeight w:val="300"/>
        </w:trPr>
        <w:tc>
          <w:tcPr>
            <w:tcW w:w="900" w:type="dxa"/>
            <w:shd w:val="clear" w:color="auto" w:fill="auto"/>
          </w:tcPr>
          <w:p w14:paraId="21B84353" w14:textId="77777777" w:rsidR="00826F26" w:rsidRPr="002E2B09" w:rsidRDefault="00826F26" w:rsidP="00596C4C">
            <w:pPr>
              <w:spacing w:after="0" w:line="240" w:lineRule="auto"/>
              <w:jc w:val="right"/>
              <w:rPr>
                <w:rFonts w:ascii="Times New Roman" w:eastAsia="Times New Roman" w:hAnsi="Times New Roman" w:cs="Times New Roman"/>
                <w:b/>
                <w:bCs/>
                <w:color w:val="000000"/>
                <w:sz w:val="20"/>
                <w:szCs w:val="20"/>
              </w:rPr>
            </w:pPr>
          </w:p>
        </w:tc>
        <w:tc>
          <w:tcPr>
            <w:tcW w:w="2520" w:type="dxa"/>
            <w:shd w:val="clear" w:color="auto" w:fill="auto"/>
            <w:noWrap/>
            <w:vAlign w:val="bottom"/>
            <w:hideMark/>
          </w:tcPr>
          <w:p w14:paraId="34FB8199" w14:textId="77777777" w:rsidR="00826F26" w:rsidRPr="002E2B09" w:rsidRDefault="00826F26" w:rsidP="00596C4C">
            <w:pPr>
              <w:spacing w:after="0" w:line="240" w:lineRule="auto"/>
              <w:rPr>
                <w:rFonts w:ascii="Times New Roman" w:eastAsia="Times New Roman" w:hAnsi="Times New Roman" w:cs="Times New Roman"/>
                <w:b/>
                <w:bCs/>
                <w:color w:val="000000"/>
                <w:sz w:val="20"/>
                <w:szCs w:val="20"/>
              </w:rPr>
            </w:pPr>
            <w:r w:rsidRPr="002E2B09">
              <w:rPr>
                <w:rFonts w:ascii="Times New Roman" w:eastAsia="Times New Roman" w:hAnsi="Times New Roman" w:cs="Times New Roman"/>
                <w:b/>
                <w:bCs/>
                <w:color w:val="000000"/>
                <w:sz w:val="20"/>
                <w:szCs w:val="20"/>
              </w:rPr>
              <w:t>TOTAL</w:t>
            </w:r>
          </w:p>
        </w:tc>
        <w:tc>
          <w:tcPr>
            <w:tcW w:w="2700" w:type="dxa"/>
            <w:shd w:val="clear" w:color="auto" w:fill="auto"/>
            <w:noWrap/>
            <w:vAlign w:val="bottom"/>
            <w:hideMark/>
          </w:tcPr>
          <w:p w14:paraId="2FA79822" w14:textId="77777777" w:rsidR="00826F26" w:rsidRPr="002E2B09" w:rsidRDefault="00826F26" w:rsidP="00596C4C">
            <w:pPr>
              <w:spacing w:after="0" w:line="240" w:lineRule="auto"/>
              <w:jc w:val="right"/>
              <w:rPr>
                <w:rFonts w:ascii="Times New Roman" w:eastAsia="Times New Roman" w:hAnsi="Times New Roman" w:cs="Times New Roman"/>
                <w:b/>
                <w:bCs/>
                <w:color w:val="000000"/>
                <w:sz w:val="20"/>
                <w:szCs w:val="20"/>
              </w:rPr>
            </w:pPr>
            <w:r w:rsidRPr="002E2B09">
              <w:rPr>
                <w:rFonts w:ascii="Times New Roman" w:eastAsia="Times New Roman" w:hAnsi="Times New Roman" w:cs="Times New Roman"/>
                <w:b/>
                <w:bCs/>
                <w:color w:val="000000"/>
                <w:sz w:val="20"/>
                <w:szCs w:val="20"/>
              </w:rPr>
              <w:t>529,916,600</w:t>
            </w:r>
          </w:p>
        </w:tc>
      </w:tr>
    </w:tbl>
    <w:p w14:paraId="28508B9B" w14:textId="2C829BF5" w:rsidR="00826F26" w:rsidRPr="00191ACB" w:rsidRDefault="00826F26" w:rsidP="00826F26">
      <w:pPr>
        <w:spacing w:after="0" w:line="240" w:lineRule="auto"/>
        <w:jc w:val="both"/>
        <w:rPr>
          <w:rFonts w:ascii="Times New Roman" w:eastAsia="Times New Roman" w:hAnsi="Times New Roman" w:cs="Times New Roman"/>
          <w:i/>
          <w:color w:val="000000" w:themeColor="text1"/>
          <w:sz w:val="24"/>
          <w:szCs w:val="24"/>
          <w:lang w:eastAsia="x-none"/>
        </w:rPr>
      </w:pPr>
      <w:r w:rsidRPr="00191ACB">
        <w:rPr>
          <w:rFonts w:ascii="Times New Roman" w:eastAsia="Times New Roman" w:hAnsi="Times New Roman" w:cs="Times New Roman"/>
          <w:bCs/>
          <w:i/>
          <w:color w:val="000000" w:themeColor="text1"/>
          <w:sz w:val="24"/>
          <w:szCs w:val="24"/>
          <w:lang w:eastAsia="x-none"/>
        </w:rPr>
        <w:t>Others</w:t>
      </w:r>
      <w:r w:rsidRPr="00191ACB">
        <w:rPr>
          <w:rFonts w:ascii="Times New Roman" w:eastAsia="Times New Roman" w:hAnsi="Times New Roman" w:cs="Times New Roman"/>
          <w:i/>
          <w:color w:val="000000" w:themeColor="text1"/>
          <w:sz w:val="24"/>
          <w:szCs w:val="24"/>
          <w:lang w:eastAsia="x-none"/>
        </w:rPr>
        <w:t xml:space="preserve">: Others include sources that could not </w:t>
      </w:r>
      <w:r w:rsidR="002E2B09">
        <w:rPr>
          <w:rFonts w:ascii="Times New Roman" w:eastAsia="Times New Roman" w:hAnsi="Times New Roman" w:cs="Times New Roman"/>
          <w:i/>
          <w:color w:val="000000" w:themeColor="text1"/>
          <w:sz w:val="24"/>
          <w:szCs w:val="24"/>
          <w:lang w:eastAsia="x-none"/>
        </w:rPr>
        <w:t xml:space="preserve">be </w:t>
      </w:r>
      <w:r w:rsidRPr="00191ACB">
        <w:rPr>
          <w:rFonts w:ascii="Times New Roman" w:eastAsia="Times New Roman" w:hAnsi="Times New Roman" w:cs="Times New Roman"/>
          <w:i/>
          <w:color w:val="000000" w:themeColor="text1"/>
          <w:sz w:val="24"/>
          <w:szCs w:val="24"/>
          <w:lang w:eastAsia="x-none"/>
        </w:rPr>
        <w:t>classified among the indicated categories</w:t>
      </w:r>
    </w:p>
    <w:p w14:paraId="114DBA4E" w14:textId="77777777" w:rsidR="0037616D" w:rsidRPr="00191ACB" w:rsidRDefault="0037616D" w:rsidP="00B33B6F">
      <w:pPr>
        <w:spacing w:after="0" w:line="240" w:lineRule="auto"/>
        <w:jc w:val="both"/>
        <w:rPr>
          <w:rFonts w:ascii="Times New Roman" w:eastAsia="Times New Roman" w:hAnsi="Times New Roman" w:cs="Times New Roman"/>
          <w:iCs/>
          <w:color w:val="000000" w:themeColor="text1"/>
          <w:sz w:val="24"/>
          <w:szCs w:val="24"/>
          <w:lang w:eastAsia="x-none"/>
        </w:rPr>
      </w:pPr>
    </w:p>
    <w:p w14:paraId="7B61C6AB" w14:textId="5502F293" w:rsidR="00DD0C0F" w:rsidRPr="00CE24DD" w:rsidRDefault="00CE24DD" w:rsidP="009D64B6">
      <w:pPr>
        <w:pStyle w:val="Heading2"/>
        <w:numPr>
          <w:ilvl w:val="1"/>
          <w:numId w:val="36"/>
        </w:numPr>
        <w:ind w:left="851" w:hanging="851"/>
        <w:rPr>
          <w:rStyle w:val="Heading2Char"/>
          <w:rFonts w:ascii="Times New Roman" w:hAnsi="Times New Roman" w:cs="Times New Roman"/>
          <w:b/>
          <w:bCs/>
          <w:color w:val="auto"/>
          <w:sz w:val="24"/>
          <w:szCs w:val="24"/>
        </w:rPr>
      </w:pPr>
      <w:bookmarkStart w:id="497" w:name="_Toc26264980"/>
      <w:bookmarkStart w:id="498" w:name="_Toc57902891"/>
      <w:r w:rsidRPr="00CE24DD">
        <w:rPr>
          <w:rStyle w:val="Heading2Char"/>
          <w:rFonts w:ascii="Times New Roman" w:hAnsi="Times New Roman" w:cs="Times New Roman"/>
          <w:b/>
          <w:bCs/>
          <w:color w:val="auto"/>
          <w:sz w:val="24"/>
          <w:szCs w:val="24"/>
        </w:rPr>
        <w:lastRenderedPageBreak/>
        <w:t>TECHNOLOGY NEEDS AND SUPPORT RECEIVED</w:t>
      </w:r>
      <w:bookmarkEnd w:id="497"/>
      <w:bookmarkEnd w:id="498"/>
    </w:p>
    <w:p w14:paraId="1FECEEB6" w14:textId="219A133C" w:rsidR="00B33B6F" w:rsidRPr="002E2B09" w:rsidRDefault="00CE24DD" w:rsidP="009D64B6">
      <w:pPr>
        <w:pStyle w:val="Heading3"/>
        <w:numPr>
          <w:ilvl w:val="2"/>
          <w:numId w:val="36"/>
        </w:numPr>
        <w:ind w:left="851" w:hanging="851"/>
        <w:rPr>
          <w:color w:val="auto"/>
        </w:rPr>
      </w:pPr>
      <w:bookmarkStart w:id="499" w:name="_Toc26264981"/>
      <w:bookmarkStart w:id="500" w:name="_Toc57902892"/>
      <w:r w:rsidRPr="002E2B09">
        <w:rPr>
          <w:color w:val="auto"/>
        </w:rPr>
        <w:t>Technology Transfer Received</w:t>
      </w:r>
      <w:bookmarkEnd w:id="499"/>
      <w:bookmarkEnd w:id="500"/>
    </w:p>
    <w:p w14:paraId="5F8E840C" w14:textId="7F48105B" w:rsidR="00B33B6F" w:rsidRPr="00191ACB" w:rsidRDefault="00C13532" w:rsidP="00AB731A">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 UNFCCC notes that all Parties shall promote and cooperate in the development and transfer of technologies that reduce emissions of GHGs and that developed country Parties are urged to take all practicable steps to promote, facilitate and finance the transfer of, or access to, climate</w:t>
      </w:r>
      <w:r w:rsidR="004961DB" w:rsidRPr="00191ACB">
        <w:rPr>
          <w:rFonts w:ascii="Times New Roman" w:eastAsia="Calibri" w:hAnsi="Times New Roman" w:cs="Times New Roman"/>
          <w:color w:val="000000" w:themeColor="text1"/>
          <w:sz w:val="24"/>
          <w:szCs w:val="24"/>
        </w:rPr>
        <w:t xml:space="preserve"> change</w:t>
      </w:r>
      <w:r w:rsidRPr="00191ACB">
        <w:rPr>
          <w:rFonts w:ascii="Times New Roman" w:eastAsia="Calibri" w:hAnsi="Times New Roman" w:cs="Times New Roman"/>
          <w:color w:val="000000" w:themeColor="text1"/>
          <w:sz w:val="24"/>
          <w:szCs w:val="24"/>
        </w:rPr>
        <w:t xml:space="preserve"> technologies to other Parties, particularly to developing countries. As part of technology transfer, </w:t>
      </w:r>
      <w:r w:rsidR="00B33B6F" w:rsidRPr="00191ACB">
        <w:rPr>
          <w:rFonts w:ascii="Times New Roman" w:eastAsia="Calibri" w:hAnsi="Times New Roman" w:cs="Times New Roman"/>
          <w:color w:val="000000" w:themeColor="text1"/>
          <w:sz w:val="24"/>
          <w:szCs w:val="24"/>
        </w:rPr>
        <w:t xml:space="preserve">Zambia has been implementing </w:t>
      </w:r>
      <w:r w:rsidR="0081233E" w:rsidRPr="00191ACB">
        <w:rPr>
          <w:rFonts w:ascii="Times New Roman" w:eastAsia="Calibri" w:hAnsi="Times New Roman" w:cs="Times New Roman"/>
          <w:color w:val="000000" w:themeColor="text1"/>
          <w:sz w:val="24"/>
          <w:szCs w:val="24"/>
        </w:rPr>
        <w:t xml:space="preserve">China- Zambia Renewable Energy, </w:t>
      </w:r>
      <w:r w:rsidR="00B33B6F" w:rsidRPr="00191ACB">
        <w:rPr>
          <w:rFonts w:ascii="Times New Roman" w:eastAsia="Calibri" w:hAnsi="Times New Roman" w:cs="Times New Roman"/>
          <w:color w:val="000000" w:themeColor="text1"/>
          <w:sz w:val="24"/>
          <w:szCs w:val="24"/>
        </w:rPr>
        <w:t>a 4-year project which started in 2015 whose aim is to support access to electricity for rural communities in Zambia</w:t>
      </w:r>
      <w:r w:rsidR="007C4139" w:rsidRPr="00191ACB">
        <w:rPr>
          <w:rFonts w:ascii="Times New Roman" w:eastAsia="Calibri" w:hAnsi="Times New Roman" w:cs="Times New Roman"/>
          <w:color w:val="000000" w:themeColor="text1"/>
          <w:sz w:val="24"/>
          <w:szCs w:val="24"/>
        </w:rPr>
        <w:t xml:space="preserve"> through South-South Cooperation</w:t>
      </w:r>
      <w:r w:rsidR="00B33B6F" w:rsidRPr="00191ACB">
        <w:rPr>
          <w:rFonts w:ascii="Times New Roman" w:eastAsia="Calibri" w:hAnsi="Times New Roman" w:cs="Times New Roman"/>
          <w:color w:val="000000" w:themeColor="text1"/>
          <w:sz w:val="24"/>
          <w:szCs w:val="24"/>
        </w:rPr>
        <w:t xml:space="preserve">. </w:t>
      </w:r>
      <w:r w:rsidR="00B33B6F" w:rsidRPr="00191ACB">
        <w:rPr>
          <w:rFonts w:ascii="Times New Roman" w:eastAsia="Times New Roman" w:hAnsi="Times New Roman" w:cs="Times New Roman"/>
          <w:bCs/>
          <w:color w:val="000000" w:themeColor="text1"/>
          <w:sz w:val="24"/>
          <w:szCs w:val="24"/>
        </w:rPr>
        <w:t xml:space="preserve">To date, two centres of excellence have been established at the University of Zambia and equipment provided for the purpose of training, testing and demonstration of Solar Infrastructure. A demonstration site has also been established at Kafue Gorge Regional Training Centre for Mini Hydro. </w:t>
      </w:r>
    </w:p>
    <w:p w14:paraId="796CA895" w14:textId="77777777" w:rsidR="00B33B6F" w:rsidRPr="00191ACB" w:rsidRDefault="00B33B6F" w:rsidP="005E626A">
      <w:pPr>
        <w:spacing w:after="120" w:line="240" w:lineRule="auto"/>
        <w:jc w:val="both"/>
        <w:rPr>
          <w:rFonts w:ascii="Times New Roman" w:eastAsia="Times New Roman" w:hAnsi="Times New Roman" w:cs="Times New Roman"/>
          <w:b/>
          <w:bCs/>
          <w:color w:val="000000" w:themeColor="text1"/>
          <w:sz w:val="24"/>
          <w:szCs w:val="24"/>
        </w:rPr>
      </w:pPr>
    </w:p>
    <w:p w14:paraId="588C4F5E" w14:textId="2F0A8D3A" w:rsidR="00B33B6F" w:rsidRPr="002E2B09" w:rsidRDefault="00B33B6F" w:rsidP="009D64B6">
      <w:pPr>
        <w:pStyle w:val="Heading3"/>
        <w:numPr>
          <w:ilvl w:val="2"/>
          <w:numId w:val="36"/>
        </w:numPr>
        <w:ind w:left="851" w:hanging="851"/>
        <w:rPr>
          <w:color w:val="auto"/>
        </w:rPr>
      </w:pPr>
      <w:bookmarkStart w:id="501" w:name="_Toc26264982"/>
      <w:bookmarkStart w:id="502" w:name="_Toc57902893"/>
      <w:r w:rsidRPr="002E2B09">
        <w:rPr>
          <w:color w:val="auto"/>
        </w:rPr>
        <w:t>Technology Needs</w:t>
      </w:r>
      <w:bookmarkEnd w:id="501"/>
      <w:bookmarkEnd w:id="502"/>
      <w:r w:rsidRPr="002E2B09">
        <w:rPr>
          <w:color w:val="auto"/>
        </w:rPr>
        <w:t xml:space="preserve"> </w:t>
      </w:r>
    </w:p>
    <w:p w14:paraId="19CDB114" w14:textId="5B73898E" w:rsidR="00B33B6F" w:rsidRDefault="00B33B6F" w:rsidP="00AB731A">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Technology Needs Assessments for Zambia was undertaken in 2013 whose objectives were to identify and prioritize through country-driven participatory processes, technologies that can contribute to mitigation and adaptation goals of the participant countries, while meeting their national sustainable development goals and priorities. The TNAs was supported, guided and funded by the Global Environmental Facility (GEF). The UNEP Division of Technology, Industry and Economics (DTIE) in collaboration with the UNEP Risoe Centre (URC) provided targeted financial, technical and methodological support to assist Zambia, to conduct TNA projects (TNA, 2013).</w:t>
      </w:r>
    </w:p>
    <w:p w14:paraId="7A70FFE6" w14:textId="77777777" w:rsidR="00AB731A" w:rsidRPr="00191ACB" w:rsidRDefault="00AB731A" w:rsidP="00AB731A">
      <w:pPr>
        <w:spacing w:after="0" w:line="276" w:lineRule="auto"/>
        <w:jc w:val="both"/>
        <w:rPr>
          <w:rFonts w:ascii="Times New Roman" w:eastAsia="Calibri" w:hAnsi="Times New Roman" w:cs="Times New Roman"/>
          <w:color w:val="000000" w:themeColor="text1"/>
          <w:sz w:val="24"/>
          <w:szCs w:val="24"/>
        </w:rPr>
      </w:pPr>
    </w:p>
    <w:p w14:paraId="711711F6" w14:textId="27EDF3D3" w:rsidR="00B33B6F" w:rsidRPr="00191ACB" w:rsidRDefault="00B33B6F" w:rsidP="00AB731A">
      <w:pPr>
        <w:spacing w:after="0" w:line="276" w:lineRule="auto"/>
        <w:jc w:val="both"/>
        <w:rPr>
          <w:rFonts w:ascii="Times New Roman" w:eastAsia="Calibri" w:hAnsi="Times New Roman" w:cs="Times New Roman"/>
          <w:color w:val="000000" w:themeColor="text1"/>
          <w:sz w:val="24"/>
          <w:szCs w:val="24"/>
        </w:rPr>
      </w:pPr>
      <w:r w:rsidRPr="00AB731A">
        <w:rPr>
          <w:rFonts w:ascii="Times New Roman" w:eastAsia="Calibri" w:hAnsi="Times New Roman" w:cs="Times New Roman"/>
          <w:color w:val="000000" w:themeColor="text1"/>
          <w:sz w:val="24"/>
          <w:szCs w:val="24"/>
        </w:rPr>
        <w:t xml:space="preserve">For mitigation, </w:t>
      </w:r>
      <w:r w:rsidR="007C4139" w:rsidRPr="00AB731A">
        <w:rPr>
          <w:rFonts w:ascii="Times New Roman" w:eastAsia="Calibri" w:hAnsi="Times New Roman" w:cs="Times New Roman"/>
          <w:color w:val="000000" w:themeColor="text1"/>
          <w:sz w:val="24"/>
          <w:szCs w:val="24"/>
        </w:rPr>
        <w:t>technology needs were identified</w:t>
      </w:r>
      <w:r w:rsidRPr="00AB731A">
        <w:rPr>
          <w:rFonts w:ascii="Times New Roman" w:eastAsia="Calibri" w:hAnsi="Times New Roman" w:cs="Times New Roman"/>
          <w:color w:val="000000" w:themeColor="text1"/>
          <w:sz w:val="24"/>
          <w:szCs w:val="24"/>
        </w:rPr>
        <w:t xml:space="preserve"> </w:t>
      </w:r>
      <w:r w:rsidR="00D56F0C" w:rsidRPr="00AB731A">
        <w:rPr>
          <w:rFonts w:ascii="Times New Roman" w:eastAsia="Calibri" w:hAnsi="Times New Roman" w:cs="Times New Roman"/>
          <w:color w:val="000000" w:themeColor="text1"/>
          <w:sz w:val="24"/>
          <w:szCs w:val="24"/>
        </w:rPr>
        <w:t>in agriculture</w:t>
      </w:r>
      <w:r w:rsidRPr="00AB731A">
        <w:rPr>
          <w:rFonts w:ascii="Times New Roman" w:eastAsia="Calibri" w:hAnsi="Times New Roman" w:cs="Times New Roman"/>
          <w:color w:val="000000" w:themeColor="text1"/>
          <w:sz w:val="24"/>
          <w:szCs w:val="24"/>
        </w:rPr>
        <w:t xml:space="preserve">, land use change and forestry </w:t>
      </w:r>
      <w:r w:rsidR="007C4139" w:rsidRPr="00AB731A">
        <w:rPr>
          <w:rFonts w:ascii="Times New Roman" w:eastAsia="Calibri" w:hAnsi="Times New Roman" w:cs="Times New Roman"/>
          <w:color w:val="000000" w:themeColor="text1"/>
          <w:sz w:val="24"/>
          <w:szCs w:val="24"/>
        </w:rPr>
        <w:t xml:space="preserve">and </w:t>
      </w:r>
      <w:r w:rsidRPr="00AB731A">
        <w:rPr>
          <w:rFonts w:ascii="Times New Roman" w:eastAsia="Calibri" w:hAnsi="Times New Roman" w:cs="Times New Roman"/>
          <w:color w:val="000000" w:themeColor="text1"/>
          <w:sz w:val="24"/>
          <w:szCs w:val="24"/>
        </w:rPr>
        <w:t>include</w:t>
      </w:r>
      <w:r w:rsidR="007C4139" w:rsidRPr="00AB731A">
        <w:rPr>
          <w:rFonts w:ascii="Times New Roman" w:eastAsia="Calibri" w:hAnsi="Times New Roman" w:cs="Times New Roman"/>
          <w:color w:val="000000" w:themeColor="text1"/>
          <w:sz w:val="24"/>
          <w:szCs w:val="24"/>
        </w:rPr>
        <w:t>d</w:t>
      </w:r>
      <w:r w:rsidRPr="00AB731A">
        <w:rPr>
          <w:rFonts w:ascii="Times New Roman" w:eastAsia="Calibri" w:hAnsi="Times New Roman" w:cs="Times New Roman"/>
          <w:color w:val="000000" w:themeColor="text1"/>
          <w:sz w:val="24"/>
          <w:szCs w:val="24"/>
        </w:rPr>
        <w:t xml:space="preserve">; (i) </w:t>
      </w:r>
      <w:r w:rsidRPr="00191ACB">
        <w:rPr>
          <w:rFonts w:ascii="Times New Roman" w:eastAsia="Calibri" w:hAnsi="Times New Roman" w:cs="Times New Roman"/>
          <w:color w:val="000000" w:themeColor="text1"/>
          <w:sz w:val="24"/>
          <w:szCs w:val="24"/>
        </w:rPr>
        <w:t xml:space="preserve">agriculture (conservation tillage, development of green manure and cover crop for soil improvements, and control of weeds), (ii) land use change and forestry (afforestation and reforestation, improved biomass </w:t>
      </w:r>
      <w:r w:rsidR="007C4139" w:rsidRPr="00191ACB">
        <w:rPr>
          <w:rFonts w:ascii="Times New Roman" w:eastAsia="Calibri" w:hAnsi="Times New Roman" w:cs="Times New Roman"/>
          <w:color w:val="000000" w:themeColor="text1"/>
          <w:sz w:val="24"/>
          <w:szCs w:val="24"/>
        </w:rPr>
        <w:t>commercial</w:t>
      </w:r>
      <w:r w:rsidRPr="00191ACB">
        <w:rPr>
          <w:rFonts w:ascii="Times New Roman" w:eastAsia="Calibri" w:hAnsi="Times New Roman" w:cs="Times New Roman"/>
          <w:color w:val="000000" w:themeColor="text1"/>
          <w:sz w:val="24"/>
          <w:szCs w:val="24"/>
        </w:rPr>
        <w:t xml:space="preserve"> stoves, improved charcoal stove, biomass gasification, retort kiln and metal kiln). The following technologies were finally selected for further elaboration and these are; (i) Geothermal-electricity generation (ii) biodiesel from jatropha-biofuels (iii) Energy management systems-energy efficiency, (iv) Improved cooking stoves, (v) Improved charcoal production, (</w:t>
      </w:r>
      <w:r w:rsidR="00CE24DD" w:rsidRPr="00191ACB">
        <w:rPr>
          <w:rFonts w:ascii="Times New Roman" w:eastAsia="Calibri" w:hAnsi="Times New Roman" w:cs="Times New Roman"/>
          <w:color w:val="000000" w:themeColor="text1"/>
          <w:sz w:val="24"/>
          <w:szCs w:val="24"/>
        </w:rPr>
        <w:t>vi Conservation</w:t>
      </w:r>
      <w:r w:rsidRPr="00191ACB">
        <w:rPr>
          <w:rFonts w:ascii="Times New Roman" w:eastAsia="Calibri" w:hAnsi="Times New Roman" w:cs="Times New Roman"/>
          <w:color w:val="000000" w:themeColor="text1"/>
          <w:sz w:val="24"/>
          <w:szCs w:val="24"/>
        </w:rPr>
        <w:t xml:space="preserve"> </w:t>
      </w:r>
      <w:r w:rsidR="00D56F0C" w:rsidRPr="00191ACB">
        <w:rPr>
          <w:rFonts w:ascii="Times New Roman" w:eastAsia="Calibri" w:hAnsi="Times New Roman" w:cs="Times New Roman"/>
          <w:color w:val="000000" w:themeColor="text1"/>
          <w:sz w:val="24"/>
          <w:szCs w:val="24"/>
        </w:rPr>
        <w:t>Agriculture</w:t>
      </w:r>
      <w:r w:rsidRPr="00191ACB">
        <w:rPr>
          <w:rFonts w:ascii="Times New Roman" w:eastAsia="Calibri" w:hAnsi="Times New Roman" w:cs="Times New Roman"/>
          <w:color w:val="000000" w:themeColor="text1"/>
          <w:sz w:val="24"/>
          <w:szCs w:val="24"/>
        </w:rPr>
        <w:t>-Agriculture land use change and forestry, and (vii) Under off-grid systems biomass gasifier (TNA, 2013).</w:t>
      </w:r>
    </w:p>
    <w:p w14:paraId="7C6EA941" w14:textId="77777777" w:rsidR="007C4139" w:rsidRPr="00191ACB" w:rsidRDefault="007C4139" w:rsidP="005E626A">
      <w:pPr>
        <w:spacing w:after="120" w:line="240" w:lineRule="auto"/>
        <w:jc w:val="both"/>
        <w:rPr>
          <w:rFonts w:ascii="Times New Roman" w:eastAsia="Times New Roman" w:hAnsi="Times New Roman" w:cs="Times New Roman"/>
          <w:b/>
          <w:color w:val="000000" w:themeColor="text1"/>
          <w:sz w:val="24"/>
          <w:szCs w:val="24"/>
        </w:rPr>
      </w:pPr>
    </w:p>
    <w:p w14:paraId="5A278B2A" w14:textId="7309D66A" w:rsidR="00B33B6F" w:rsidRDefault="00A43DF2" w:rsidP="00AB731A">
      <w:pPr>
        <w:spacing w:after="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w:t>
      </w:r>
      <w:r w:rsidR="00B33B6F" w:rsidRPr="00191ACB">
        <w:rPr>
          <w:rFonts w:ascii="Times New Roman" w:eastAsia="Calibri" w:hAnsi="Times New Roman" w:cs="Times New Roman"/>
          <w:color w:val="000000" w:themeColor="text1"/>
          <w:sz w:val="24"/>
          <w:szCs w:val="24"/>
        </w:rPr>
        <w:t xml:space="preserve">dditional technology needs </w:t>
      </w:r>
      <w:r w:rsidRPr="00191ACB">
        <w:rPr>
          <w:rFonts w:ascii="Times New Roman" w:eastAsia="Calibri" w:hAnsi="Times New Roman" w:cs="Times New Roman"/>
          <w:color w:val="000000" w:themeColor="text1"/>
          <w:sz w:val="24"/>
          <w:szCs w:val="24"/>
        </w:rPr>
        <w:t>were</w:t>
      </w:r>
      <w:r w:rsidR="00B33B6F" w:rsidRPr="00191ACB">
        <w:rPr>
          <w:rFonts w:ascii="Times New Roman" w:eastAsia="Calibri" w:hAnsi="Times New Roman" w:cs="Times New Roman"/>
          <w:color w:val="000000" w:themeColor="text1"/>
          <w:sz w:val="24"/>
          <w:szCs w:val="24"/>
        </w:rPr>
        <w:t xml:space="preserve"> identified </w:t>
      </w:r>
      <w:r w:rsidRPr="00191ACB">
        <w:rPr>
          <w:rFonts w:ascii="Times New Roman" w:eastAsia="Calibri" w:hAnsi="Times New Roman" w:cs="Times New Roman"/>
          <w:color w:val="000000" w:themeColor="text1"/>
          <w:sz w:val="24"/>
          <w:szCs w:val="24"/>
        </w:rPr>
        <w:t xml:space="preserve">for implementation of </w:t>
      </w:r>
      <w:r w:rsidR="00B33B6F" w:rsidRPr="00191ACB">
        <w:rPr>
          <w:rFonts w:ascii="Times New Roman" w:eastAsia="Calibri" w:hAnsi="Times New Roman" w:cs="Times New Roman"/>
          <w:color w:val="000000" w:themeColor="text1"/>
          <w:sz w:val="24"/>
          <w:szCs w:val="24"/>
        </w:rPr>
        <w:t>NAMAs</w:t>
      </w:r>
      <w:r w:rsidRPr="00191ACB">
        <w:rPr>
          <w:rFonts w:ascii="Times New Roman" w:eastAsia="Calibri" w:hAnsi="Times New Roman" w:cs="Times New Roman"/>
          <w:color w:val="000000" w:themeColor="text1"/>
          <w:sz w:val="24"/>
          <w:szCs w:val="24"/>
        </w:rPr>
        <w:t xml:space="preserve"> and the</w:t>
      </w:r>
      <w:r w:rsidR="00B33B6F" w:rsidRPr="00191ACB">
        <w:rPr>
          <w:rFonts w:ascii="Times New Roman" w:eastAsia="Calibri" w:hAnsi="Times New Roman" w:cs="Times New Roman"/>
          <w:color w:val="000000" w:themeColor="text1"/>
          <w:sz w:val="24"/>
          <w:szCs w:val="24"/>
        </w:rPr>
        <w:t xml:space="preserve"> NDC </w:t>
      </w:r>
      <w:r w:rsidRPr="00191ACB">
        <w:rPr>
          <w:rFonts w:ascii="Times New Roman" w:eastAsia="Calibri" w:hAnsi="Times New Roman" w:cs="Times New Roman"/>
          <w:color w:val="000000" w:themeColor="text1"/>
          <w:sz w:val="24"/>
          <w:szCs w:val="24"/>
        </w:rPr>
        <w:t>as</w:t>
      </w:r>
      <w:r w:rsidR="00B33B6F" w:rsidRPr="00191ACB">
        <w:rPr>
          <w:rFonts w:ascii="Times New Roman" w:eastAsia="Calibri" w:hAnsi="Times New Roman" w:cs="Times New Roman"/>
          <w:color w:val="000000" w:themeColor="text1"/>
          <w:sz w:val="24"/>
          <w:szCs w:val="24"/>
        </w:rPr>
        <w:t xml:space="preserve"> </w:t>
      </w:r>
      <w:r w:rsidRPr="00191ACB">
        <w:rPr>
          <w:rFonts w:ascii="Times New Roman" w:eastAsia="Calibri" w:hAnsi="Times New Roman" w:cs="Times New Roman"/>
          <w:color w:val="000000" w:themeColor="text1"/>
          <w:sz w:val="24"/>
          <w:szCs w:val="24"/>
        </w:rPr>
        <w:t>outlined</w:t>
      </w:r>
      <w:r w:rsidR="00B33B6F" w:rsidRPr="00191ACB">
        <w:rPr>
          <w:rFonts w:ascii="Times New Roman" w:eastAsia="Calibri" w:hAnsi="Times New Roman" w:cs="Times New Roman"/>
          <w:color w:val="000000" w:themeColor="text1"/>
          <w:sz w:val="24"/>
          <w:szCs w:val="24"/>
        </w:rPr>
        <w:t xml:space="preserve"> in Table</w:t>
      </w:r>
      <w:r w:rsidRPr="00191ACB">
        <w:rPr>
          <w:rFonts w:ascii="Times New Roman" w:eastAsia="Calibri" w:hAnsi="Times New Roman" w:cs="Times New Roman"/>
          <w:color w:val="000000" w:themeColor="text1"/>
          <w:sz w:val="24"/>
          <w:szCs w:val="24"/>
        </w:rPr>
        <w:t xml:space="preserve">s </w:t>
      </w:r>
      <w:r w:rsidR="00CE24DD">
        <w:rPr>
          <w:rFonts w:ascii="Times New Roman" w:eastAsia="Calibri" w:hAnsi="Times New Roman" w:cs="Times New Roman"/>
          <w:color w:val="000000" w:themeColor="text1"/>
          <w:sz w:val="24"/>
          <w:szCs w:val="24"/>
        </w:rPr>
        <w:t xml:space="preserve">7.2 </w:t>
      </w:r>
      <w:r w:rsidRPr="00191ACB">
        <w:rPr>
          <w:rFonts w:ascii="Times New Roman" w:eastAsia="Calibri" w:hAnsi="Times New Roman" w:cs="Times New Roman"/>
          <w:color w:val="000000" w:themeColor="text1"/>
          <w:sz w:val="24"/>
          <w:szCs w:val="24"/>
        </w:rPr>
        <w:t xml:space="preserve">to </w:t>
      </w:r>
      <w:r w:rsidR="00CE24DD">
        <w:rPr>
          <w:rFonts w:ascii="Times New Roman" w:eastAsia="Calibri" w:hAnsi="Times New Roman" w:cs="Times New Roman"/>
          <w:color w:val="000000" w:themeColor="text1"/>
          <w:sz w:val="24"/>
          <w:szCs w:val="24"/>
        </w:rPr>
        <w:t>7.</w:t>
      </w:r>
      <w:r w:rsidR="00D56F0C">
        <w:rPr>
          <w:rFonts w:ascii="Times New Roman" w:eastAsia="Calibri" w:hAnsi="Times New Roman" w:cs="Times New Roman"/>
          <w:color w:val="000000" w:themeColor="text1"/>
          <w:sz w:val="24"/>
          <w:szCs w:val="24"/>
        </w:rPr>
        <w:t>8</w:t>
      </w:r>
      <w:r w:rsidR="00B33B6F" w:rsidRPr="00191ACB">
        <w:rPr>
          <w:rFonts w:ascii="Times New Roman" w:eastAsia="Calibri" w:hAnsi="Times New Roman" w:cs="Times New Roman"/>
          <w:color w:val="000000" w:themeColor="text1"/>
          <w:sz w:val="24"/>
          <w:szCs w:val="24"/>
        </w:rPr>
        <w:t>.</w:t>
      </w:r>
      <w:r w:rsidR="00AB731A">
        <w:rPr>
          <w:rFonts w:ascii="Times New Roman" w:eastAsia="Calibri" w:hAnsi="Times New Roman" w:cs="Times New Roman"/>
          <w:color w:val="000000" w:themeColor="text1"/>
          <w:sz w:val="24"/>
          <w:szCs w:val="24"/>
        </w:rPr>
        <w:t xml:space="preserve"> </w:t>
      </w:r>
    </w:p>
    <w:p w14:paraId="6EACB4DE" w14:textId="77777777" w:rsidR="00CE24DD" w:rsidRPr="00191ACB" w:rsidRDefault="00CE24DD" w:rsidP="005E626A">
      <w:pPr>
        <w:spacing w:after="120" w:line="240" w:lineRule="auto"/>
        <w:jc w:val="both"/>
        <w:rPr>
          <w:rFonts w:ascii="Times New Roman" w:eastAsia="Calibri" w:hAnsi="Times New Roman" w:cs="Times New Roman"/>
          <w:color w:val="000000" w:themeColor="text1"/>
          <w:sz w:val="24"/>
          <w:szCs w:val="24"/>
        </w:rPr>
      </w:pPr>
    </w:p>
    <w:p w14:paraId="1A9DF447" w14:textId="77777777" w:rsidR="00D10127" w:rsidRPr="00191ACB" w:rsidRDefault="00D10127" w:rsidP="005E626A">
      <w:pPr>
        <w:spacing w:after="120" w:line="240" w:lineRule="auto"/>
        <w:jc w:val="both"/>
        <w:rPr>
          <w:rFonts w:ascii="Times New Roman" w:eastAsia="Calibri" w:hAnsi="Times New Roman" w:cs="Times New Roman"/>
          <w:color w:val="000000" w:themeColor="text1"/>
          <w:sz w:val="24"/>
          <w:szCs w:val="24"/>
        </w:rPr>
      </w:pPr>
    </w:p>
    <w:p w14:paraId="77C6A968" w14:textId="25BA81A6" w:rsidR="00B33B6F" w:rsidRPr="002E2B09" w:rsidRDefault="00CE24DD" w:rsidP="00CE24DD">
      <w:pPr>
        <w:pStyle w:val="Caption"/>
        <w:rPr>
          <w:rFonts w:eastAsia="Calibri"/>
          <w:color w:val="000000" w:themeColor="text1"/>
          <w:sz w:val="24"/>
          <w:szCs w:val="24"/>
        </w:rPr>
      </w:pPr>
      <w:bookmarkStart w:id="503" w:name="_Toc56583834"/>
      <w:r w:rsidRPr="002E2B09">
        <w:rPr>
          <w:sz w:val="24"/>
          <w:szCs w:val="24"/>
        </w:rPr>
        <w:t xml:space="preserve">Table </w:t>
      </w:r>
      <w:r w:rsidR="00875942" w:rsidRPr="002E2B09">
        <w:rPr>
          <w:sz w:val="24"/>
          <w:szCs w:val="24"/>
        </w:rPr>
        <w:fldChar w:fldCharType="begin"/>
      </w:r>
      <w:r w:rsidR="00875942" w:rsidRPr="002E2B09">
        <w:rPr>
          <w:sz w:val="24"/>
          <w:szCs w:val="24"/>
        </w:rPr>
        <w:instrText xml:space="preserve"> STYLEREF 1 \s </w:instrText>
      </w:r>
      <w:r w:rsidR="00875942" w:rsidRPr="002E2B09">
        <w:rPr>
          <w:sz w:val="24"/>
          <w:szCs w:val="24"/>
        </w:rPr>
        <w:fldChar w:fldCharType="separate"/>
      </w:r>
      <w:r w:rsidR="00875942" w:rsidRPr="002E2B09">
        <w:rPr>
          <w:noProof/>
          <w:sz w:val="24"/>
          <w:szCs w:val="24"/>
        </w:rPr>
        <w:t>7</w:t>
      </w:r>
      <w:r w:rsidR="00875942" w:rsidRPr="002E2B09">
        <w:rPr>
          <w:sz w:val="24"/>
          <w:szCs w:val="24"/>
        </w:rPr>
        <w:fldChar w:fldCharType="end"/>
      </w:r>
      <w:r w:rsidR="00875942" w:rsidRPr="002E2B09">
        <w:rPr>
          <w:sz w:val="24"/>
          <w:szCs w:val="24"/>
        </w:rPr>
        <w:t>.</w:t>
      </w:r>
      <w:r w:rsidR="00875942" w:rsidRPr="002E2B09">
        <w:rPr>
          <w:sz w:val="24"/>
          <w:szCs w:val="24"/>
        </w:rPr>
        <w:fldChar w:fldCharType="begin"/>
      </w:r>
      <w:r w:rsidR="00875942" w:rsidRPr="002E2B09">
        <w:rPr>
          <w:sz w:val="24"/>
          <w:szCs w:val="24"/>
        </w:rPr>
        <w:instrText xml:space="preserve"> SEQ Table \* ARABIC \s 1 </w:instrText>
      </w:r>
      <w:r w:rsidR="00875942" w:rsidRPr="002E2B09">
        <w:rPr>
          <w:sz w:val="24"/>
          <w:szCs w:val="24"/>
        </w:rPr>
        <w:fldChar w:fldCharType="separate"/>
      </w:r>
      <w:r w:rsidR="00875942" w:rsidRPr="002E2B09">
        <w:rPr>
          <w:noProof/>
          <w:sz w:val="24"/>
          <w:szCs w:val="24"/>
        </w:rPr>
        <w:t>2</w:t>
      </w:r>
      <w:r w:rsidR="00875942" w:rsidRPr="002E2B09">
        <w:rPr>
          <w:sz w:val="24"/>
          <w:szCs w:val="24"/>
        </w:rPr>
        <w:fldChar w:fldCharType="end"/>
      </w:r>
      <w:r w:rsidRPr="002E2B09">
        <w:rPr>
          <w:sz w:val="24"/>
          <w:szCs w:val="24"/>
        </w:rPr>
        <w:t>:Technology needs for Manufacturing</w:t>
      </w:r>
      <w:bookmarkEnd w:id="503"/>
    </w:p>
    <w:tbl>
      <w:tblPr>
        <w:tblW w:w="5000" w:type="pct"/>
        <w:tblCellMar>
          <w:left w:w="0" w:type="dxa"/>
          <w:right w:w="0" w:type="dxa"/>
        </w:tblCellMar>
        <w:tblLook w:val="04A0" w:firstRow="1" w:lastRow="0" w:firstColumn="1" w:lastColumn="0" w:noHBand="0" w:noVBand="1"/>
      </w:tblPr>
      <w:tblGrid>
        <w:gridCol w:w="2249"/>
        <w:gridCol w:w="1539"/>
        <w:gridCol w:w="5941"/>
      </w:tblGrid>
      <w:tr w:rsidR="00B33B6F" w:rsidRPr="00191ACB" w14:paraId="73033D68" w14:textId="77777777" w:rsidTr="00B33B6F">
        <w:trPr>
          <w:trHeight w:val="352"/>
        </w:trPr>
        <w:tc>
          <w:tcPr>
            <w:tcW w:w="1156"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7" w:type="dxa"/>
              <w:bottom w:w="0" w:type="dxa"/>
              <w:right w:w="107" w:type="dxa"/>
            </w:tcMar>
            <w:hideMark/>
          </w:tcPr>
          <w:p w14:paraId="1B5DF571"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Sector</w:t>
            </w:r>
          </w:p>
        </w:tc>
        <w:tc>
          <w:tcPr>
            <w:tcW w:w="791"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7" w:type="dxa"/>
              <w:bottom w:w="0" w:type="dxa"/>
              <w:right w:w="107" w:type="dxa"/>
            </w:tcMar>
            <w:hideMark/>
          </w:tcPr>
          <w:p w14:paraId="7E9DB0DC"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GHG Emissions Sources</w:t>
            </w:r>
          </w:p>
        </w:tc>
        <w:tc>
          <w:tcPr>
            <w:tcW w:w="3053"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7" w:type="dxa"/>
              <w:bottom w:w="0" w:type="dxa"/>
              <w:right w:w="107" w:type="dxa"/>
            </w:tcMar>
            <w:hideMark/>
          </w:tcPr>
          <w:p w14:paraId="0296ECB3"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Mitigation technologies</w:t>
            </w:r>
          </w:p>
        </w:tc>
      </w:tr>
      <w:tr w:rsidR="00B33B6F" w:rsidRPr="00191ACB" w14:paraId="5D5A74BE" w14:textId="77777777" w:rsidTr="00B33B6F">
        <w:trPr>
          <w:trHeight w:val="636"/>
        </w:trPr>
        <w:tc>
          <w:tcPr>
            <w:tcW w:w="1156" w:type="pct"/>
            <w:tcBorders>
              <w:top w:val="single" w:sz="24" w:space="0" w:color="FFFFFF"/>
              <w:left w:val="single" w:sz="8" w:space="0" w:color="FFFFFF"/>
              <w:bottom w:val="single" w:sz="8" w:space="0" w:color="FFFFFF"/>
              <w:right w:val="single" w:sz="8" w:space="0" w:color="FFFFFF"/>
            </w:tcBorders>
            <w:shd w:val="clear" w:color="auto" w:fill="5B9BD5"/>
            <w:tcMar>
              <w:top w:w="15" w:type="dxa"/>
              <w:left w:w="107" w:type="dxa"/>
              <w:bottom w:w="0" w:type="dxa"/>
              <w:right w:w="107" w:type="dxa"/>
            </w:tcMar>
            <w:hideMark/>
          </w:tcPr>
          <w:p w14:paraId="5E57A955"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Food and Beverages</w:t>
            </w:r>
          </w:p>
          <w:p w14:paraId="6407F7AC"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tc>
        <w:tc>
          <w:tcPr>
            <w:tcW w:w="791" w:type="pct"/>
            <w:vMerge w:val="restart"/>
            <w:tcBorders>
              <w:top w:val="single" w:sz="24" w:space="0" w:color="FFFFFF"/>
              <w:left w:val="single" w:sz="8" w:space="0" w:color="FFFFFF"/>
              <w:bottom w:val="single" w:sz="8" w:space="0" w:color="FFFFFF"/>
              <w:right w:val="single" w:sz="8" w:space="0" w:color="FFFFFF"/>
            </w:tcBorders>
            <w:shd w:val="clear" w:color="auto" w:fill="D2DEEF"/>
            <w:tcMar>
              <w:top w:w="15" w:type="dxa"/>
              <w:left w:w="107" w:type="dxa"/>
              <w:bottom w:w="0" w:type="dxa"/>
              <w:right w:w="107" w:type="dxa"/>
            </w:tcMar>
            <w:hideMark/>
          </w:tcPr>
          <w:p w14:paraId="20B55A80"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Boilers</w:t>
            </w:r>
          </w:p>
          <w:p w14:paraId="685DB23F"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lastRenderedPageBreak/>
              <w:t>Effluent systems</w:t>
            </w:r>
          </w:p>
        </w:tc>
        <w:tc>
          <w:tcPr>
            <w:tcW w:w="3053" w:type="pct"/>
            <w:vMerge w:val="restart"/>
            <w:tcBorders>
              <w:top w:val="single" w:sz="24" w:space="0" w:color="FFFFFF"/>
              <w:left w:val="single" w:sz="8" w:space="0" w:color="FFFFFF"/>
              <w:bottom w:val="single" w:sz="8" w:space="0" w:color="FFFFFF"/>
              <w:right w:val="single" w:sz="8" w:space="0" w:color="FFFFFF"/>
            </w:tcBorders>
            <w:shd w:val="clear" w:color="auto" w:fill="D2DEEF"/>
            <w:tcMar>
              <w:top w:w="15" w:type="dxa"/>
              <w:left w:w="107" w:type="dxa"/>
              <w:bottom w:w="0" w:type="dxa"/>
              <w:right w:w="107" w:type="dxa"/>
            </w:tcMar>
            <w:hideMark/>
          </w:tcPr>
          <w:p w14:paraId="6D8BFB3E" w14:textId="77777777" w:rsidR="00B33B6F" w:rsidRPr="00191ACB" w:rsidRDefault="00B33B6F" w:rsidP="00E435F6">
            <w:pPr>
              <w:numPr>
                <w:ilvl w:val="0"/>
                <w:numId w:val="11"/>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lastRenderedPageBreak/>
              <w:t xml:space="preserve">Switch from coal and diesel boilers to biomass fuels and biodiesel operated boilers, and boiler improvements </w:t>
            </w:r>
          </w:p>
          <w:p w14:paraId="2E3269FE" w14:textId="77777777" w:rsidR="00B33B6F" w:rsidRPr="00191ACB" w:rsidRDefault="00B33B6F" w:rsidP="00E435F6">
            <w:pPr>
              <w:numPr>
                <w:ilvl w:val="0"/>
                <w:numId w:val="11"/>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lastRenderedPageBreak/>
              <w:t>Anaerobic digestion for electricity/heat generation</w:t>
            </w:r>
          </w:p>
          <w:p w14:paraId="5F190179" w14:textId="77777777" w:rsidR="00B33B6F" w:rsidRPr="00191ACB" w:rsidRDefault="00B33B6F" w:rsidP="00E435F6">
            <w:pPr>
              <w:numPr>
                <w:ilvl w:val="0"/>
                <w:numId w:val="11"/>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Steam optimization</w:t>
            </w:r>
          </w:p>
        </w:tc>
      </w:tr>
      <w:tr w:rsidR="00B33B6F" w:rsidRPr="00191ACB" w14:paraId="78B06D9E" w14:textId="77777777" w:rsidTr="00B33B6F">
        <w:trPr>
          <w:trHeight w:val="201"/>
        </w:trPr>
        <w:tc>
          <w:tcPr>
            <w:tcW w:w="1156"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7" w:type="dxa"/>
              <w:bottom w:w="0" w:type="dxa"/>
              <w:right w:w="107" w:type="dxa"/>
            </w:tcMar>
            <w:hideMark/>
          </w:tcPr>
          <w:p w14:paraId="723D8B8A"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lastRenderedPageBreak/>
              <w:t>Chemical Industry</w:t>
            </w:r>
          </w:p>
        </w:tc>
        <w:tc>
          <w:tcPr>
            <w:tcW w:w="791" w:type="pct"/>
            <w:vMerge/>
            <w:tcBorders>
              <w:top w:val="single" w:sz="24" w:space="0" w:color="FFFFFF"/>
              <w:left w:val="single" w:sz="8" w:space="0" w:color="FFFFFF"/>
              <w:bottom w:val="single" w:sz="8" w:space="0" w:color="FFFFFF"/>
              <w:right w:val="single" w:sz="8" w:space="0" w:color="FFFFFF"/>
            </w:tcBorders>
            <w:vAlign w:val="center"/>
            <w:hideMark/>
          </w:tcPr>
          <w:p w14:paraId="3E1F2A43"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tc>
        <w:tc>
          <w:tcPr>
            <w:tcW w:w="3053" w:type="pct"/>
            <w:vMerge/>
            <w:tcBorders>
              <w:top w:val="single" w:sz="24" w:space="0" w:color="FFFFFF"/>
              <w:left w:val="single" w:sz="8" w:space="0" w:color="FFFFFF"/>
              <w:bottom w:val="single" w:sz="8" w:space="0" w:color="FFFFFF"/>
              <w:right w:val="single" w:sz="8" w:space="0" w:color="FFFFFF"/>
            </w:tcBorders>
            <w:vAlign w:val="center"/>
            <w:hideMark/>
          </w:tcPr>
          <w:p w14:paraId="4CA5335E"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tc>
      </w:tr>
      <w:tr w:rsidR="00B33B6F" w:rsidRPr="00191ACB" w14:paraId="766F8E1F" w14:textId="77777777" w:rsidTr="00B33B6F">
        <w:trPr>
          <w:trHeight w:val="687"/>
        </w:trPr>
        <w:tc>
          <w:tcPr>
            <w:tcW w:w="1156"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7" w:type="dxa"/>
              <w:bottom w:w="0" w:type="dxa"/>
              <w:right w:w="107" w:type="dxa"/>
            </w:tcMar>
            <w:hideMark/>
          </w:tcPr>
          <w:p w14:paraId="236A49C0"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Cement and Lime production</w:t>
            </w:r>
          </w:p>
        </w:tc>
        <w:tc>
          <w:tcPr>
            <w:tcW w:w="791"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7" w:type="dxa"/>
              <w:bottom w:w="0" w:type="dxa"/>
              <w:right w:w="107" w:type="dxa"/>
            </w:tcMar>
            <w:hideMark/>
          </w:tcPr>
          <w:p w14:paraId="3F9C0E43"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Process kilns</w:t>
            </w:r>
          </w:p>
        </w:tc>
        <w:tc>
          <w:tcPr>
            <w:tcW w:w="3053"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7" w:type="dxa"/>
              <w:bottom w:w="0" w:type="dxa"/>
              <w:right w:w="107" w:type="dxa"/>
            </w:tcMar>
            <w:hideMark/>
          </w:tcPr>
          <w:p w14:paraId="60DBED11" w14:textId="77777777" w:rsidR="00B33B6F" w:rsidRPr="00191ACB" w:rsidRDefault="00B33B6F" w:rsidP="00E435F6">
            <w:pPr>
              <w:numPr>
                <w:ilvl w:val="0"/>
                <w:numId w:val="12"/>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Feedstock change (granulated blast furnace slag from iron production, and or fly ash from coal-fired power generation</w:t>
            </w:r>
          </w:p>
          <w:p w14:paraId="70227F03" w14:textId="77777777" w:rsidR="00B33B6F" w:rsidRPr="00191ACB" w:rsidRDefault="00B33B6F" w:rsidP="00E435F6">
            <w:pPr>
              <w:numPr>
                <w:ilvl w:val="0"/>
                <w:numId w:val="12"/>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Heat recovery for electricity generation</w:t>
            </w:r>
          </w:p>
        </w:tc>
      </w:tr>
      <w:tr w:rsidR="00B33B6F" w:rsidRPr="00191ACB" w14:paraId="50298601" w14:textId="77777777" w:rsidTr="00B33B6F">
        <w:trPr>
          <w:trHeight w:val="382"/>
        </w:trPr>
        <w:tc>
          <w:tcPr>
            <w:tcW w:w="1156"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7" w:type="dxa"/>
              <w:bottom w:w="0" w:type="dxa"/>
              <w:right w:w="107" w:type="dxa"/>
            </w:tcMar>
            <w:hideMark/>
          </w:tcPr>
          <w:p w14:paraId="30AC3B2A"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Pulp and paper</w:t>
            </w:r>
          </w:p>
        </w:tc>
        <w:tc>
          <w:tcPr>
            <w:tcW w:w="791"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7" w:type="dxa"/>
              <w:bottom w:w="0" w:type="dxa"/>
              <w:right w:w="107" w:type="dxa"/>
            </w:tcMar>
            <w:hideMark/>
          </w:tcPr>
          <w:p w14:paraId="5A66967E"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Process residue effluent systems</w:t>
            </w:r>
          </w:p>
        </w:tc>
        <w:tc>
          <w:tcPr>
            <w:tcW w:w="3053"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7" w:type="dxa"/>
              <w:bottom w:w="0" w:type="dxa"/>
              <w:right w:w="107" w:type="dxa"/>
            </w:tcMar>
            <w:hideMark/>
          </w:tcPr>
          <w:p w14:paraId="2CA8509E"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Onsite electricity generation from combustion of process residue</w:t>
            </w:r>
          </w:p>
        </w:tc>
      </w:tr>
    </w:tbl>
    <w:p w14:paraId="05883AD4" w14:textId="0990B6C1" w:rsidR="00A43DF2" w:rsidRDefault="00A43DF2" w:rsidP="00B33B6F">
      <w:pPr>
        <w:spacing w:after="0" w:line="240" w:lineRule="auto"/>
        <w:jc w:val="both"/>
        <w:rPr>
          <w:rFonts w:ascii="Times New Roman" w:eastAsia="Calibri" w:hAnsi="Times New Roman" w:cs="Times New Roman"/>
          <w:color w:val="000000" w:themeColor="text1"/>
          <w:sz w:val="24"/>
          <w:szCs w:val="24"/>
        </w:rPr>
      </w:pPr>
    </w:p>
    <w:p w14:paraId="0FBFB3ED" w14:textId="77777777" w:rsidR="002E2B09" w:rsidRPr="00191ACB" w:rsidRDefault="002E2B09" w:rsidP="00B33B6F">
      <w:pPr>
        <w:spacing w:after="0" w:line="240" w:lineRule="auto"/>
        <w:jc w:val="both"/>
        <w:rPr>
          <w:rFonts w:ascii="Times New Roman" w:eastAsia="Calibri" w:hAnsi="Times New Roman" w:cs="Times New Roman"/>
          <w:color w:val="000000" w:themeColor="text1"/>
          <w:sz w:val="24"/>
          <w:szCs w:val="24"/>
        </w:rPr>
      </w:pPr>
    </w:p>
    <w:p w14:paraId="5CD8B640" w14:textId="529F9B15" w:rsidR="00123398" w:rsidRPr="002E2B09" w:rsidRDefault="00123398" w:rsidP="00123398">
      <w:pPr>
        <w:pStyle w:val="Caption"/>
        <w:keepNext/>
        <w:rPr>
          <w:sz w:val="24"/>
          <w:szCs w:val="24"/>
        </w:rPr>
      </w:pPr>
      <w:bookmarkStart w:id="504" w:name="_Toc56583835"/>
      <w:r w:rsidRPr="002E2B09">
        <w:rPr>
          <w:sz w:val="24"/>
          <w:szCs w:val="24"/>
        </w:rPr>
        <w:t xml:space="preserve">Table </w:t>
      </w:r>
      <w:r w:rsidR="00875942" w:rsidRPr="002E2B09">
        <w:rPr>
          <w:sz w:val="24"/>
          <w:szCs w:val="24"/>
        </w:rPr>
        <w:fldChar w:fldCharType="begin"/>
      </w:r>
      <w:r w:rsidR="00875942" w:rsidRPr="002E2B09">
        <w:rPr>
          <w:sz w:val="24"/>
          <w:szCs w:val="24"/>
        </w:rPr>
        <w:instrText xml:space="preserve"> STYLEREF 1 \s </w:instrText>
      </w:r>
      <w:r w:rsidR="00875942" w:rsidRPr="002E2B09">
        <w:rPr>
          <w:sz w:val="24"/>
          <w:szCs w:val="24"/>
        </w:rPr>
        <w:fldChar w:fldCharType="separate"/>
      </w:r>
      <w:r w:rsidR="00875942" w:rsidRPr="002E2B09">
        <w:rPr>
          <w:noProof/>
          <w:sz w:val="24"/>
          <w:szCs w:val="24"/>
        </w:rPr>
        <w:t>7</w:t>
      </w:r>
      <w:r w:rsidR="00875942" w:rsidRPr="002E2B09">
        <w:rPr>
          <w:sz w:val="24"/>
          <w:szCs w:val="24"/>
        </w:rPr>
        <w:fldChar w:fldCharType="end"/>
      </w:r>
      <w:r w:rsidR="00875942" w:rsidRPr="002E2B09">
        <w:rPr>
          <w:sz w:val="24"/>
          <w:szCs w:val="24"/>
        </w:rPr>
        <w:t>.</w:t>
      </w:r>
      <w:r w:rsidR="00875942" w:rsidRPr="002E2B09">
        <w:rPr>
          <w:sz w:val="24"/>
          <w:szCs w:val="24"/>
        </w:rPr>
        <w:fldChar w:fldCharType="begin"/>
      </w:r>
      <w:r w:rsidR="00875942" w:rsidRPr="002E2B09">
        <w:rPr>
          <w:sz w:val="24"/>
          <w:szCs w:val="24"/>
        </w:rPr>
        <w:instrText xml:space="preserve"> SEQ Table \* ARABIC \s 1 </w:instrText>
      </w:r>
      <w:r w:rsidR="00875942" w:rsidRPr="002E2B09">
        <w:rPr>
          <w:sz w:val="24"/>
          <w:szCs w:val="24"/>
        </w:rPr>
        <w:fldChar w:fldCharType="separate"/>
      </w:r>
      <w:r w:rsidR="00875942" w:rsidRPr="002E2B09">
        <w:rPr>
          <w:noProof/>
          <w:sz w:val="24"/>
          <w:szCs w:val="24"/>
        </w:rPr>
        <w:t>3</w:t>
      </w:r>
      <w:r w:rsidR="00875942" w:rsidRPr="002E2B09">
        <w:rPr>
          <w:sz w:val="24"/>
          <w:szCs w:val="24"/>
        </w:rPr>
        <w:fldChar w:fldCharType="end"/>
      </w:r>
      <w:r w:rsidRPr="002E2B09">
        <w:rPr>
          <w:sz w:val="24"/>
          <w:szCs w:val="24"/>
        </w:rPr>
        <w:t>:Technology needs for Energy</w:t>
      </w:r>
      <w:bookmarkEnd w:id="504"/>
    </w:p>
    <w:tbl>
      <w:tblPr>
        <w:tblW w:w="5000" w:type="pct"/>
        <w:tblCellMar>
          <w:left w:w="0" w:type="dxa"/>
          <w:right w:w="0" w:type="dxa"/>
        </w:tblCellMar>
        <w:tblLook w:val="04A0" w:firstRow="1" w:lastRow="0" w:firstColumn="1" w:lastColumn="0" w:noHBand="0" w:noVBand="1"/>
      </w:tblPr>
      <w:tblGrid>
        <w:gridCol w:w="2206"/>
        <w:gridCol w:w="1625"/>
        <w:gridCol w:w="5898"/>
      </w:tblGrid>
      <w:tr w:rsidR="00B33B6F" w:rsidRPr="00191ACB" w14:paraId="141AE33B" w14:textId="77777777" w:rsidTr="00B33B6F">
        <w:trPr>
          <w:trHeight w:val="302"/>
          <w:tblHeader/>
        </w:trPr>
        <w:tc>
          <w:tcPr>
            <w:tcW w:w="1134" w:type="pct"/>
            <w:tcBorders>
              <w:top w:val="single" w:sz="8" w:space="0" w:color="FFFFFF"/>
              <w:left w:val="single" w:sz="8" w:space="0" w:color="FFFFFF"/>
              <w:bottom w:val="single" w:sz="24" w:space="0" w:color="FFFFFF"/>
              <w:right w:val="single" w:sz="8" w:space="0" w:color="FFFFFF"/>
            </w:tcBorders>
            <w:shd w:val="clear" w:color="auto" w:fill="5B9BD5"/>
            <w:tcMar>
              <w:top w:w="15" w:type="dxa"/>
              <w:left w:w="83" w:type="dxa"/>
              <w:bottom w:w="0" w:type="dxa"/>
              <w:right w:w="83" w:type="dxa"/>
            </w:tcMar>
            <w:hideMark/>
          </w:tcPr>
          <w:p w14:paraId="5B8967D0" w14:textId="77777777" w:rsidR="00B33B6F" w:rsidRPr="00191ACB" w:rsidRDefault="00B33B6F" w:rsidP="00B33B6F">
            <w:pPr>
              <w:spacing w:after="0" w:line="240" w:lineRule="auto"/>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lang w:val="en-GB"/>
              </w:rPr>
              <w:t>Sector</w:t>
            </w:r>
          </w:p>
        </w:tc>
        <w:tc>
          <w:tcPr>
            <w:tcW w:w="835" w:type="pct"/>
            <w:tcBorders>
              <w:top w:val="single" w:sz="8" w:space="0" w:color="FFFFFF"/>
              <w:left w:val="single" w:sz="8" w:space="0" w:color="FFFFFF"/>
              <w:bottom w:val="single" w:sz="24" w:space="0" w:color="FFFFFF"/>
              <w:right w:val="single" w:sz="8" w:space="0" w:color="FFFFFF"/>
            </w:tcBorders>
            <w:shd w:val="clear" w:color="auto" w:fill="5B9BD5"/>
            <w:tcMar>
              <w:top w:w="15" w:type="dxa"/>
              <w:left w:w="83" w:type="dxa"/>
              <w:bottom w:w="0" w:type="dxa"/>
              <w:right w:w="83" w:type="dxa"/>
            </w:tcMar>
            <w:hideMark/>
          </w:tcPr>
          <w:p w14:paraId="41606D54" w14:textId="77777777" w:rsidR="00B33B6F" w:rsidRPr="00191ACB" w:rsidRDefault="00B33B6F" w:rsidP="00B33B6F">
            <w:pPr>
              <w:spacing w:after="0" w:line="240" w:lineRule="auto"/>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GHG Emissions Sources</w:t>
            </w:r>
          </w:p>
        </w:tc>
        <w:tc>
          <w:tcPr>
            <w:tcW w:w="3031" w:type="pct"/>
            <w:tcBorders>
              <w:top w:val="single" w:sz="8" w:space="0" w:color="FFFFFF"/>
              <w:left w:val="single" w:sz="8" w:space="0" w:color="FFFFFF"/>
              <w:bottom w:val="single" w:sz="24" w:space="0" w:color="FFFFFF"/>
              <w:right w:val="single" w:sz="8" w:space="0" w:color="FFFFFF"/>
            </w:tcBorders>
            <w:shd w:val="clear" w:color="auto" w:fill="5B9BD5"/>
            <w:tcMar>
              <w:top w:w="15" w:type="dxa"/>
              <w:left w:w="83" w:type="dxa"/>
              <w:bottom w:w="0" w:type="dxa"/>
              <w:right w:w="83" w:type="dxa"/>
            </w:tcMar>
            <w:hideMark/>
          </w:tcPr>
          <w:p w14:paraId="2B4F1665" w14:textId="77777777" w:rsidR="00B33B6F" w:rsidRPr="00191ACB" w:rsidRDefault="00B33B6F" w:rsidP="00B33B6F">
            <w:pPr>
              <w:spacing w:after="0" w:line="240" w:lineRule="auto"/>
              <w:jc w:val="both"/>
              <w:rPr>
                <w:rFonts w:ascii="Times New Roman" w:eastAsia="Calibri" w:hAnsi="Times New Roman" w:cs="Times New Roman"/>
                <w:b/>
                <w:color w:val="000000" w:themeColor="text1"/>
                <w:sz w:val="24"/>
                <w:szCs w:val="24"/>
              </w:rPr>
            </w:pPr>
            <w:r w:rsidRPr="00191ACB">
              <w:rPr>
                <w:rFonts w:ascii="Times New Roman" w:eastAsia="Calibri" w:hAnsi="Times New Roman" w:cs="Times New Roman"/>
                <w:b/>
                <w:color w:val="000000" w:themeColor="text1"/>
                <w:sz w:val="24"/>
                <w:szCs w:val="24"/>
              </w:rPr>
              <w:t>Mitigation technologies</w:t>
            </w:r>
          </w:p>
        </w:tc>
      </w:tr>
      <w:tr w:rsidR="00B33B6F" w:rsidRPr="00191ACB" w14:paraId="2CC1EBF9" w14:textId="77777777" w:rsidTr="00B33B6F">
        <w:trPr>
          <w:trHeight w:val="351"/>
        </w:trPr>
        <w:tc>
          <w:tcPr>
            <w:tcW w:w="1134" w:type="pct"/>
            <w:tcBorders>
              <w:top w:val="single" w:sz="24" w:space="0" w:color="FFFFFF"/>
              <w:left w:val="single" w:sz="8" w:space="0" w:color="FFFFFF"/>
              <w:bottom w:val="single" w:sz="8" w:space="0" w:color="FFFFFF"/>
              <w:right w:val="single" w:sz="8" w:space="0" w:color="FFFFFF"/>
            </w:tcBorders>
            <w:shd w:val="clear" w:color="auto" w:fill="5B9BD5"/>
            <w:tcMar>
              <w:top w:w="15" w:type="dxa"/>
              <w:left w:w="83" w:type="dxa"/>
              <w:bottom w:w="0" w:type="dxa"/>
              <w:right w:w="83" w:type="dxa"/>
            </w:tcMar>
            <w:hideMark/>
          </w:tcPr>
          <w:p w14:paraId="668C0D4C"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Petroleum refining</w:t>
            </w:r>
          </w:p>
        </w:tc>
        <w:tc>
          <w:tcPr>
            <w:tcW w:w="835" w:type="pct"/>
            <w:tcBorders>
              <w:top w:val="single" w:sz="24" w:space="0" w:color="FFFFFF"/>
              <w:left w:val="single" w:sz="8" w:space="0" w:color="FFFFFF"/>
              <w:bottom w:val="single" w:sz="8" w:space="0" w:color="FFFFFF"/>
              <w:right w:val="single" w:sz="8" w:space="0" w:color="FFFFFF"/>
            </w:tcBorders>
            <w:shd w:val="clear" w:color="auto" w:fill="D2DEEF"/>
            <w:tcMar>
              <w:top w:w="15" w:type="dxa"/>
              <w:left w:w="83" w:type="dxa"/>
              <w:bottom w:w="0" w:type="dxa"/>
              <w:right w:w="83" w:type="dxa"/>
            </w:tcMar>
            <w:hideMark/>
          </w:tcPr>
          <w:p w14:paraId="25E705A9"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Flared gas</w:t>
            </w:r>
          </w:p>
        </w:tc>
        <w:tc>
          <w:tcPr>
            <w:tcW w:w="3031" w:type="pct"/>
            <w:tcBorders>
              <w:top w:val="single" w:sz="24" w:space="0" w:color="FFFFFF"/>
              <w:left w:val="single" w:sz="8" w:space="0" w:color="FFFFFF"/>
              <w:bottom w:val="single" w:sz="8" w:space="0" w:color="FFFFFF"/>
              <w:right w:val="single" w:sz="8" w:space="0" w:color="FFFFFF"/>
            </w:tcBorders>
            <w:shd w:val="clear" w:color="auto" w:fill="D2DEEF"/>
            <w:tcMar>
              <w:top w:w="15" w:type="dxa"/>
              <w:left w:w="83" w:type="dxa"/>
              <w:bottom w:w="0" w:type="dxa"/>
              <w:right w:w="83" w:type="dxa"/>
            </w:tcMar>
            <w:hideMark/>
          </w:tcPr>
          <w:p w14:paraId="2AD0F133"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LPG recovery for either onsite electricity generation or gaseous fuel for boilers/kilns</w:t>
            </w:r>
          </w:p>
        </w:tc>
      </w:tr>
      <w:tr w:rsidR="00B33B6F" w:rsidRPr="00191ACB" w14:paraId="434D1D40" w14:textId="77777777" w:rsidTr="00B33B6F">
        <w:trPr>
          <w:trHeight w:val="1260"/>
        </w:trPr>
        <w:tc>
          <w:tcPr>
            <w:tcW w:w="1134" w:type="pct"/>
            <w:tcBorders>
              <w:top w:val="single" w:sz="8" w:space="0" w:color="FFFFFF"/>
              <w:left w:val="single" w:sz="8" w:space="0" w:color="FFFFFF"/>
              <w:bottom w:val="single" w:sz="8" w:space="0" w:color="FFFFFF"/>
              <w:right w:val="single" w:sz="8" w:space="0" w:color="FFFFFF"/>
            </w:tcBorders>
            <w:shd w:val="clear" w:color="auto" w:fill="5B9BD5"/>
            <w:tcMar>
              <w:top w:w="15" w:type="dxa"/>
              <w:left w:w="83" w:type="dxa"/>
              <w:bottom w:w="0" w:type="dxa"/>
              <w:right w:w="83" w:type="dxa"/>
            </w:tcMar>
            <w:hideMark/>
          </w:tcPr>
          <w:p w14:paraId="26867D02"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All manufacturing industries</w:t>
            </w:r>
          </w:p>
        </w:tc>
        <w:tc>
          <w:tcPr>
            <w:tcW w:w="835" w:type="pct"/>
            <w:tcBorders>
              <w:top w:val="single" w:sz="8" w:space="0" w:color="FFFFFF"/>
              <w:left w:val="single" w:sz="8" w:space="0" w:color="FFFFFF"/>
              <w:bottom w:val="single" w:sz="8" w:space="0" w:color="FFFFFF"/>
              <w:right w:val="single" w:sz="8" w:space="0" w:color="FFFFFF"/>
            </w:tcBorders>
            <w:shd w:val="clear" w:color="auto" w:fill="EAEFF7"/>
            <w:tcMar>
              <w:top w:w="15" w:type="dxa"/>
              <w:left w:w="83" w:type="dxa"/>
              <w:bottom w:w="0" w:type="dxa"/>
              <w:right w:w="83" w:type="dxa"/>
            </w:tcMar>
            <w:hideMark/>
          </w:tcPr>
          <w:p w14:paraId="10768F7E"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Grid emissions</w:t>
            </w:r>
          </w:p>
        </w:tc>
        <w:tc>
          <w:tcPr>
            <w:tcW w:w="3031" w:type="pct"/>
            <w:tcBorders>
              <w:top w:val="single" w:sz="8" w:space="0" w:color="FFFFFF"/>
              <w:left w:val="single" w:sz="8" w:space="0" w:color="FFFFFF"/>
              <w:bottom w:val="single" w:sz="8" w:space="0" w:color="FFFFFF"/>
              <w:right w:val="single" w:sz="8" w:space="0" w:color="FFFFFF"/>
            </w:tcBorders>
            <w:shd w:val="clear" w:color="auto" w:fill="EAEFF7"/>
            <w:tcMar>
              <w:top w:w="15" w:type="dxa"/>
              <w:left w:w="83" w:type="dxa"/>
              <w:bottom w:w="0" w:type="dxa"/>
              <w:right w:w="83" w:type="dxa"/>
            </w:tcMar>
            <w:hideMark/>
          </w:tcPr>
          <w:p w14:paraId="2F6B9F7A" w14:textId="77777777" w:rsidR="00B33B6F" w:rsidRPr="00191ACB" w:rsidRDefault="00B33B6F" w:rsidP="00E435F6">
            <w:pPr>
              <w:numPr>
                <w:ilvl w:val="0"/>
                <w:numId w:val="13"/>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Energy management system</w:t>
            </w:r>
          </w:p>
          <w:p w14:paraId="4ED1E8D5" w14:textId="77777777" w:rsidR="00B33B6F" w:rsidRPr="00191ACB" w:rsidRDefault="00B33B6F" w:rsidP="00E435F6">
            <w:pPr>
              <w:numPr>
                <w:ilvl w:val="0"/>
                <w:numId w:val="13"/>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Efficient electric motors, </w:t>
            </w:r>
          </w:p>
          <w:p w14:paraId="65DE013A" w14:textId="77777777" w:rsidR="00B33B6F" w:rsidRPr="00191ACB" w:rsidRDefault="00B33B6F" w:rsidP="00E435F6">
            <w:pPr>
              <w:numPr>
                <w:ilvl w:val="0"/>
                <w:numId w:val="13"/>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Automatic load control motors, </w:t>
            </w:r>
          </w:p>
          <w:p w14:paraId="10E203B6" w14:textId="77777777" w:rsidR="00B33B6F" w:rsidRPr="00191ACB" w:rsidRDefault="00B33B6F" w:rsidP="00E435F6">
            <w:pPr>
              <w:numPr>
                <w:ilvl w:val="0"/>
                <w:numId w:val="13"/>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Power factor corrections/Reactive Power Compensation technologies</w:t>
            </w:r>
          </w:p>
          <w:p w14:paraId="49B51756" w14:textId="77777777" w:rsidR="00B33B6F" w:rsidRPr="00191ACB" w:rsidRDefault="00B33B6F" w:rsidP="00E435F6">
            <w:pPr>
              <w:numPr>
                <w:ilvl w:val="0"/>
                <w:numId w:val="13"/>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Improved boilers and furnaces</w:t>
            </w:r>
          </w:p>
        </w:tc>
      </w:tr>
      <w:tr w:rsidR="00B33B6F" w:rsidRPr="00191ACB" w14:paraId="02689C2A" w14:textId="77777777" w:rsidTr="00B33B6F">
        <w:trPr>
          <w:trHeight w:val="666"/>
        </w:trPr>
        <w:tc>
          <w:tcPr>
            <w:tcW w:w="1134" w:type="pct"/>
            <w:tcBorders>
              <w:top w:val="single" w:sz="8" w:space="0" w:color="FFFFFF"/>
              <w:left w:val="single" w:sz="8" w:space="0" w:color="FFFFFF"/>
              <w:bottom w:val="single" w:sz="8" w:space="0" w:color="FFFFFF"/>
              <w:right w:val="single" w:sz="8" w:space="0" w:color="FFFFFF"/>
            </w:tcBorders>
            <w:shd w:val="clear" w:color="auto" w:fill="5B9BD5"/>
            <w:tcMar>
              <w:top w:w="15" w:type="dxa"/>
              <w:left w:w="83" w:type="dxa"/>
              <w:bottom w:w="0" w:type="dxa"/>
              <w:right w:w="83" w:type="dxa"/>
            </w:tcMar>
            <w:hideMark/>
          </w:tcPr>
          <w:p w14:paraId="00680662"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Mining</w:t>
            </w:r>
          </w:p>
        </w:tc>
        <w:tc>
          <w:tcPr>
            <w:tcW w:w="835" w:type="pct"/>
            <w:tcBorders>
              <w:top w:val="single" w:sz="8" w:space="0" w:color="FFFFFF"/>
              <w:left w:val="single" w:sz="8" w:space="0" w:color="FFFFFF"/>
              <w:bottom w:val="single" w:sz="8" w:space="0" w:color="FFFFFF"/>
              <w:right w:val="single" w:sz="8" w:space="0" w:color="FFFFFF"/>
            </w:tcBorders>
            <w:shd w:val="clear" w:color="auto" w:fill="D2DEEF"/>
            <w:tcMar>
              <w:top w:w="15" w:type="dxa"/>
              <w:left w:w="83" w:type="dxa"/>
              <w:bottom w:w="0" w:type="dxa"/>
              <w:right w:w="83" w:type="dxa"/>
            </w:tcMar>
            <w:hideMark/>
          </w:tcPr>
          <w:p w14:paraId="31C980D2"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Furnace</w:t>
            </w:r>
          </w:p>
          <w:p w14:paraId="1A5FBA01"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Smelter exhaust gases</w:t>
            </w:r>
          </w:p>
        </w:tc>
        <w:tc>
          <w:tcPr>
            <w:tcW w:w="3031" w:type="pct"/>
            <w:tcBorders>
              <w:top w:val="single" w:sz="8" w:space="0" w:color="FFFFFF"/>
              <w:left w:val="single" w:sz="8" w:space="0" w:color="FFFFFF"/>
              <w:bottom w:val="single" w:sz="8" w:space="0" w:color="FFFFFF"/>
              <w:right w:val="single" w:sz="8" w:space="0" w:color="FFFFFF"/>
            </w:tcBorders>
            <w:shd w:val="clear" w:color="auto" w:fill="D2DEEF"/>
            <w:tcMar>
              <w:top w:w="15" w:type="dxa"/>
              <w:left w:w="83" w:type="dxa"/>
              <w:bottom w:w="0" w:type="dxa"/>
              <w:right w:w="83" w:type="dxa"/>
            </w:tcMar>
            <w:hideMark/>
          </w:tcPr>
          <w:p w14:paraId="656F85B0"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Process heat recovery for onsite electricity generation</w:t>
            </w:r>
          </w:p>
        </w:tc>
      </w:tr>
      <w:tr w:rsidR="00B33B6F" w:rsidRPr="00191ACB" w14:paraId="0C89415F" w14:textId="77777777" w:rsidTr="00B33B6F">
        <w:trPr>
          <w:trHeight w:val="925"/>
        </w:trPr>
        <w:tc>
          <w:tcPr>
            <w:tcW w:w="1134" w:type="pct"/>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023BA7F7"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Existing diesel/HFO electric plants</w:t>
            </w:r>
          </w:p>
        </w:tc>
        <w:tc>
          <w:tcPr>
            <w:tcW w:w="835" w:type="pct"/>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5A764C2"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Diesel/HFO electric sets</w:t>
            </w:r>
          </w:p>
        </w:tc>
        <w:tc>
          <w:tcPr>
            <w:tcW w:w="3031" w:type="pct"/>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1D12F87"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Technologies for manufacture of pen stocks, turbines, and other electro mechanical equipment for hydro, </w:t>
            </w:r>
          </w:p>
          <w:p w14:paraId="11192410"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Technologies for sustainable biomass-fast growing willow and coppice</w:t>
            </w:r>
          </w:p>
        </w:tc>
      </w:tr>
      <w:tr w:rsidR="00B33B6F" w:rsidRPr="00191ACB" w14:paraId="3C2C8501" w14:textId="77777777" w:rsidTr="00B33B6F">
        <w:trPr>
          <w:trHeight w:val="539"/>
        </w:trPr>
        <w:tc>
          <w:tcPr>
            <w:tcW w:w="1134"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089D9EE6"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Off-grid</w:t>
            </w:r>
          </w:p>
        </w:tc>
        <w:tc>
          <w:tcPr>
            <w:tcW w:w="835"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1E598AD"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Candle use, firewood and charcoal</w:t>
            </w:r>
          </w:p>
        </w:tc>
        <w:tc>
          <w:tcPr>
            <w:tcW w:w="3031"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01EE464"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Solar PV technologies for production of </w:t>
            </w:r>
            <w:r w:rsidRPr="00191ACB">
              <w:rPr>
                <w:rFonts w:ascii="Times New Roman" w:eastAsia="Times New Roman" w:hAnsi="Times New Roman" w:cs="Times New Roman"/>
                <w:color w:val="000000" w:themeColor="text1"/>
                <w:sz w:val="24"/>
                <w:szCs w:val="24"/>
              </w:rPr>
              <w:t xml:space="preserve">ingots, wafers, </w:t>
            </w:r>
            <w:r w:rsidRPr="00191ACB">
              <w:rPr>
                <w:rFonts w:ascii="Times New Roman" w:eastAsia="Times New Roman" w:hAnsi="Times New Roman" w:cs="Times New Roman"/>
                <w:bCs/>
                <w:color w:val="000000" w:themeColor="text1"/>
                <w:sz w:val="24"/>
                <w:szCs w:val="24"/>
              </w:rPr>
              <w:t>solar</w:t>
            </w:r>
            <w:r w:rsidRPr="00191ACB">
              <w:rPr>
                <w:rFonts w:ascii="Times New Roman" w:eastAsia="Times New Roman" w:hAnsi="Times New Roman" w:cs="Times New Roman"/>
                <w:color w:val="000000" w:themeColor="text1"/>
                <w:sz w:val="24"/>
                <w:szCs w:val="24"/>
              </w:rPr>
              <w:t xml:space="preserve"> cells, </w:t>
            </w:r>
            <w:r w:rsidRPr="00191ACB">
              <w:rPr>
                <w:rFonts w:ascii="Times New Roman" w:eastAsia="Times New Roman" w:hAnsi="Times New Roman" w:cs="Times New Roman"/>
                <w:bCs/>
                <w:color w:val="000000" w:themeColor="text1"/>
                <w:sz w:val="24"/>
                <w:szCs w:val="24"/>
              </w:rPr>
              <w:t>solar</w:t>
            </w:r>
            <w:r w:rsidRPr="00191ACB">
              <w:rPr>
                <w:rFonts w:ascii="Times New Roman" w:eastAsia="Times New Roman" w:hAnsi="Times New Roman" w:cs="Times New Roman"/>
                <w:color w:val="000000" w:themeColor="text1"/>
                <w:sz w:val="24"/>
                <w:szCs w:val="24"/>
              </w:rPr>
              <w:t xml:space="preserve"> cell to </w:t>
            </w:r>
            <w:r w:rsidRPr="00191ACB">
              <w:rPr>
                <w:rFonts w:ascii="Times New Roman" w:eastAsia="Times New Roman" w:hAnsi="Times New Roman" w:cs="Times New Roman"/>
                <w:bCs/>
                <w:color w:val="000000" w:themeColor="text1"/>
                <w:sz w:val="24"/>
                <w:szCs w:val="24"/>
              </w:rPr>
              <w:t>solar</w:t>
            </w:r>
            <w:r w:rsidRPr="00191ACB">
              <w:rPr>
                <w:rFonts w:ascii="Times New Roman" w:eastAsia="Times New Roman" w:hAnsi="Times New Roman" w:cs="Times New Roman"/>
                <w:color w:val="000000" w:themeColor="text1"/>
                <w:sz w:val="24"/>
                <w:szCs w:val="24"/>
              </w:rPr>
              <w:t xml:space="preserve"> panel and  testing the modules.</w:t>
            </w:r>
          </w:p>
        </w:tc>
      </w:tr>
      <w:tr w:rsidR="00B33B6F" w:rsidRPr="00191ACB" w14:paraId="0336D0D6" w14:textId="77777777" w:rsidTr="00B33B6F">
        <w:trPr>
          <w:trHeight w:val="393"/>
        </w:trPr>
        <w:tc>
          <w:tcPr>
            <w:tcW w:w="1134"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12F74571"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Off-grid</w:t>
            </w:r>
          </w:p>
        </w:tc>
        <w:tc>
          <w:tcPr>
            <w:tcW w:w="835"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332FCC41"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Isolated small scale diesel</w:t>
            </w:r>
          </w:p>
        </w:tc>
        <w:tc>
          <w:tcPr>
            <w:tcW w:w="3031"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BBBA909" w14:textId="77777777" w:rsidR="00B33B6F" w:rsidRPr="00191ACB" w:rsidRDefault="00B33B6F" w:rsidP="00E435F6">
            <w:pPr>
              <w:numPr>
                <w:ilvl w:val="0"/>
                <w:numId w:val="14"/>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Solar PV technologies for production of </w:t>
            </w:r>
            <w:r w:rsidRPr="00191ACB">
              <w:rPr>
                <w:rFonts w:ascii="Times New Roman" w:eastAsia="Times New Roman" w:hAnsi="Times New Roman" w:cs="Times New Roman"/>
                <w:color w:val="000000" w:themeColor="text1"/>
                <w:sz w:val="24"/>
                <w:szCs w:val="24"/>
              </w:rPr>
              <w:t xml:space="preserve">ingots, wafers, </w:t>
            </w:r>
            <w:r w:rsidRPr="00191ACB">
              <w:rPr>
                <w:rFonts w:ascii="Times New Roman" w:eastAsia="Times New Roman" w:hAnsi="Times New Roman" w:cs="Times New Roman"/>
                <w:bCs/>
                <w:color w:val="000000" w:themeColor="text1"/>
                <w:sz w:val="24"/>
                <w:szCs w:val="24"/>
              </w:rPr>
              <w:t>solar</w:t>
            </w:r>
            <w:r w:rsidRPr="00191ACB">
              <w:rPr>
                <w:rFonts w:ascii="Times New Roman" w:eastAsia="Times New Roman" w:hAnsi="Times New Roman" w:cs="Times New Roman"/>
                <w:color w:val="000000" w:themeColor="text1"/>
                <w:sz w:val="24"/>
                <w:szCs w:val="24"/>
              </w:rPr>
              <w:t xml:space="preserve"> cells, </w:t>
            </w:r>
            <w:r w:rsidRPr="00191ACB">
              <w:rPr>
                <w:rFonts w:ascii="Times New Roman" w:eastAsia="Times New Roman" w:hAnsi="Times New Roman" w:cs="Times New Roman"/>
                <w:bCs/>
                <w:color w:val="000000" w:themeColor="text1"/>
                <w:sz w:val="24"/>
                <w:szCs w:val="24"/>
              </w:rPr>
              <w:t>solar</w:t>
            </w:r>
            <w:r w:rsidRPr="00191ACB">
              <w:rPr>
                <w:rFonts w:ascii="Times New Roman" w:eastAsia="Times New Roman" w:hAnsi="Times New Roman" w:cs="Times New Roman"/>
                <w:color w:val="000000" w:themeColor="text1"/>
                <w:sz w:val="24"/>
                <w:szCs w:val="24"/>
              </w:rPr>
              <w:t xml:space="preserve"> cell to </w:t>
            </w:r>
            <w:r w:rsidRPr="00191ACB">
              <w:rPr>
                <w:rFonts w:ascii="Times New Roman" w:eastAsia="Times New Roman" w:hAnsi="Times New Roman" w:cs="Times New Roman"/>
                <w:bCs/>
                <w:color w:val="000000" w:themeColor="text1"/>
                <w:sz w:val="24"/>
                <w:szCs w:val="24"/>
              </w:rPr>
              <w:t>solar</w:t>
            </w:r>
            <w:r w:rsidRPr="00191ACB">
              <w:rPr>
                <w:rFonts w:ascii="Times New Roman" w:eastAsia="Times New Roman" w:hAnsi="Times New Roman" w:cs="Times New Roman"/>
                <w:color w:val="000000" w:themeColor="text1"/>
                <w:sz w:val="24"/>
                <w:szCs w:val="24"/>
              </w:rPr>
              <w:t xml:space="preserve"> panel and  testing the modules.</w:t>
            </w:r>
          </w:p>
          <w:p w14:paraId="7950ACC9" w14:textId="77777777" w:rsidR="00B33B6F" w:rsidRPr="00191ACB" w:rsidRDefault="00B33B6F" w:rsidP="00E435F6">
            <w:pPr>
              <w:numPr>
                <w:ilvl w:val="0"/>
                <w:numId w:val="14"/>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Technology for solar-wind, solar biodiesel hybrid systems, </w:t>
            </w:r>
          </w:p>
          <w:p w14:paraId="27019827" w14:textId="77777777" w:rsidR="00B33B6F" w:rsidRPr="00191ACB" w:rsidRDefault="00B33B6F" w:rsidP="00E435F6">
            <w:pPr>
              <w:numPr>
                <w:ilvl w:val="0"/>
                <w:numId w:val="14"/>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Technologies for small scale bio-refineries for small scale solar PV biodiesel hybrid generating plants</w:t>
            </w:r>
          </w:p>
        </w:tc>
      </w:tr>
      <w:tr w:rsidR="00B33B6F" w:rsidRPr="00191ACB" w14:paraId="19E7F4A6" w14:textId="77777777" w:rsidTr="00B33B6F">
        <w:trPr>
          <w:trHeight w:val="453"/>
        </w:trPr>
        <w:tc>
          <w:tcPr>
            <w:tcW w:w="1134" w:type="pct"/>
            <w:vMerge w:val="restar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68F64BDA"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Regional supply</w:t>
            </w:r>
          </w:p>
        </w:tc>
        <w:tc>
          <w:tcPr>
            <w:tcW w:w="835" w:type="pct"/>
            <w:vMerge w:val="restar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BC8C72F"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SAPP coal dominated grid</w:t>
            </w:r>
          </w:p>
        </w:tc>
        <w:tc>
          <w:tcPr>
            <w:tcW w:w="3031"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708E3083"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Large hydro technology for turbine, penstock, generators and other electromechanically equipment</w:t>
            </w:r>
          </w:p>
        </w:tc>
      </w:tr>
      <w:tr w:rsidR="00B33B6F" w:rsidRPr="00191ACB" w14:paraId="410AA009" w14:textId="77777777" w:rsidTr="00B33B6F">
        <w:trPr>
          <w:trHeight w:val="453"/>
        </w:trPr>
        <w:tc>
          <w:tcPr>
            <w:tcW w:w="1134" w:type="pct"/>
            <w:vMerge/>
            <w:tcBorders>
              <w:top w:val="single" w:sz="8" w:space="0" w:color="FFFFFF"/>
              <w:left w:val="single" w:sz="8" w:space="0" w:color="FFFFFF"/>
              <w:bottom w:val="single" w:sz="8" w:space="0" w:color="FFFFFF"/>
              <w:right w:val="single" w:sz="8" w:space="0" w:color="FFFFFF"/>
            </w:tcBorders>
            <w:vAlign w:val="center"/>
            <w:hideMark/>
          </w:tcPr>
          <w:p w14:paraId="72A13CDF"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tc>
        <w:tc>
          <w:tcPr>
            <w:tcW w:w="835" w:type="pct"/>
            <w:vMerge/>
            <w:tcBorders>
              <w:top w:val="single" w:sz="8" w:space="0" w:color="FFFFFF"/>
              <w:left w:val="single" w:sz="8" w:space="0" w:color="FFFFFF"/>
              <w:bottom w:val="single" w:sz="8" w:space="0" w:color="FFFFFF"/>
              <w:right w:val="single" w:sz="8" w:space="0" w:color="FFFFFF"/>
            </w:tcBorders>
            <w:vAlign w:val="center"/>
            <w:hideMark/>
          </w:tcPr>
          <w:p w14:paraId="2EA93C89"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tc>
        <w:tc>
          <w:tcPr>
            <w:tcW w:w="3031"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D84219F"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Geothermal- Technologies for Surface exploration,  Exploration drilling, Drilling and testing of confirmation wells, Design, construction, production drilling, steam turbines, and generators</w:t>
            </w:r>
          </w:p>
        </w:tc>
      </w:tr>
      <w:tr w:rsidR="00B33B6F" w:rsidRPr="00191ACB" w14:paraId="6E56ED65" w14:textId="77777777" w:rsidTr="00B33B6F">
        <w:trPr>
          <w:trHeight w:val="453"/>
        </w:trPr>
        <w:tc>
          <w:tcPr>
            <w:tcW w:w="1134" w:type="pct"/>
            <w:vMerge/>
            <w:tcBorders>
              <w:top w:val="single" w:sz="8" w:space="0" w:color="FFFFFF"/>
              <w:left w:val="single" w:sz="8" w:space="0" w:color="FFFFFF"/>
              <w:bottom w:val="single" w:sz="8" w:space="0" w:color="FFFFFF"/>
              <w:right w:val="single" w:sz="8" w:space="0" w:color="FFFFFF"/>
            </w:tcBorders>
            <w:vAlign w:val="center"/>
            <w:hideMark/>
          </w:tcPr>
          <w:p w14:paraId="4FAA59DA"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tc>
        <w:tc>
          <w:tcPr>
            <w:tcW w:w="835" w:type="pct"/>
            <w:vMerge/>
            <w:tcBorders>
              <w:top w:val="single" w:sz="8" w:space="0" w:color="FFFFFF"/>
              <w:left w:val="single" w:sz="8" w:space="0" w:color="FFFFFF"/>
              <w:bottom w:val="single" w:sz="8" w:space="0" w:color="FFFFFF"/>
              <w:right w:val="single" w:sz="8" w:space="0" w:color="FFFFFF"/>
            </w:tcBorders>
            <w:vAlign w:val="center"/>
            <w:hideMark/>
          </w:tcPr>
          <w:p w14:paraId="5545DF34"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tc>
        <w:tc>
          <w:tcPr>
            <w:tcW w:w="3031"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7490B404"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Wind-technologies for wind potential assessment, wind turbines, and generators</w:t>
            </w:r>
          </w:p>
        </w:tc>
      </w:tr>
      <w:tr w:rsidR="00B33B6F" w:rsidRPr="00191ACB" w14:paraId="54F07814" w14:textId="77777777" w:rsidTr="00B33B6F">
        <w:trPr>
          <w:trHeight w:val="251"/>
        </w:trPr>
        <w:tc>
          <w:tcPr>
            <w:tcW w:w="1134" w:type="pct"/>
            <w:vMerge/>
            <w:tcBorders>
              <w:top w:val="single" w:sz="8" w:space="0" w:color="FFFFFF"/>
              <w:left w:val="single" w:sz="8" w:space="0" w:color="FFFFFF"/>
              <w:bottom w:val="single" w:sz="8" w:space="0" w:color="FFFFFF"/>
              <w:right w:val="single" w:sz="8" w:space="0" w:color="FFFFFF"/>
            </w:tcBorders>
            <w:vAlign w:val="center"/>
            <w:hideMark/>
          </w:tcPr>
          <w:p w14:paraId="17DE23EB"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tc>
        <w:tc>
          <w:tcPr>
            <w:tcW w:w="835" w:type="pct"/>
            <w:vMerge/>
            <w:tcBorders>
              <w:top w:val="single" w:sz="8" w:space="0" w:color="FFFFFF"/>
              <w:left w:val="single" w:sz="8" w:space="0" w:color="FFFFFF"/>
              <w:bottom w:val="single" w:sz="8" w:space="0" w:color="FFFFFF"/>
              <w:right w:val="single" w:sz="8" w:space="0" w:color="FFFFFF"/>
            </w:tcBorders>
            <w:vAlign w:val="center"/>
            <w:hideMark/>
          </w:tcPr>
          <w:p w14:paraId="4014BB53"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tc>
        <w:tc>
          <w:tcPr>
            <w:tcW w:w="3031"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6632788"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Solar PV technologies for production of </w:t>
            </w:r>
            <w:r w:rsidRPr="00191ACB">
              <w:rPr>
                <w:rFonts w:ascii="Times New Roman" w:eastAsia="Times New Roman" w:hAnsi="Times New Roman" w:cs="Times New Roman"/>
                <w:color w:val="000000" w:themeColor="text1"/>
                <w:sz w:val="24"/>
                <w:szCs w:val="24"/>
              </w:rPr>
              <w:t xml:space="preserve">ingots, wafers, </w:t>
            </w:r>
            <w:r w:rsidRPr="00191ACB">
              <w:rPr>
                <w:rFonts w:ascii="Times New Roman" w:eastAsia="Times New Roman" w:hAnsi="Times New Roman" w:cs="Times New Roman"/>
                <w:bCs/>
                <w:color w:val="000000" w:themeColor="text1"/>
                <w:sz w:val="24"/>
                <w:szCs w:val="24"/>
              </w:rPr>
              <w:t>solar</w:t>
            </w:r>
            <w:r w:rsidRPr="00191ACB">
              <w:rPr>
                <w:rFonts w:ascii="Times New Roman" w:eastAsia="Times New Roman" w:hAnsi="Times New Roman" w:cs="Times New Roman"/>
                <w:color w:val="000000" w:themeColor="text1"/>
                <w:sz w:val="24"/>
                <w:szCs w:val="24"/>
              </w:rPr>
              <w:t xml:space="preserve"> cells, </w:t>
            </w:r>
            <w:r w:rsidRPr="00191ACB">
              <w:rPr>
                <w:rFonts w:ascii="Times New Roman" w:eastAsia="Times New Roman" w:hAnsi="Times New Roman" w:cs="Times New Roman"/>
                <w:bCs/>
                <w:color w:val="000000" w:themeColor="text1"/>
                <w:sz w:val="24"/>
                <w:szCs w:val="24"/>
              </w:rPr>
              <w:t>solar</w:t>
            </w:r>
            <w:r w:rsidRPr="00191ACB">
              <w:rPr>
                <w:rFonts w:ascii="Times New Roman" w:eastAsia="Times New Roman" w:hAnsi="Times New Roman" w:cs="Times New Roman"/>
                <w:color w:val="000000" w:themeColor="text1"/>
                <w:sz w:val="24"/>
                <w:szCs w:val="24"/>
              </w:rPr>
              <w:t xml:space="preserve"> cell to </w:t>
            </w:r>
            <w:r w:rsidRPr="00191ACB">
              <w:rPr>
                <w:rFonts w:ascii="Times New Roman" w:eastAsia="Times New Roman" w:hAnsi="Times New Roman" w:cs="Times New Roman"/>
                <w:bCs/>
                <w:color w:val="000000" w:themeColor="text1"/>
                <w:sz w:val="24"/>
                <w:szCs w:val="24"/>
              </w:rPr>
              <w:t>solar</w:t>
            </w:r>
            <w:r w:rsidRPr="00191ACB">
              <w:rPr>
                <w:rFonts w:ascii="Times New Roman" w:eastAsia="Times New Roman" w:hAnsi="Times New Roman" w:cs="Times New Roman"/>
                <w:color w:val="000000" w:themeColor="text1"/>
                <w:sz w:val="24"/>
                <w:szCs w:val="24"/>
              </w:rPr>
              <w:t xml:space="preserve"> panel and  testing the modules.</w:t>
            </w:r>
          </w:p>
        </w:tc>
      </w:tr>
    </w:tbl>
    <w:p w14:paraId="283B71DB" w14:textId="0EE8EF30" w:rsidR="00B33B6F" w:rsidRDefault="00B33B6F" w:rsidP="00B33B6F">
      <w:pPr>
        <w:spacing w:after="0" w:line="240" w:lineRule="auto"/>
        <w:jc w:val="both"/>
        <w:rPr>
          <w:rFonts w:ascii="Times New Roman" w:eastAsia="Calibri" w:hAnsi="Times New Roman" w:cs="Times New Roman"/>
          <w:color w:val="000000" w:themeColor="text1"/>
          <w:sz w:val="24"/>
          <w:szCs w:val="24"/>
        </w:rPr>
      </w:pPr>
    </w:p>
    <w:p w14:paraId="192CBBBD" w14:textId="642AF715" w:rsidR="009D64B6" w:rsidRDefault="009D64B6" w:rsidP="00B33B6F">
      <w:pPr>
        <w:spacing w:after="0" w:line="240" w:lineRule="auto"/>
        <w:jc w:val="both"/>
        <w:rPr>
          <w:rFonts w:ascii="Times New Roman" w:eastAsia="Calibri" w:hAnsi="Times New Roman" w:cs="Times New Roman"/>
          <w:color w:val="000000" w:themeColor="text1"/>
          <w:sz w:val="24"/>
          <w:szCs w:val="24"/>
        </w:rPr>
      </w:pPr>
    </w:p>
    <w:p w14:paraId="005925B8" w14:textId="7708C075" w:rsidR="009D64B6" w:rsidRDefault="009D64B6" w:rsidP="00B33B6F">
      <w:pPr>
        <w:spacing w:after="0" w:line="240" w:lineRule="auto"/>
        <w:jc w:val="both"/>
        <w:rPr>
          <w:rFonts w:ascii="Times New Roman" w:eastAsia="Calibri" w:hAnsi="Times New Roman" w:cs="Times New Roman"/>
          <w:color w:val="000000" w:themeColor="text1"/>
          <w:sz w:val="24"/>
          <w:szCs w:val="24"/>
        </w:rPr>
      </w:pPr>
    </w:p>
    <w:p w14:paraId="25CC46B0" w14:textId="77777777" w:rsidR="009D64B6" w:rsidRDefault="009D64B6" w:rsidP="00B33B6F">
      <w:pPr>
        <w:spacing w:after="0" w:line="240" w:lineRule="auto"/>
        <w:jc w:val="both"/>
        <w:rPr>
          <w:rFonts w:ascii="Times New Roman" w:eastAsia="Calibri" w:hAnsi="Times New Roman" w:cs="Times New Roman"/>
          <w:color w:val="000000" w:themeColor="text1"/>
          <w:sz w:val="24"/>
          <w:szCs w:val="24"/>
        </w:rPr>
      </w:pPr>
    </w:p>
    <w:p w14:paraId="7CDE941A" w14:textId="77777777" w:rsidR="00123398" w:rsidRPr="00191ACB" w:rsidRDefault="00123398" w:rsidP="00B33B6F">
      <w:pPr>
        <w:spacing w:after="0" w:line="240" w:lineRule="auto"/>
        <w:jc w:val="both"/>
        <w:rPr>
          <w:rFonts w:ascii="Times New Roman" w:eastAsia="Calibri" w:hAnsi="Times New Roman" w:cs="Times New Roman"/>
          <w:color w:val="000000" w:themeColor="text1"/>
          <w:sz w:val="24"/>
          <w:szCs w:val="24"/>
        </w:rPr>
      </w:pPr>
    </w:p>
    <w:p w14:paraId="5E85EC6E" w14:textId="59535F1F" w:rsidR="00B33B6F" w:rsidRPr="002E2B09" w:rsidRDefault="00123398" w:rsidP="00123398">
      <w:pPr>
        <w:pStyle w:val="Caption"/>
        <w:rPr>
          <w:rFonts w:eastAsia="Calibri"/>
          <w:color w:val="000000" w:themeColor="text1"/>
          <w:sz w:val="24"/>
          <w:szCs w:val="24"/>
        </w:rPr>
      </w:pPr>
      <w:bookmarkStart w:id="505" w:name="_Toc56583836"/>
      <w:r w:rsidRPr="002E2B09">
        <w:rPr>
          <w:sz w:val="24"/>
          <w:szCs w:val="24"/>
        </w:rPr>
        <w:t xml:space="preserve">Table </w:t>
      </w:r>
      <w:r w:rsidR="00875942" w:rsidRPr="002E2B09">
        <w:rPr>
          <w:sz w:val="24"/>
          <w:szCs w:val="24"/>
        </w:rPr>
        <w:fldChar w:fldCharType="begin"/>
      </w:r>
      <w:r w:rsidR="00875942" w:rsidRPr="002E2B09">
        <w:rPr>
          <w:sz w:val="24"/>
          <w:szCs w:val="24"/>
        </w:rPr>
        <w:instrText xml:space="preserve"> STYLEREF 1 \s </w:instrText>
      </w:r>
      <w:r w:rsidR="00875942" w:rsidRPr="002E2B09">
        <w:rPr>
          <w:sz w:val="24"/>
          <w:szCs w:val="24"/>
        </w:rPr>
        <w:fldChar w:fldCharType="separate"/>
      </w:r>
      <w:r w:rsidR="00875942" w:rsidRPr="002E2B09">
        <w:rPr>
          <w:noProof/>
          <w:sz w:val="24"/>
          <w:szCs w:val="24"/>
        </w:rPr>
        <w:t>7</w:t>
      </w:r>
      <w:r w:rsidR="00875942" w:rsidRPr="002E2B09">
        <w:rPr>
          <w:sz w:val="24"/>
          <w:szCs w:val="24"/>
        </w:rPr>
        <w:fldChar w:fldCharType="end"/>
      </w:r>
      <w:r w:rsidR="00875942" w:rsidRPr="002E2B09">
        <w:rPr>
          <w:sz w:val="24"/>
          <w:szCs w:val="24"/>
        </w:rPr>
        <w:t>.</w:t>
      </w:r>
      <w:r w:rsidR="00875942" w:rsidRPr="002E2B09">
        <w:rPr>
          <w:sz w:val="24"/>
          <w:szCs w:val="24"/>
        </w:rPr>
        <w:fldChar w:fldCharType="begin"/>
      </w:r>
      <w:r w:rsidR="00875942" w:rsidRPr="002E2B09">
        <w:rPr>
          <w:sz w:val="24"/>
          <w:szCs w:val="24"/>
        </w:rPr>
        <w:instrText xml:space="preserve"> SEQ Table \* ARABIC \s 1 </w:instrText>
      </w:r>
      <w:r w:rsidR="00875942" w:rsidRPr="002E2B09">
        <w:rPr>
          <w:sz w:val="24"/>
          <w:szCs w:val="24"/>
        </w:rPr>
        <w:fldChar w:fldCharType="separate"/>
      </w:r>
      <w:r w:rsidR="00875942" w:rsidRPr="002E2B09">
        <w:rPr>
          <w:noProof/>
          <w:sz w:val="24"/>
          <w:szCs w:val="24"/>
        </w:rPr>
        <w:t>4</w:t>
      </w:r>
      <w:r w:rsidR="00875942" w:rsidRPr="002E2B09">
        <w:rPr>
          <w:sz w:val="24"/>
          <w:szCs w:val="24"/>
        </w:rPr>
        <w:fldChar w:fldCharType="end"/>
      </w:r>
      <w:r w:rsidRPr="002E2B09">
        <w:rPr>
          <w:sz w:val="24"/>
          <w:szCs w:val="24"/>
        </w:rPr>
        <w:t>:Technology needs for Transport</w:t>
      </w:r>
      <w:bookmarkEnd w:id="505"/>
    </w:p>
    <w:tbl>
      <w:tblPr>
        <w:tblW w:w="9640" w:type="dxa"/>
        <w:tblCellMar>
          <w:left w:w="0" w:type="dxa"/>
          <w:right w:w="0" w:type="dxa"/>
        </w:tblCellMar>
        <w:tblLook w:val="04A0" w:firstRow="1" w:lastRow="0" w:firstColumn="1" w:lastColumn="0" w:noHBand="0" w:noVBand="1"/>
      </w:tblPr>
      <w:tblGrid>
        <w:gridCol w:w="2117"/>
        <w:gridCol w:w="1559"/>
        <w:gridCol w:w="5964"/>
      </w:tblGrid>
      <w:tr w:rsidR="00B33B6F" w:rsidRPr="00191ACB" w14:paraId="6DDFA888" w14:textId="77777777" w:rsidTr="00B33B6F">
        <w:tc>
          <w:tcPr>
            <w:tcW w:w="2117"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52CC1C10"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Sector</w:t>
            </w:r>
          </w:p>
        </w:tc>
        <w:tc>
          <w:tcPr>
            <w:tcW w:w="1559"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7B5D856C"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GHG Emissions Sources</w:t>
            </w:r>
          </w:p>
        </w:tc>
        <w:tc>
          <w:tcPr>
            <w:tcW w:w="5964"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4DD48ADA"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Mitigation technologies</w:t>
            </w:r>
          </w:p>
        </w:tc>
      </w:tr>
      <w:tr w:rsidR="00B33B6F" w:rsidRPr="00191ACB" w14:paraId="53C80EDF" w14:textId="77777777" w:rsidTr="00B33B6F">
        <w:tc>
          <w:tcPr>
            <w:tcW w:w="2117"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3851535B"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Passenger cars</w:t>
            </w:r>
          </w:p>
        </w:tc>
        <w:tc>
          <w:tcPr>
            <w:tcW w:w="1559"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2F79DE8"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gasoline</w:t>
            </w:r>
          </w:p>
        </w:tc>
        <w:tc>
          <w:tcPr>
            <w:tcW w:w="5964"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0718A93" w14:textId="77777777" w:rsidR="00B33B6F" w:rsidRPr="00191ACB" w:rsidRDefault="00B33B6F" w:rsidP="00E435F6">
            <w:pPr>
              <w:numPr>
                <w:ilvl w:val="0"/>
                <w:numId w:val="10"/>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Bioethanol refineries </w:t>
            </w:r>
          </w:p>
          <w:p w14:paraId="6EDDF334" w14:textId="77777777" w:rsidR="00B33B6F" w:rsidRPr="00191ACB" w:rsidRDefault="00B33B6F" w:rsidP="00E435F6">
            <w:pPr>
              <w:numPr>
                <w:ilvl w:val="0"/>
                <w:numId w:val="10"/>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Electric cars-local production of parts and assembly, </w:t>
            </w:r>
          </w:p>
        </w:tc>
      </w:tr>
      <w:tr w:rsidR="00B33B6F" w:rsidRPr="00191ACB" w14:paraId="77EE8F6C" w14:textId="77777777" w:rsidTr="00B33B6F">
        <w:tc>
          <w:tcPr>
            <w:tcW w:w="2117"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3CEF59F4"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Utility heavy duty trucks</w:t>
            </w:r>
          </w:p>
        </w:tc>
        <w:tc>
          <w:tcPr>
            <w:tcW w:w="155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55AB06B"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Diesel</w:t>
            </w:r>
          </w:p>
        </w:tc>
        <w:tc>
          <w:tcPr>
            <w:tcW w:w="5964"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32EDD5A"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Biodiesel-technologies for biorefineries, and associated technologies in the supply chain to include blending and appropriate facilities for transport, storage and retail</w:t>
            </w:r>
          </w:p>
        </w:tc>
      </w:tr>
      <w:tr w:rsidR="00B33B6F" w:rsidRPr="00191ACB" w14:paraId="0FF66228" w14:textId="77777777" w:rsidTr="00B33B6F">
        <w:tc>
          <w:tcPr>
            <w:tcW w:w="2117"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16011840"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Rail transport system</w:t>
            </w:r>
          </w:p>
        </w:tc>
        <w:tc>
          <w:tcPr>
            <w:tcW w:w="155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30C0606"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Diesel</w:t>
            </w:r>
          </w:p>
        </w:tc>
        <w:tc>
          <w:tcPr>
            <w:tcW w:w="5964"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3F4FE58D"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Electric train technologies-local manufacture of parts and assembly</w:t>
            </w:r>
          </w:p>
          <w:p w14:paraId="77263619"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/Biodiesel</w:t>
            </w:r>
          </w:p>
        </w:tc>
      </w:tr>
      <w:tr w:rsidR="00B33B6F" w:rsidRPr="00191ACB" w14:paraId="4013BE49" w14:textId="77777777" w:rsidTr="00B33B6F">
        <w:tc>
          <w:tcPr>
            <w:tcW w:w="2117"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7A2062C8"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Public transport</w:t>
            </w:r>
          </w:p>
        </w:tc>
        <w:tc>
          <w:tcPr>
            <w:tcW w:w="155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77A9315"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Diesel</w:t>
            </w:r>
          </w:p>
        </w:tc>
        <w:tc>
          <w:tcPr>
            <w:tcW w:w="5964"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469735B" w14:textId="77777777" w:rsidR="00B33B6F" w:rsidRPr="00191ACB" w:rsidRDefault="00B33B6F" w:rsidP="00E435F6">
            <w:pPr>
              <w:numPr>
                <w:ilvl w:val="0"/>
                <w:numId w:val="15"/>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Rapid Bus Transit-local manufacture of parts and assembly</w:t>
            </w:r>
          </w:p>
          <w:p w14:paraId="1C7B4506" w14:textId="77777777" w:rsidR="00B33B6F" w:rsidRPr="00191ACB" w:rsidRDefault="00B33B6F" w:rsidP="00E435F6">
            <w:pPr>
              <w:numPr>
                <w:ilvl w:val="0"/>
                <w:numId w:val="15"/>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Light train/tramway</w:t>
            </w:r>
            <w:r w:rsidRPr="00191ACB">
              <w:rPr>
                <w:rFonts w:ascii="Times New Roman" w:eastAsia="Times New Roman" w:hAnsi="Times New Roman" w:cs="Times New Roman"/>
                <w:color w:val="000000" w:themeColor="text1"/>
                <w:sz w:val="24"/>
                <w:szCs w:val="24"/>
                <w:lang w:val="en-GB"/>
              </w:rPr>
              <w:t xml:space="preserve">tramway network running on electricity generated from solar system with a Rapid Charge Accumulator (ACR). An appropriate technology for Zambia with catenary-free (overhead power cable free) tram with an energy storage on board that stores braking energy, allowing the tram to run without a catenary between stops </w:t>
            </w:r>
          </w:p>
        </w:tc>
      </w:tr>
    </w:tbl>
    <w:p w14:paraId="5077DED2"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p w14:paraId="5C74E601"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p w14:paraId="0BA8A489" w14:textId="0A9F698A" w:rsidR="00B33B6F" w:rsidRPr="002E2B09" w:rsidRDefault="00123398" w:rsidP="00123398">
      <w:pPr>
        <w:pStyle w:val="Caption"/>
        <w:rPr>
          <w:rFonts w:eastAsia="Calibri"/>
          <w:color w:val="000000" w:themeColor="text1"/>
          <w:sz w:val="24"/>
          <w:szCs w:val="24"/>
        </w:rPr>
      </w:pPr>
      <w:bookmarkStart w:id="506" w:name="_Toc56583837"/>
      <w:r w:rsidRPr="002E2B09">
        <w:rPr>
          <w:sz w:val="24"/>
          <w:szCs w:val="24"/>
        </w:rPr>
        <w:t xml:space="preserve">Table </w:t>
      </w:r>
      <w:r w:rsidR="00875942" w:rsidRPr="002E2B09">
        <w:rPr>
          <w:sz w:val="24"/>
          <w:szCs w:val="24"/>
        </w:rPr>
        <w:fldChar w:fldCharType="begin"/>
      </w:r>
      <w:r w:rsidR="00875942" w:rsidRPr="002E2B09">
        <w:rPr>
          <w:sz w:val="24"/>
          <w:szCs w:val="24"/>
        </w:rPr>
        <w:instrText xml:space="preserve"> STYLEREF 1 \s </w:instrText>
      </w:r>
      <w:r w:rsidR="00875942" w:rsidRPr="002E2B09">
        <w:rPr>
          <w:sz w:val="24"/>
          <w:szCs w:val="24"/>
        </w:rPr>
        <w:fldChar w:fldCharType="separate"/>
      </w:r>
      <w:r w:rsidR="00875942" w:rsidRPr="002E2B09">
        <w:rPr>
          <w:noProof/>
          <w:sz w:val="24"/>
          <w:szCs w:val="24"/>
        </w:rPr>
        <w:t>7</w:t>
      </w:r>
      <w:r w:rsidR="00875942" w:rsidRPr="002E2B09">
        <w:rPr>
          <w:sz w:val="24"/>
          <w:szCs w:val="24"/>
        </w:rPr>
        <w:fldChar w:fldCharType="end"/>
      </w:r>
      <w:r w:rsidR="00875942" w:rsidRPr="002E2B09">
        <w:rPr>
          <w:sz w:val="24"/>
          <w:szCs w:val="24"/>
        </w:rPr>
        <w:t>.</w:t>
      </w:r>
      <w:r w:rsidR="00875942" w:rsidRPr="002E2B09">
        <w:rPr>
          <w:sz w:val="24"/>
          <w:szCs w:val="24"/>
        </w:rPr>
        <w:fldChar w:fldCharType="begin"/>
      </w:r>
      <w:r w:rsidR="00875942" w:rsidRPr="002E2B09">
        <w:rPr>
          <w:sz w:val="24"/>
          <w:szCs w:val="24"/>
        </w:rPr>
        <w:instrText xml:space="preserve"> SEQ Table \* ARABIC \s 1 </w:instrText>
      </w:r>
      <w:r w:rsidR="00875942" w:rsidRPr="002E2B09">
        <w:rPr>
          <w:sz w:val="24"/>
          <w:szCs w:val="24"/>
        </w:rPr>
        <w:fldChar w:fldCharType="separate"/>
      </w:r>
      <w:r w:rsidR="00875942" w:rsidRPr="002E2B09">
        <w:rPr>
          <w:noProof/>
          <w:sz w:val="24"/>
          <w:szCs w:val="24"/>
        </w:rPr>
        <w:t>5</w:t>
      </w:r>
      <w:r w:rsidR="00875942" w:rsidRPr="002E2B09">
        <w:rPr>
          <w:sz w:val="24"/>
          <w:szCs w:val="24"/>
        </w:rPr>
        <w:fldChar w:fldCharType="end"/>
      </w:r>
      <w:r w:rsidRPr="002E2B09">
        <w:rPr>
          <w:sz w:val="24"/>
          <w:szCs w:val="24"/>
        </w:rPr>
        <w:t>:Technology needs for Agriculture</w:t>
      </w:r>
      <w:bookmarkEnd w:id="506"/>
    </w:p>
    <w:tbl>
      <w:tblPr>
        <w:tblW w:w="5000" w:type="pct"/>
        <w:tblCellMar>
          <w:left w:w="0" w:type="dxa"/>
          <w:right w:w="0" w:type="dxa"/>
        </w:tblCellMar>
        <w:tblLook w:val="04A0" w:firstRow="1" w:lastRow="0" w:firstColumn="1" w:lastColumn="0" w:noHBand="0" w:noVBand="1"/>
      </w:tblPr>
      <w:tblGrid>
        <w:gridCol w:w="2206"/>
        <w:gridCol w:w="1625"/>
        <w:gridCol w:w="5898"/>
      </w:tblGrid>
      <w:tr w:rsidR="00B33B6F" w:rsidRPr="00191ACB" w14:paraId="6DE2071C" w14:textId="77777777" w:rsidTr="00B33B6F">
        <w:trPr>
          <w:trHeight w:val="510"/>
        </w:trPr>
        <w:tc>
          <w:tcPr>
            <w:tcW w:w="1134"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5FBCCC06"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Sector</w:t>
            </w:r>
          </w:p>
        </w:tc>
        <w:tc>
          <w:tcPr>
            <w:tcW w:w="835"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68EBDB1E"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GHG Emissions Sources</w:t>
            </w:r>
          </w:p>
        </w:tc>
        <w:tc>
          <w:tcPr>
            <w:tcW w:w="3031"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3B41FF0A"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Mitigation technologies</w:t>
            </w:r>
          </w:p>
        </w:tc>
      </w:tr>
      <w:tr w:rsidR="00B33B6F" w:rsidRPr="00191ACB" w14:paraId="133F92E2" w14:textId="77777777" w:rsidTr="00B33B6F">
        <w:trPr>
          <w:trHeight w:val="492"/>
        </w:trPr>
        <w:tc>
          <w:tcPr>
            <w:tcW w:w="1134" w:type="pct"/>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1337AD45"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Agriculture</w:t>
            </w:r>
          </w:p>
        </w:tc>
        <w:tc>
          <w:tcPr>
            <w:tcW w:w="835" w:type="pct"/>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9FED95A"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Inefficient agriculture practices</w:t>
            </w:r>
          </w:p>
        </w:tc>
        <w:tc>
          <w:tcPr>
            <w:tcW w:w="3031" w:type="pct"/>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0E52EC2"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Technology for manufacture of high plant nutrient use efficiencies, green manure and organic fertilisers</w:t>
            </w:r>
          </w:p>
        </w:tc>
      </w:tr>
    </w:tbl>
    <w:p w14:paraId="08F2A9BE" w14:textId="342296E8"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p w14:paraId="5A952569" w14:textId="70AFA3E7" w:rsidR="00B33B6F" w:rsidRDefault="00B33B6F" w:rsidP="00B33B6F">
      <w:pPr>
        <w:spacing w:after="0" w:line="240" w:lineRule="auto"/>
        <w:jc w:val="both"/>
        <w:rPr>
          <w:rFonts w:ascii="Times New Roman" w:eastAsia="Calibri" w:hAnsi="Times New Roman" w:cs="Times New Roman"/>
          <w:color w:val="000000" w:themeColor="text1"/>
          <w:sz w:val="24"/>
          <w:szCs w:val="24"/>
        </w:rPr>
      </w:pPr>
    </w:p>
    <w:p w14:paraId="1D2FBECB" w14:textId="4BB73E8C" w:rsidR="00123398" w:rsidRDefault="00123398" w:rsidP="00B33B6F">
      <w:pPr>
        <w:spacing w:after="0" w:line="240" w:lineRule="auto"/>
        <w:jc w:val="both"/>
        <w:rPr>
          <w:rFonts w:ascii="Times New Roman" w:eastAsia="Calibri" w:hAnsi="Times New Roman" w:cs="Times New Roman"/>
          <w:color w:val="000000" w:themeColor="text1"/>
          <w:sz w:val="24"/>
          <w:szCs w:val="24"/>
        </w:rPr>
      </w:pPr>
    </w:p>
    <w:p w14:paraId="65945AD7" w14:textId="77777777" w:rsidR="002E2B09" w:rsidRDefault="002E2B09" w:rsidP="00123398">
      <w:pPr>
        <w:pStyle w:val="Caption"/>
      </w:pPr>
      <w:bookmarkStart w:id="507" w:name="_Toc56583838"/>
      <w:r>
        <w:br w:type="page"/>
      </w:r>
    </w:p>
    <w:p w14:paraId="26C91BD1" w14:textId="73A6EB0E" w:rsidR="00B33B6F" w:rsidRPr="002E2B09" w:rsidRDefault="00123398" w:rsidP="00123398">
      <w:pPr>
        <w:pStyle w:val="Caption"/>
        <w:rPr>
          <w:rFonts w:eastAsia="Calibri"/>
          <w:color w:val="000000" w:themeColor="text1"/>
          <w:sz w:val="24"/>
          <w:szCs w:val="24"/>
        </w:rPr>
      </w:pPr>
      <w:r w:rsidRPr="002E2B09">
        <w:rPr>
          <w:sz w:val="24"/>
          <w:szCs w:val="24"/>
        </w:rPr>
        <w:lastRenderedPageBreak/>
        <w:t xml:space="preserve">Table </w:t>
      </w:r>
      <w:r w:rsidR="00875942" w:rsidRPr="002E2B09">
        <w:rPr>
          <w:sz w:val="24"/>
          <w:szCs w:val="24"/>
        </w:rPr>
        <w:fldChar w:fldCharType="begin"/>
      </w:r>
      <w:r w:rsidR="00875942" w:rsidRPr="002E2B09">
        <w:rPr>
          <w:sz w:val="24"/>
          <w:szCs w:val="24"/>
        </w:rPr>
        <w:instrText xml:space="preserve"> STYLEREF 1 \s </w:instrText>
      </w:r>
      <w:r w:rsidR="00875942" w:rsidRPr="002E2B09">
        <w:rPr>
          <w:sz w:val="24"/>
          <w:szCs w:val="24"/>
        </w:rPr>
        <w:fldChar w:fldCharType="separate"/>
      </w:r>
      <w:r w:rsidR="00875942" w:rsidRPr="002E2B09">
        <w:rPr>
          <w:noProof/>
          <w:sz w:val="24"/>
          <w:szCs w:val="24"/>
        </w:rPr>
        <w:t>7</w:t>
      </w:r>
      <w:r w:rsidR="00875942" w:rsidRPr="002E2B09">
        <w:rPr>
          <w:sz w:val="24"/>
          <w:szCs w:val="24"/>
        </w:rPr>
        <w:fldChar w:fldCharType="end"/>
      </w:r>
      <w:r w:rsidR="00875942" w:rsidRPr="002E2B09">
        <w:rPr>
          <w:sz w:val="24"/>
          <w:szCs w:val="24"/>
        </w:rPr>
        <w:t>.</w:t>
      </w:r>
      <w:r w:rsidR="00875942" w:rsidRPr="002E2B09">
        <w:rPr>
          <w:sz w:val="24"/>
          <w:szCs w:val="24"/>
        </w:rPr>
        <w:fldChar w:fldCharType="begin"/>
      </w:r>
      <w:r w:rsidR="00875942" w:rsidRPr="002E2B09">
        <w:rPr>
          <w:sz w:val="24"/>
          <w:szCs w:val="24"/>
        </w:rPr>
        <w:instrText xml:space="preserve"> SEQ Table \* ARABIC \s 1 </w:instrText>
      </w:r>
      <w:r w:rsidR="00875942" w:rsidRPr="002E2B09">
        <w:rPr>
          <w:sz w:val="24"/>
          <w:szCs w:val="24"/>
        </w:rPr>
        <w:fldChar w:fldCharType="separate"/>
      </w:r>
      <w:r w:rsidR="00875942" w:rsidRPr="002E2B09">
        <w:rPr>
          <w:noProof/>
          <w:sz w:val="24"/>
          <w:szCs w:val="24"/>
        </w:rPr>
        <w:t>6</w:t>
      </w:r>
      <w:r w:rsidR="00875942" w:rsidRPr="002E2B09">
        <w:rPr>
          <w:sz w:val="24"/>
          <w:szCs w:val="24"/>
        </w:rPr>
        <w:fldChar w:fldCharType="end"/>
      </w:r>
      <w:r w:rsidRPr="002E2B09">
        <w:rPr>
          <w:sz w:val="24"/>
          <w:szCs w:val="24"/>
        </w:rPr>
        <w:t>:Technology needs for Forestry</w:t>
      </w:r>
      <w:bookmarkEnd w:id="507"/>
    </w:p>
    <w:tbl>
      <w:tblPr>
        <w:tblW w:w="5000" w:type="pct"/>
        <w:tblCellMar>
          <w:left w:w="0" w:type="dxa"/>
          <w:right w:w="0" w:type="dxa"/>
        </w:tblCellMar>
        <w:tblLook w:val="04A0" w:firstRow="1" w:lastRow="0" w:firstColumn="1" w:lastColumn="0" w:noHBand="0" w:noVBand="1"/>
      </w:tblPr>
      <w:tblGrid>
        <w:gridCol w:w="2230"/>
        <w:gridCol w:w="1601"/>
        <w:gridCol w:w="5898"/>
      </w:tblGrid>
      <w:tr w:rsidR="00B33B6F" w:rsidRPr="00191ACB" w14:paraId="5C6C4703" w14:textId="77777777" w:rsidTr="00B33B6F">
        <w:trPr>
          <w:trHeight w:val="668"/>
        </w:trPr>
        <w:tc>
          <w:tcPr>
            <w:tcW w:w="1146" w:type="pct"/>
            <w:tcBorders>
              <w:top w:val="single" w:sz="8" w:space="0" w:color="FFFFFF"/>
              <w:left w:val="single" w:sz="8" w:space="0" w:color="FFFFFF"/>
              <w:bottom w:val="single" w:sz="24" w:space="0" w:color="FFFFFF"/>
              <w:right w:val="single" w:sz="8" w:space="0" w:color="FFFFFF"/>
            </w:tcBorders>
            <w:shd w:val="clear" w:color="auto" w:fill="5B9BD5"/>
            <w:tcMar>
              <w:top w:w="15" w:type="dxa"/>
              <w:left w:w="85" w:type="dxa"/>
              <w:bottom w:w="0" w:type="dxa"/>
              <w:right w:w="85" w:type="dxa"/>
            </w:tcMar>
            <w:hideMark/>
          </w:tcPr>
          <w:p w14:paraId="0C3CDF45"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Sector</w:t>
            </w:r>
          </w:p>
        </w:tc>
        <w:tc>
          <w:tcPr>
            <w:tcW w:w="823" w:type="pct"/>
            <w:tcBorders>
              <w:top w:val="single" w:sz="8" w:space="0" w:color="FFFFFF"/>
              <w:left w:val="single" w:sz="8" w:space="0" w:color="FFFFFF"/>
              <w:bottom w:val="single" w:sz="24" w:space="0" w:color="FFFFFF"/>
              <w:right w:val="single" w:sz="8" w:space="0" w:color="FFFFFF"/>
            </w:tcBorders>
            <w:shd w:val="clear" w:color="auto" w:fill="5B9BD5"/>
            <w:tcMar>
              <w:top w:w="15" w:type="dxa"/>
              <w:left w:w="85" w:type="dxa"/>
              <w:bottom w:w="0" w:type="dxa"/>
              <w:right w:w="85" w:type="dxa"/>
            </w:tcMar>
            <w:hideMark/>
          </w:tcPr>
          <w:p w14:paraId="164E1257"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GHG Emissions Sources</w:t>
            </w:r>
          </w:p>
        </w:tc>
        <w:tc>
          <w:tcPr>
            <w:tcW w:w="3031" w:type="pct"/>
            <w:tcBorders>
              <w:top w:val="single" w:sz="8" w:space="0" w:color="FFFFFF"/>
              <w:left w:val="single" w:sz="8" w:space="0" w:color="FFFFFF"/>
              <w:bottom w:val="single" w:sz="24" w:space="0" w:color="FFFFFF"/>
              <w:right w:val="single" w:sz="8" w:space="0" w:color="FFFFFF"/>
            </w:tcBorders>
            <w:shd w:val="clear" w:color="auto" w:fill="5B9BD5"/>
            <w:tcMar>
              <w:top w:w="15" w:type="dxa"/>
              <w:left w:w="85" w:type="dxa"/>
              <w:bottom w:w="0" w:type="dxa"/>
              <w:right w:w="85" w:type="dxa"/>
            </w:tcMar>
            <w:hideMark/>
          </w:tcPr>
          <w:p w14:paraId="4C2256E4"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Mitigation technologies</w:t>
            </w:r>
          </w:p>
        </w:tc>
      </w:tr>
      <w:tr w:rsidR="00B33B6F" w:rsidRPr="00191ACB" w14:paraId="10F069F7" w14:textId="77777777" w:rsidTr="00B33B6F">
        <w:trPr>
          <w:trHeight w:val="866"/>
        </w:trPr>
        <w:tc>
          <w:tcPr>
            <w:tcW w:w="1146" w:type="pct"/>
            <w:tcBorders>
              <w:top w:val="single" w:sz="24" w:space="0" w:color="FFFFFF"/>
              <w:left w:val="single" w:sz="8" w:space="0" w:color="FFFFFF"/>
              <w:bottom w:val="single" w:sz="8" w:space="0" w:color="FFFFFF"/>
              <w:right w:val="single" w:sz="8" w:space="0" w:color="FFFFFF"/>
            </w:tcBorders>
            <w:shd w:val="clear" w:color="auto" w:fill="5B9BD5"/>
            <w:tcMar>
              <w:top w:w="15" w:type="dxa"/>
              <w:left w:w="85" w:type="dxa"/>
              <w:bottom w:w="0" w:type="dxa"/>
              <w:right w:w="85" w:type="dxa"/>
            </w:tcMar>
            <w:hideMark/>
          </w:tcPr>
          <w:p w14:paraId="40ED244B"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Forestry</w:t>
            </w:r>
          </w:p>
        </w:tc>
        <w:tc>
          <w:tcPr>
            <w:tcW w:w="823" w:type="pct"/>
            <w:tcBorders>
              <w:top w:val="single" w:sz="24" w:space="0" w:color="FFFFFF"/>
              <w:left w:val="single" w:sz="8" w:space="0" w:color="FFFFFF"/>
              <w:bottom w:val="single" w:sz="8" w:space="0" w:color="FFFFFF"/>
              <w:right w:val="single" w:sz="8" w:space="0" w:color="FFFFFF"/>
            </w:tcBorders>
            <w:shd w:val="clear" w:color="auto" w:fill="D2DEEF"/>
            <w:tcMar>
              <w:top w:w="15" w:type="dxa"/>
              <w:left w:w="85" w:type="dxa"/>
              <w:bottom w:w="0" w:type="dxa"/>
              <w:right w:w="85" w:type="dxa"/>
            </w:tcMar>
            <w:hideMark/>
          </w:tcPr>
          <w:p w14:paraId="649621CB"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Charcoal and wood production</w:t>
            </w:r>
          </w:p>
        </w:tc>
        <w:tc>
          <w:tcPr>
            <w:tcW w:w="3031" w:type="pct"/>
            <w:tcBorders>
              <w:top w:val="single" w:sz="24" w:space="0" w:color="FFFFFF"/>
              <w:left w:val="single" w:sz="8" w:space="0" w:color="FFFFFF"/>
              <w:bottom w:val="single" w:sz="8" w:space="0" w:color="FFFFFF"/>
              <w:right w:val="single" w:sz="8" w:space="0" w:color="FFFFFF"/>
            </w:tcBorders>
            <w:shd w:val="clear" w:color="auto" w:fill="D2DEEF"/>
            <w:tcMar>
              <w:top w:w="15" w:type="dxa"/>
              <w:left w:w="85" w:type="dxa"/>
              <w:bottom w:w="0" w:type="dxa"/>
              <w:right w:w="85" w:type="dxa"/>
            </w:tcMar>
            <w:hideMark/>
          </w:tcPr>
          <w:p w14:paraId="6E9B4CB3"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Technologies for design of alternate coupes and shelterbelt strips systems (ACOSSS) </w:t>
            </w:r>
          </w:p>
          <w:p w14:paraId="56DA54B4"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Improved charcoal technologies retort kilns </w:t>
            </w:r>
          </w:p>
        </w:tc>
      </w:tr>
      <w:tr w:rsidR="00B33B6F" w:rsidRPr="00191ACB" w14:paraId="2D997510" w14:textId="77777777" w:rsidTr="00B33B6F">
        <w:trPr>
          <w:trHeight w:val="538"/>
        </w:trPr>
        <w:tc>
          <w:tcPr>
            <w:tcW w:w="1146" w:type="pct"/>
            <w:tcBorders>
              <w:top w:val="single" w:sz="8" w:space="0" w:color="FFFFFF"/>
              <w:left w:val="single" w:sz="8" w:space="0" w:color="FFFFFF"/>
              <w:bottom w:val="single" w:sz="8" w:space="0" w:color="FFFFFF"/>
              <w:right w:val="single" w:sz="8" w:space="0" w:color="FFFFFF"/>
            </w:tcBorders>
            <w:shd w:val="clear" w:color="auto" w:fill="5B9BD5"/>
            <w:tcMar>
              <w:top w:w="15" w:type="dxa"/>
              <w:left w:w="85" w:type="dxa"/>
              <w:bottom w:w="0" w:type="dxa"/>
              <w:right w:w="85" w:type="dxa"/>
            </w:tcMar>
            <w:hideMark/>
          </w:tcPr>
          <w:p w14:paraId="721DE3C5"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w:t>
            </w:r>
          </w:p>
        </w:tc>
        <w:tc>
          <w:tcPr>
            <w:tcW w:w="823" w:type="pct"/>
            <w:tcBorders>
              <w:top w:val="single" w:sz="8" w:space="0" w:color="FFFFFF"/>
              <w:left w:val="single" w:sz="8" w:space="0" w:color="FFFFFF"/>
              <w:bottom w:val="single" w:sz="8" w:space="0" w:color="FFFFFF"/>
              <w:right w:val="single" w:sz="8" w:space="0" w:color="FFFFFF"/>
            </w:tcBorders>
            <w:shd w:val="clear" w:color="auto" w:fill="EAEFF7"/>
            <w:tcMar>
              <w:top w:w="15" w:type="dxa"/>
              <w:left w:w="85" w:type="dxa"/>
              <w:bottom w:w="0" w:type="dxa"/>
              <w:right w:w="85" w:type="dxa"/>
            </w:tcMar>
            <w:hideMark/>
          </w:tcPr>
          <w:p w14:paraId="7FB801DC"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Timber production</w:t>
            </w:r>
          </w:p>
        </w:tc>
        <w:tc>
          <w:tcPr>
            <w:tcW w:w="3031" w:type="pct"/>
            <w:tcBorders>
              <w:top w:val="single" w:sz="8" w:space="0" w:color="FFFFFF"/>
              <w:left w:val="single" w:sz="8" w:space="0" w:color="FFFFFF"/>
              <w:bottom w:val="single" w:sz="8" w:space="0" w:color="FFFFFF"/>
              <w:right w:val="single" w:sz="8" w:space="0" w:color="FFFFFF"/>
            </w:tcBorders>
            <w:shd w:val="clear" w:color="auto" w:fill="EAEFF7"/>
            <w:tcMar>
              <w:top w:w="15" w:type="dxa"/>
              <w:left w:w="85" w:type="dxa"/>
              <w:bottom w:w="0" w:type="dxa"/>
              <w:right w:w="85" w:type="dxa"/>
            </w:tcMar>
            <w:hideMark/>
          </w:tcPr>
          <w:p w14:paraId="512C5A85"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Technologies to utilise forest residue and wood waste for process heat </w:t>
            </w:r>
          </w:p>
        </w:tc>
      </w:tr>
    </w:tbl>
    <w:p w14:paraId="71E9C28E" w14:textId="30BA2DDE" w:rsidR="009D64B6" w:rsidRDefault="009D64B6" w:rsidP="00B33B6F">
      <w:pPr>
        <w:spacing w:after="0" w:line="240" w:lineRule="auto"/>
        <w:jc w:val="both"/>
        <w:rPr>
          <w:rFonts w:ascii="Times New Roman" w:eastAsia="Calibri" w:hAnsi="Times New Roman" w:cs="Times New Roman"/>
          <w:color w:val="000000" w:themeColor="text1"/>
          <w:sz w:val="24"/>
          <w:szCs w:val="24"/>
        </w:rPr>
      </w:pPr>
    </w:p>
    <w:p w14:paraId="717E7709" w14:textId="77777777" w:rsidR="002E2B09" w:rsidRDefault="002E2B09" w:rsidP="00B33B6F">
      <w:pPr>
        <w:spacing w:after="0" w:line="240" w:lineRule="auto"/>
        <w:jc w:val="both"/>
        <w:rPr>
          <w:rFonts w:ascii="Times New Roman" w:eastAsia="Calibri" w:hAnsi="Times New Roman" w:cs="Times New Roman"/>
          <w:color w:val="000000" w:themeColor="text1"/>
          <w:sz w:val="24"/>
          <w:szCs w:val="24"/>
        </w:rPr>
      </w:pPr>
    </w:p>
    <w:p w14:paraId="504E90AB" w14:textId="36365DD5" w:rsidR="00B33B6F" w:rsidRPr="002E2B09" w:rsidRDefault="00123398" w:rsidP="00123398">
      <w:pPr>
        <w:pStyle w:val="Caption"/>
        <w:rPr>
          <w:rFonts w:eastAsia="Calibri"/>
          <w:color w:val="000000" w:themeColor="text1"/>
          <w:sz w:val="24"/>
          <w:szCs w:val="24"/>
        </w:rPr>
      </w:pPr>
      <w:bookmarkStart w:id="508" w:name="_Toc56583839"/>
      <w:r w:rsidRPr="002E2B09">
        <w:rPr>
          <w:sz w:val="24"/>
          <w:szCs w:val="24"/>
        </w:rPr>
        <w:t xml:space="preserve">Table </w:t>
      </w:r>
      <w:r w:rsidR="00875942" w:rsidRPr="002E2B09">
        <w:rPr>
          <w:sz w:val="24"/>
          <w:szCs w:val="24"/>
        </w:rPr>
        <w:fldChar w:fldCharType="begin"/>
      </w:r>
      <w:r w:rsidR="00875942" w:rsidRPr="002E2B09">
        <w:rPr>
          <w:sz w:val="24"/>
          <w:szCs w:val="24"/>
        </w:rPr>
        <w:instrText xml:space="preserve"> STYLEREF 1 \s </w:instrText>
      </w:r>
      <w:r w:rsidR="00875942" w:rsidRPr="002E2B09">
        <w:rPr>
          <w:sz w:val="24"/>
          <w:szCs w:val="24"/>
        </w:rPr>
        <w:fldChar w:fldCharType="separate"/>
      </w:r>
      <w:r w:rsidR="00875942" w:rsidRPr="002E2B09">
        <w:rPr>
          <w:noProof/>
          <w:sz w:val="24"/>
          <w:szCs w:val="24"/>
        </w:rPr>
        <w:t>7</w:t>
      </w:r>
      <w:r w:rsidR="00875942" w:rsidRPr="002E2B09">
        <w:rPr>
          <w:sz w:val="24"/>
          <w:szCs w:val="24"/>
        </w:rPr>
        <w:fldChar w:fldCharType="end"/>
      </w:r>
      <w:r w:rsidR="00875942" w:rsidRPr="002E2B09">
        <w:rPr>
          <w:sz w:val="24"/>
          <w:szCs w:val="24"/>
        </w:rPr>
        <w:t>.</w:t>
      </w:r>
      <w:r w:rsidR="00875942" w:rsidRPr="002E2B09">
        <w:rPr>
          <w:sz w:val="24"/>
          <w:szCs w:val="24"/>
        </w:rPr>
        <w:fldChar w:fldCharType="begin"/>
      </w:r>
      <w:r w:rsidR="00875942" w:rsidRPr="002E2B09">
        <w:rPr>
          <w:sz w:val="24"/>
          <w:szCs w:val="24"/>
        </w:rPr>
        <w:instrText xml:space="preserve"> SEQ Table \* ARABIC \s 1 </w:instrText>
      </w:r>
      <w:r w:rsidR="00875942" w:rsidRPr="002E2B09">
        <w:rPr>
          <w:sz w:val="24"/>
          <w:szCs w:val="24"/>
        </w:rPr>
        <w:fldChar w:fldCharType="separate"/>
      </w:r>
      <w:r w:rsidR="00875942" w:rsidRPr="002E2B09">
        <w:rPr>
          <w:noProof/>
          <w:sz w:val="24"/>
          <w:szCs w:val="24"/>
        </w:rPr>
        <w:t>7</w:t>
      </w:r>
      <w:r w:rsidR="00875942" w:rsidRPr="002E2B09">
        <w:rPr>
          <w:sz w:val="24"/>
          <w:szCs w:val="24"/>
        </w:rPr>
        <w:fldChar w:fldCharType="end"/>
      </w:r>
      <w:r w:rsidRPr="002E2B09">
        <w:rPr>
          <w:sz w:val="24"/>
          <w:szCs w:val="24"/>
        </w:rPr>
        <w:t>:Technology needs for Waste</w:t>
      </w:r>
      <w:bookmarkEnd w:id="508"/>
    </w:p>
    <w:tbl>
      <w:tblPr>
        <w:tblW w:w="5000" w:type="pct"/>
        <w:tblCellMar>
          <w:left w:w="0" w:type="dxa"/>
          <w:right w:w="0" w:type="dxa"/>
        </w:tblCellMar>
        <w:tblLook w:val="04A0" w:firstRow="1" w:lastRow="0" w:firstColumn="1" w:lastColumn="0" w:noHBand="0" w:noVBand="1"/>
      </w:tblPr>
      <w:tblGrid>
        <w:gridCol w:w="2206"/>
        <w:gridCol w:w="1773"/>
        <w:gridCol w:w="5750"/>
      </w:tblGrid>
      <w:tr w:rsidR="00B33B6F" w:rsidRPr="00191ACB" w14:paraId="06B35329" w14:textId="77777777" w:rsidTr="00B33B6F">
        <w:trPr>
          <w:trHeight w:val="325"/>
        </w:trPr>
        <w:tc>
          <w:tcPr>
            <w:tcW w:w="1134"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7110CC21"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Sector</w:t>
            </w:r>
          </w:p>
        </w:tc>
        <w:tc>
          <w:tcPr>
            <w:tcW w:w="911"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2C74104A"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GHG Emissions Sources</w:t>
            </w:r>
          </w:p>
        </w:tc>
        <w:tc>
          <w:tcPr>
            <w:tcW w:w="2955"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7BA1BBEC"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Mitigation technologies</w:t>
            </w:r>
          </w:p>
        </w:tc>
      </w:tr>
      <w:tr w:rsidR="00B33B6F" w:rsidRPr="00191ACB" w14:paraId="1406050D" w14:textId="77777777" w:rsidTr="00B33B6F">
        <w:trPr>
          <w:trHeight w:val="489"/>
        </w:trPr>
        <w:tc>
          <w:tcPr>
            <w:tcW w:w="1134" w:type="pct"/>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2889FA47"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Landfill</w:t>
            </w:r>
          </w:p>
        </w:tc>
        <w:tc>
          <w:tcPr>
            <w:tcW w:w="911" w:type="pct"/>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05339FA"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Solid municipal waste</w:t>
            </w:r>
          </w:p>
        </w:tc>
        <w:tc>
          <w:tcPr>
            <w:tcW w:w="2955" w:type="pct"/>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3E410E7" w14:textId="77777777" w:rsidR="00B33B6F" w:rsidRPr="00191ACB" w:rsidRDefault="00B33B6F" w:rsidP="00E435F6">
            <w:pPr>
              <w:numPr>
                <w:ilvl w:val="0"/>
                <w:numId w:val="16"/>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Methane recovery for electricity generation</w:t>
            </w:r>
          </w:p>
          <w:p w14:paraId="7F6922AA" w14:textId="77777777" w:rsidR="00B33B6F" w:rsidRPr="00191ACB" w:rsidRDefault="00B33B6F" w:rsidP="00E435F6">
            <w:pPr>
              <w:numPr>
                <w:ilvl w:val="0"/>
                <w:numId w:val="16"/>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Technologies for incineration/combustion of solid waste for power generation. </w:t>
            </w:r>
          </w:p>
          <w:p w14:paraId="7F63CF29" w14:textId="77777777" w:rsidR="00B33B6F" w:rsidRPr="00191ACB" w:rsidRDefault="00B33B6F" w:rsidP="00E435F6">
            <w:pPr>
              <w:numPr>
                <w:ilvl w:val="0"/>
                <w:numId w:val="16"/>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Composting technologies</w:t>
            </w:r>
          </w:p>
          <w:p w14:paraId="330F5E64" w14:textId="77777777" w:rsidR="00B33B6F" w:rsidRPr="00191ACB" w:rsidRDefault="00B33B6F" w:rsidP="00E435F6">
            <w:pPr>
              <w:numPr>
                <w:ilvl w:val="0"/>
                <w:numId w:val="16"/>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Recycling technologies for plastics, glass, paper</w:t>
            </w:r>
          </w:p>
          <w:p w14:paraId="6FA4FDF6" w14:textId="77777777" w:rsidR="00B33B6F" w:rsidRPr="00191ACB" w:rsidRDefault="00B33B6F" w:rsidP="00E435F6">
            <w:pPr>
              <w:numPr>
                <w:ilvl w:val="0"/>
                <w:numId w:val="16"/>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Technologies for bioplastics</w:t>
            </w:r>
          </w:p>
          <w:p w14:paraId="27AFCC31" w14:textId="77777777" w:rsidR="00B33B6F" w:rsidRPr="00191ACB" w:rsidRDefault="00B33B6F" w:rsidP="00E435F6">
            <w:pPr>
              <w:numPr>
                <w:ilvl w:val="0"/>
                <w:numId w:val="16"/>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Thermal gasification of municipal solid waste </w:t>
            </w:r>
          </w:p>
          <w:p w14:paraId="1E39372A" w14:textId="77777777" w:rsidR="00B33B6F" w:rsidRPr="00191ACB" w:rsidRDefault="00B33B6F" w:rsidP="00E435F6">
            <w:pPr>
              <w:numPr>
                <w:ilvl w:val="0"/>
                <w:numId w:val="16"/>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Technology for m</w:t>
            </w:r>
            <w:hyperlink r:id="rId84" w:history="1">
              <w:r w:rsidRPr="00191ACB">
                <w:rPr>
                  <w:rFonts w:ascii="Times New Roman" w:eastAsia="Calibri" w:hAnsi="Times New Roman" w:cs="Times New Roman"/>
                  <w:color w:val="000000" w:themeColor="text1"/>
                  <w:sz w:val="24"/>
                  <w:szCs w:val="24"/>
                </w:rPr>
                <w:t>ethane capture at landfills for electricity and heat</w:t>
              </w:r>
            </w:hyperlink>
          </w:p>
        </w:tc>
      </w:tr>
      <w:tr w:rsidR="00B33B6F" w:rsidRPr="00191ACB" w14:paraId="7F0EDDE6" w14:textId="77777777" w:rsidTr="00B33B6F">
        <w:trPr>
          <w:trHeight w:val="482"/>
        </w:trPr>
        <w:tc>
          <w:tcPr>
            <w:tcW w:w="1134"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45FC7F71"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Anaerobic</w:t>
            </w:r>
          </w:p>
        </w:tc>
        <w:tc>
          <w:tcPr>
            <w:tcW w:w="911"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2B1E2FA"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Liquid waste</w:t>
            </w:r>
          </w:p>
        </w:tc>
        <w:tc>
          <w:tcPr>
            <w:tcW w:w="2955"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7D5D4AE3"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Technology for m</w:t>
            </w:r>
            <w:hyperlink r:id="rId85" w:history="1">
              <w:r w:rsidRPr="00191ACB">
                <w:rPr>
                  <w:rFonts w:ascii="Times New Roman" w:eastAsia="Calibri" w:hAnsi="Times New Roman" w:cs="Times New Roman"/>
                  <w:color w:val="000000" w:themeColor="text1"/>
                  <w:sz w:val="24"/>
                  <w:szCs w:val="24"/>
                </w:rPr>
                <w:t>ethane capture at landfills for electricity and heat</w:t>
              </w:r>
            </w:hyperlink>
          </w:p>
        </w:tc>
      </w:tr>
    </w:tbl>
    <w:p w14:paraId="7863C600"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p w14:paraId="4377F37C"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p>
    <w:p w14:paraId="6BC4C758" w14:textId="452E5919" w:rsidR="00B33B6F" w:rsidRPr="002E2B09" w:rsidRDefault="00123398" w:rsidP="00123398">
      <w:pPr>
        <w:pStyle w:val="Caption"/>
        <w:rPr>
          <w:rFonts w:eastAsia="Calibri"/>
          <w:color w:val="000000" w:themeColor="text1"/>
          <w:sz w:val="24"/>
          <w:szCs w:val="24"/>
        </w:rPr>
      </w:pPr>
      <w:bookmarkStart w:id="509" w:name="_Toc56583840"/>
      <w:r w:rsidRPr="002E2B09">
        <w:rPr>
          <w:sz w:val="24"/>
          <w:szCs w:val="24"/>
        </w:rPr>
        <w:t xml:space="preserve">Table </w:t>
      </w:r>
      <w:r w:rsidR="00875942" w:rsidRPr="002E2B09">
        <w:rPr>
          <w:sz w:val="24"/>
          <w:szCs w:val="24"/>
        </w:rPr>
        <w:fldChar w:fldCharType="begin"/>
      </w:r>
      <w:r w:rsidR="00875942" w:rsidRPr="002E2B09">
        <w:rPr>
          <w:sz w:val="24"/>
          <w:szCs w:val="24"/>
        </w:rPr>
        <w:instrText xml:space="preserve"> STYLEREF 1 \s </w:instrText>
      </w:r>
      <w:r w:rsidR="00875942" w:rsidRPr="002E2B09">
        <w:rPr>
          <w:sz w:val="24"/>
          <w:szCs w:val="24"/>
        </w:rPr>
        <w:fldChar w:fldCharType="separate"/>
      </w:r>
      <w:r w:rsidR="00875942" w:rsidRPr="002E2B09">
        <w:rPr>
          <w:noProof/>
          <w:sz w:val="24"/>
          <w:szCs w:val="24"/>
        </w:rPr>
        <w:t>7</w:t>
      </w:r>
      <w:r w:rsidR="00875942" w:rsidRPr="002E2B09">
        <w:rPr>
          <w:sz w:val="24"/>
          <w:szCs w:val="24"/>
        </w:rPr>
        <w:fldChar w:fldCharType="end"/>
      </w:r>
      <w:r w:rsidR="00875942" w:rsidRPr="002E2B09">
        <w:rPr>
          <w:sz w:val="24"/>
          <w:szCs w:val="24"/>
        </w:rPr>
        <w:t>.</w:t>
      </w:r>
      <w:r w:rsidR="00875942" w:rsidRPr="002E2B09">
        <w:rPr>
          <w:sz w:val="24"/>
          <w:szCs w:val="24"/>
        </w:rPr>
        <w:fldChar w:fldCharType="begin"/>
      </w:r>
      <w:r w:rsidR="00875942" w:rsidRPr="002E2B09">
        <w:rPr>
          <w:sz w:val="24"/>
          <w:szCs w:val="24"/>
        </w:rPr>
        <w:instrText xml:space="preserve"> SEQ Table \* ARABIC \s 1 </w:instrText>
      </w:r>
      <w:r w:rsidR="00875942" w:rsidRPr="002E2B09">
        <w:rPr>
          <w:sz w:val="24"/>
          <w:szCs w:val="24"/>
        </w:rPr>
        <w:fldChar w:fldCharType="separate"/>
      </w:r>
      <w:r w:rsidR="00875942" w:rsidRPr="002E2B09">
        <w:rPr>
          <w:noProof/>
          <w:sz w:val="24"/>
          <w:szCs w:val="24"/>
        </w:rPr>
        <w:t>8</w:t>
      </w:r>
      <w:r w:rsidR="00875942" w:rsidRPr="002E2B09">
        <w:rPr>
          <w:sz w:val="24"/>
          <w:szCs w:val="24"/>
        </w:rPr>
        <w:fldChar w:fldCharType="end"/>
      </w:r>
      <w:r w:rsidRPr="002E2B09">
        <w:rPr>
          <w:sz w:val="24"/>
          <w:szCs w:val="24"/>
        </w:rPr>
        <w:t>:Technology needs for Buildings</w:t>
      </w:r>
      <w:bookmarkEnd w:id="509"/>
    </w:p>
    <w:tbl>
      <w:tblPr>
        <w:tblW w:w="5000" w:type="pct"/>
        <w:tblCellMar>
          <w:left w:w="0" w:type="dxa"/>
          <w:right w:w="0" w:type="dxa"/>
        </w:tblCellMar>
        <w:tblLook w:val="04A0" w:firstRow="1" w:lastRow="0" w:firstColumn="1" w:lastColumn="0" w:noHBand="0" w:noVBand="1"/>
      </w:tblPr>
      <w:tblGrid>
        <w:gridCol w:w="2206"/>
        <w:gridCol w:w="3314"/>
        <w:gridCol w:w="4209"/>
      </w:tblGrid>
      <w:tr w:rsidR="00B33B6F" w:rsidRPr="00191ACB" w14:paraId="2DA870C3" w14:textId="77777777" w:rsidTr="00B33B6F">
        <w:trPr>
          <w:trHeight w:val="234"/>
        </w:trPr>
        <w:tc>
          <w:tcPr>
            <w:tcW w:w="1134"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77205900"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Sector</w:t>
            </w:r>
          </w:p>
        </w:tc>
        <w:tc>
          <w:tcPr>
            <w:tcW w:w="1703"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2F0353B5"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GHG Emissions Sources</w:t>
            </w:r>
          </w:p>
        </w:tc>
        <w:tc>
          <w:tcPr>
            <w:tcW w:w="2163"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2DAF003A"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Mitigation technologies</w:t>
            </w:r>
          </w:p>
        </w:tc>
      </w:tr>
      <w:tr w:rsidR="00B33B6F" w:rsidRPr="00191ACB" w14:paraId="2C3B48E3" w14:textId="77777777" w:rsidTr="00B33B6F">
        <w:trPr>
          <w:trHeight w:val="924"/>
        </w:trPr>
        <w:tc>
          <w:tcPr>
            <w:tcW w:w="1134" w:type="pct"/>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31FAAB74"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en-GB"/>
              </w:rPr>
              <w:t>Buildings</w:t>
            </w:r>
          </w:p>
        </w:tc>
        <w:tc>
          <w:tcPr>
            <w:tcW w:w="1703" w:type="pct"/>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89046F8"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Inefficient lighting, cooking, water pumping, cooling and heating-</w:t>
            </w:r>
          </w:p>
          <w:p w14:paraId="51FFA362" w14:textId="77777777" w:rsidR="00B33B6F" w:rsidRPr="00191ACB" w:rsidRDefault="00B33B6F" w:rsidP="00B33B6F">
            <w:p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SAPP Grid emission</w:t>
            </w:r>
          </w:p>
        </w:tc>
        <w:tc>
          <w:tcPr>
            <w:tcW w:w="2163" w:type="pct"/>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72BDA37" w14:textId="77777777" w:rsidR="00B33B6F" w:rsidRPr="00191ACB" w:rsidRDefault="00B33B6F" w:rsidP="00E435F6">
            <w:pPr>
              <w:numPr>
                <w:ilvl w:val="0"/>
                <w:numId w:val="23"/>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Self generation through solar PV</w:t>
            </w:r>
          </w:p>
          <w:p w14:paraId="485F543C" w14:textId="77777777" w:rsidR="00B33B6F" w:rsidRPr="00191ACB" w:rsidRDefault="00B33B6F" w:rsidP="00E435F6">
            <w:pPr>
              <w:numPr>
                <w:ilvl w:val="0"/>
                <w:numId w:val="23"/>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Solar water heating </w:t>
            </w:r>
          </w:p>
          <w:p w14:paraId="0C2F5CFD" w14:textId="77777777" w:rsidR="00B33B6F" w:rsidRPr="00191ACB" w:rsidRDefault="00B33B6F" w:rsidP="00E435F6">
            <w:pPr>
              <w:numPr>
                <w:ilvl w:val="0"/>
                <w:numId w:val="23"/>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Eco-design</w:t>
            </w:r>
          </w:p>
          <w:p w14:paraId="100F0B90" w14:textId="77777777" w:rsidR="00B33B6F" w:rsidRPr="00191ACB" w:rsidRDefault="00B33B6F" w:rsidP="00E435F6">
            <w:pPr>
              <w:numPr>
                <w:ilvl w:val="0"/>
                <w:numId w:val="23"/>
              </w:numPr>
              <w:spacing w:after="0" w:line="240"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Efficient cooling </w:t>
            </w:r>
          </w:p>
        </w:tc>
      </w:tr>
    </w:tbl>
    <w:p w14:paraId="7968016E" w14:textId="77777777" w:rsidR="00B33B6F" w:rsidRPr="00191ACB" w:rsidRDefault="00B33B6F" w:rsidP="005E626A">
      <w:pPr>
        <w:keepNext/>
        <w:spacing w:before="240" w:after="120" w:line="240" w:lineRule="auto"/>
        <w:jc w:val="both"/>
        <w:outlineLvl w:val="1"/>
        <w:rPr>
          <w:rFonts w:ascii="Times New Roman" w:eastAsia="Times New Roman" w:hAnsi="Times New Roman" w:cs="Times New Roman"/>
          <w:b/>
          <w:bCs/>
          <w:iCs/>
          <w:color w:val="000000" w:themeColor="text1"/>
          <w:sz w:val="24"/>
          <w:szCs w:val="24"/>
        </w:rPr>
      </w:pPr>
    </w:p>
    <w:p w14:paraId="260BD86A" w14:textId="687FBF4F" w:rsidR="00B33B6F" w:rsidRPr="00191ACB" w:rsidRDefault="00D56F0C" w:rsidP="009D64B6">
      <w:pPr>
        <w:pStyle w:val="Heading2"/>
        <w:numPr>
          <w:ilvl w:val="1"/>
          <w:numId w:val="36"/>
        </w:numPr>
        <w:spacing w:after="120" w:line="240" w:lineRule="auto"/>
        <w:ind w:left="851" w:hanging="851"/>
        <w:rPr>
          <w:rFonts w:ascii="Times New Roman" w:eastAsia="Times New Roman" w:hAnsi="Times New Roman" w:cs="Times New Roman"/>
          <w:b/>
          <w:color w:val="000000" w:themeColor="text1"/>
          <w:sz w:val="24"/>
          <w:szCs w:val="24"/>
        </w:rPr>
      </w:pPr>
      <w:bookmarkStart w:id="510" w:name="_Toc26264984"/>
      <w:bookmarkStart w:id="511" w:name="_Toc57902894"/>
      <w:r w:rsidRPr="00191ACB">
        <w:rPr>
          <w:rFonts w:ascii="Times New Roman" w:eastAsia="Times New Roman" w:hAnsi="Times New Roman" w:cs="Times New Roman"/>
          <w:b/>
          <w:color w:val="000000" w:themeColor="text1"/>
          <w:sz w:val="24"/>
          <w:szCs w:val="24"/>
        </w:rPr>
        <w:t>CAPACITY BUILDING, TECHNICAL NEEDS AND SUPPORT RECEIVED</w:t>
      </w:r>
      <w:bookmarkEnd w:id="510"/>
      <w:bookmarkEnd w:id="511"/>
    </w:p>
    <w:p w14:paraId="2F7A334D" w14:textId="0162E564" w:rsidR="00B33B6F" w:rsidRPr="002E2B09" w:rsidRDefault="00B33B6F" w:rsidP="009D64B6">
      <w:pPr>
        <w:pStyle w:val="Heading3"/>
        <w:numPr>
          <w:ilvl w:val="2"/>
          <w:numId w:val="36"/>
        </w:numPr>
        <w:ind w:left="851" w:hanging="851"/>
        <w:rPr>
          <w:color w:val="auto"/>
        </w:rPr>
      </w:pPr>
      <w:bookmarkStart w:id="512" w:name="_Toc26264985"/>
      <w:bookmarkStart w:id="513" w:name="_Toc57902895"/>
      <w:r w:rsidRPr="002E2B09">
        <w:rPr>
          <w:color w:val="auto"/>
        </w:rPr>
        <w:t xml:space="preserve">Capacity Building </w:t>
      </w:r>
      <w:r w:rsidR="00141A1A" w:rsidRPr="002E2B09">
        <w:rPr>
          <w:color w:val="auto"/>
        </w:rPr>
        <w:t xml:space="preserve">Support </w:t>
      </w:r>
      <w:r w:rsidRPr="002E2B09">
        <w:rPr>
          <w:color w:val="auto"/>
        </w:rPr>
        <w:t>Received</w:t>
      </w:r>
      <w:bookmarkEnd w:id="512"/>
      <w:bookmarkEnd w:id="513"/>
      <w:r w:rsidRPr="002E2B09">
        <w:rPr>
          <w:color w:val="auto"/>
        </w:rPr>
        <w:t xml:space="preserve"> </w:t>
      </w:r>
    </w:p>
    <w:p w14:paraId="77D0293D" w14:textId="7A5DEC9E" w:rsidR="00141A1A" w:rsidRDefault="00141A1A" w:rsidP="00A65F60">
      <w:pPr>
        <w:spacing w:after="120" w:line="276" w:lineRule="auto"/>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 xml:space="preserve">Zambia received capacity building and technical support through various cooperating partners including UNDP, UNEP, UNFCCC and GIZ as outlined in </w:t>
      </w:r>
      <w:r w:rsidR="00D56F0C">
        <w:rPr>
          <w:rFonts w:ascii="Times New Roman" w:eastAsia="Calibri" w:hAnsi="Times New Roman" w:cs="Times New Roman"/>
          <w:iCs/>
          <w:color w:val="000000" w:themeColor="text1"/>
          <w:sz w:val="24"/>
          <w:szCs w:val="24"/>
        </w:rPr>
        <w:t>T</w:t>
      </w:r>
      <w:r w:rsidRPr="00191ACB">
        <w:rPr>
          <w:rFonts w:ascii="Times New Roman" w:eastAsia="Calibri" w:hAnsi="Times New Roman" w:cs="Times New Roman"/>
          <w:iCs/>
          <w:color w:val="000000" w:themeColor="text1"/>
          <w:sz w:val="24"/>
          <w:szCs w:val="24"/>
        </w:rPr>
        <w:t xml:space="preserve">able </w:t>
      </w:r>
      <w:r w:rsidR="00D56F0C">
        <w:rPr>
          <w:rFonts w:ascii="Times New Roman" w:eastAsia="Calibri" w:hAnsi="Times New Roman" w:cs="Times New Roman"/>
          <w:iCs/>
          <w:color w:val="000000" w:themeColor="text1"/>
          <w:sz w:val="24"/>
          <w:szCs w:val="24"/>
        </w:rPr>
        <w:t>7.9</w:t>
      </w:r>
      <w:r w:rsidRPr="00191ACB">
        <w:rPr>
          <w:rFonts w:ascii="Times New Roman" w:eastAsia="Calibri" w:hAnsi="Times New Roman" w:cs="Times New Roman"/>
          <w:iCs/>
          <w:color w:val="000000" w:themeColor="text1"/>
          <w:sz w:val="24"/>
          <w:szCs w:val="24"/>
        </w:rPr>
        <w:t>.</w:t>
      </w:r>
    </w:p>
    <w:p w14:paraId="451842F2" w14:textId="62640717" w:rsidR="00040765" w:rsidRDefault="00040765" w:rsidP="005E626A">
      <w:pPr>
        <w:spacing w:after="120" w:line="240" w:lineRule="auto"/>
        <w:jc w:val="both"/>
        <w:rPr>
          <w:rFonts w:ascii="Times New Roman" w:eastAsia="Calibri" w:hAnsi="Times New Roman" w:cs="Times New Roman"/>
          <w:iCs/>
          <w:color w:val="000000" w:themeColor="text1"/>
          <w:sz w:val="24"/>
          <w:szCs w:val="24"/>
        </w:rPr>
      </w:pPr>
      <w:r>
        <w:rPr>
          <w:rFonts w:ascii="Times New Roman" w:eastAsia="Calibri" w:hAnsi="Times New Roman" w:cs="Times New Roman"/>
          <w:iCs/>
          <w:color w:val="000000" w:themeColor="text1"/>
          <w:sz w:val="24"/>
          <w:szCs w:val="24"/>
        </w:rPr>
        <w:br w:type="page"/>
      </w:r>
    </w:p>
    <w:p w14:paraId="3270EF19" w14:textId="77777777" w:rsidR="00D56F0C" w:rsidRPr="00191ACB" w:rsidRDefault="00D56F0C" w:rsidP="005E626A">
      <w:pPr>
        <w:spacing w:after="120" w:line="240" w:lineRule="auto"/>
        <w:jc w:val="both"/>
        <w:rPr>
          <w:rFonts w:ascii="Times New Roman" w:eastAsia="Calibri" w:hAnsi="Times New Roman" w:cs="Times New Roman"/>
          <w:iCs/>
          <w:color w:val="000000" w:themeColor="text1"/>
          <w:sz w:val="24"/>
          <w:szCs w:val="24"/>
        </w:rPr>
      </w:pPr>
    </w:p>
    <w:p w14:paraId="5CFC4C2D" w14:textId="34F08F24" w:rsidR="00141A1A" w:rsidRPr="002E2B09" w:rsidRDefault="00D56F0C" w:rsidP="00D56F0C">
      <w:pPr>
        <w:pStyle w:val="Caption"/>
        <w:rPr>
          <w:rFonts w:eastAsia="Calibri"/>
          <w:iCs w:val="0"/>
          <w:color w:val="000000" w:themeColor="text1"/>
          <w:sz w:val="24"/>
          <w:szCs w:val="24"/>
        </w:rPr>
      </w:pPr>
      <w:bookmarkStart w:id="514" w:name="_Toc56583841"/>
      <w:r w:rsidRPr="002E2B09">
        <w:rPr>
          <w:sz w:val="24"/>
          <w:szCs w:val="24"/>
        </w:rPr>
        <w:t xml:space="preserve">Table </w:t>
      </w:r>
      <w:r w:rsidR="00875942" w:rsidRPr="002E2B09">
        <w:rPr>
          <w:sz w:val="24"/>
          <w:szCs w:val="24"/>
        </w:rPr>
        <w:fldChar w:fldCharType="begin"/>
      </w:r>
      <w:r w:rsidR="00875942" w:rsidRPr="002E2B09">
        <w:rPr>
          <w:sz w:val="24"/>
          <w:szCs w:val="24"/>
        </w:rPr>
        <w:instrText xml:space="preserve"> STYLEREF 1 \s </w:instrText>
      </w:r>
      <w:r w:rsidR="00875942" w:rsidRPr="002E2B09">
        <w:rPr>
          <w:sz w:val="24"/>
          <w:szCs w:val="24"/>
        </w:rPr>
        <w:fldChar w:fldCharType="separate"/>
      </w:r>
      <w:r w:rsidR="00875942" w:rsidRPr="002E2B09">
        <w:rPr>
          <w:noProof/>
          <w:sz w:val="24"/>
          <w:szCs w:val="24"/>
        </w:rPr>
        <w:t>7</w:t>
      </w:r>
      <w:r w:rsidR="00875942" w:rsidRPr="002E2B09">
        <w:rPr>
          <w:sz w:val="24"/>
          <w:szCs w:val="24"/>
        </w:rPr>
        <w:fldChar w:fldCharType="end"/>
      </w:r>
      <w:r w:rsidR="00875942" w:rsidRPr="002E2B09">
        <w:rPr>
          <w:sz w:val="24"/>
          <w:szCs w:val="24"/>
        </w:rPr>
        <w:t>.</w:t>
      </w:r>
      <w:r w:rsidR="00875942" w:rsidRPr="002E2B09">
        <w:rPr>
          <w:sz w:val="24"/>
          <w:szCs w:val="24"/>
        </w:rPr>
        <w:fldChar w:fldCharType="begin"/>
      </w:r>
      <w:r w:rsidR="00875942" w:rsidRPr="002E2B09">
        <w:rPr>
          <w:sz w:val="24"/>
          <w:szCs w:val="24"/>
        </w:rPr>
        <w:instrText xml:space="preserve"> SEQ Table \* ARABIC \s 1 </w:instrText>
      </w:r>
      <w:r w:rsidR="00875942" w:rsidRPr="002E2B09">
        <w:rPr>
          <w:sz w:val="24"/>
          <w:szCs w:val="24"/>
        </w:rPr>
        <w:fldChar w:fldCharType="separate"/>
      </w:r>
      <w:r w:rsidR="00875942" w:rsidRPr="002E2B09">
        <w:rPr>
          <w:noProof/>
          <w:sz w:val="24"/>
          <w:szCs w:val="24"/>
        </w:rPr>
        <w:t>9</w:t>
      </w:r>
      <w:r w:rsidR="00875942" w:rsidRPr="002E2B09">
        <w:rPr>
          <w:sz w:val="24"/>
          <w:szCs w:val="24"/>
        </w:rPr>
        <w:fldChar w:fldCharType="end"/>
      </w:r>
      <w:r w:rsidRPr="002E2B09">
        <w:rPr>
          <w:sz w:val="24"/>
          <w:szCs w:val="24"/>
        </w:rPr>
        <w:t>:Technology needs for Buildings</w:t>
      </w:r>
      <w:bookmarkEnd w:id="514"/>
    </w:p>
    <w:tbl>
      <w:tblPr>
        <w:tblStyle w:val="TableGrid"/>
        <w:tblW w:w="0" w:type="auto"/>
        <w:tblLook w:val="04A0" w:firstRow="1" w:lastRow="0" w:firstColumn="1" w:lastColumn="0" w:noHBand="0" w:noVBand="1"/>
      </w:tblPr>
      <w:tblGrid>
        <w:gridCol w:w="1623"/>
        <w:gridCol w:w="1623"/>
        <w:gridCol w:w="1623"/>
        <w:gridCol w:w="1623"/>
        <w:gridCol w:w="1623"/>
        <w:gridCol w:w="1624"/>
      </w:tblGrid>
      <w:tr w:rsidR="000A4D3F" w:rsidRPr="00191ACB" w14:paraId="3C046887" w14:textId="77777777" w:rsidTr="00141A1A">
        <w:tc>
          <w:tcPr>
            <w:tcW w:w="1623" w:type="dxa"/>
          </w:tcPr>
          <w:p w14:paraId="42215A12" w14:textId="4C91B617" w:rsidR="00141A1A" w:rsidRPr="00191ACB" w:rsidRDefault="00141A1A" w:rsidP="005E626A">
            <w:pPr>
              <w:spacing w:after="120"/>
              <w:jc w:val="both"/>
              <w:rPr>
                <w:rFonts w:ascii="Times New Roman" w:eastAsia="Calibri" w:hAnsi="Times New Roman" w:cs="Times New Roman"/>
                <w:b/>
                <w:bCs/>
                <w:iCs/>
                <w:color w:val="000000" w:themeColor="text1"/>
                <w:sz w:val="24"/>
                <w:szCs w:val="24"/>
              </w:rPr>
            </w:pPr>
            <w:r w:rsidRPr="00191ACB">
              <w:rPr>
                <w:rFonts w:ascii="Times New Roman" w:eastAsia="Calibri" w:hAnsi="Times New Roman" w:cs="Times New Roman"/>
                <w:b/>
                <w:bCs/>
                <w:iCs/>
                <w:color w:val="000000" w:themeColor="text1"/>
                <w:sz w:val="24"/>
                <w:szCs w:val="24"/>
              </w:rPr>
              <w:t>Type of Support</w:t>
            </w:r>
          </w:p>
        </w:tc>
        <w:tc>
          <w:tcPr>
            <w:tcW w:w="1623" w:type="dxa"/>
          </w:tcPr>
          <w:p w14:paraId="148935EA" w14:textId="7AB007C5" w:rsidR="00141A1A" w:rsidRPr="00191ACB" w:rsidRDefault="00141A1A" w:rsidP="005E626A">
            <w:pPr>
              <w:spacing w:after="120"/>
              <w:jc w:val="both"/>
              <w:rPr>
                <w:rFonts w:ascii="Times New Roman" w:eastAsia="Calibri" w:hAnsi="Times New Roman" w:cs="Times New Roman"/>
                <w:b/>
                <w:bCs/>
                <w:iCs/>
                <w:color w:val="000000" w:themeColor="text1"/>
                <w:sz w:val="24"/>
                <w:szCs w:val="24"/>
              </w:rPr>
            </w:pPr>
            <w:r w:rsidRPr="00191ACB">
              <w:rPr>
                <w:rFonts w:ascii="Times New Roman" w:eastAsia="Calibri" w:hAnsi="Times New Roman" w:cs="Times New Roman"/>
                <w:b/>
                <w:bCs/>
                <w:iCs/>
                <w:color w:val="000000" w:themeColor="text1"/>
                <w:sz w:val="24"/>
                <w:szCs w:val="24"/>
              </w:rPr>
              <w:t>Support Activity</w:t>
            </w:r>
          </w:p>
        </w:tc>
        <w:tc>
          <w:tcPr>
            <w:tcW w:w="1623" w:type="dxa"/>
          </w:tcPr>
          <w:p w14:paraId="6EE60F85" w14:textId="17788FD2" w:rsidR="00141A1A" w:rsidRPr="00191ACB" w:rsidRDefault="00141A1A" w:rsidP="005E626A">
            <w:pPr>
              <w:spacing w:after="120"/>
              <w:jc w:val="both"/>
              <w:rPr>
                <w:rFonts w:ascii="Times New Roman" w:eastAsia="Calibri" w:hAnsi="Times New Roman" w:cs="Times New Roman"/>
                <w:b/>
                <w:bCs/>
                <w:iCs/>
                <w:color w:val="000000" w:themeColor="text1"/>
                <w:sz w:val="24"/>
                <w:szCs w:val="24"/>
              </w:rPr>
            </w:pPr>
            <w:r w:rsidRPr="00191ACB">
              <w:rPr>
                <w:rFonts w:ascii="Times New Roman" w:eastAsia="Calibri" w:hAnsi="Times New Roman" w:cs="Times New Roman"/>
                <w:b/>
                <w:bCs/>
                <w:iCs/>
                <w:color w:val="000000" w:themeColor="text1"/>
                <w:sz w:val="24"/>
                <w:szCs w:val="24"/>
              </w:rPr>
              <w:t>Year Received</w:t>
            </w:r>
          </w:p>
        </w:tc>
        <w:tc>
          <w:tcPr>
            <w:tcW w:w="1623" w:type="dxa"/>
          </w:tcPr>
          <w:p w14:paraId="0AEE6665" w14:textId="46F47A8F" w:rsidR="00141A1A" w:rsidRPr="00191ACB" w:rsidRDefault="00141A1A" w:rsidP="005E626A">
            <w:pPr>
              <w:spacing w:after="120"/>
              <w:jc w:val="both"/>
              <w:rPr>
                <w:rFonts w:ascii="Times New Roman" w:eastAsia="Calibri" w:hAnsi="Times New Roman" w:cs="Times New Roman"/>
                <w:b/>
                <w:bCs/>
                <w:iCs/>
                <w:color w:val="000000" w:themeColor="text1"/>
                <w:sz w:val="24"/>
                <w:szCs w:val="24"/>
              </w:rPr>
            </w:pPr>
            <w:r w:rsidRPr="00191ACB">
              <w:rPr>
                <w:rFonts w:ascii="Times New Roman" w:eastAsia="Calibri" w:hAnsi="Times New Roman" w:cs="Times New Roman"/>
                <w:b/>
                <w:bCs/>
                <w:iCs/>
                <w:color w:val="000000" w:themeColor="text1"/>
                <w:sz w:val="24"/>
                <w:szCs w:val="24"/>
              </w:rPr>
              <w:t>Status</w:t>
            </w:r>
          </w:p>
        </w:tc>
        <w:tc>
          <w:tcPr>
            <w:tcW w:w="1623" w:type="dxa"/>
          </w:tcPr>
          <w:p w14:paraId="76DAD494" w14:textId="02FDBC6C" w:rsidR="00141A1A" w:rsidRPr="00191ACB" w:rsidRDefault="00141A1A" w:rsidP="005E626A">
            <w:pPr>
              <w:spacing w:after="120"/>
              <w:jc w:val="both"/>
              <w:rPr>
                <w:rFonts w:ascii="Times New Roman" w:eastAsia="Calibri" w:hAnsi="Times New Roman" w:cs="Times New Roman"/>
                <w:b/>
                <w:bCs/>
                <w:iCs/>
                <w:color w:val="000000" w:themeColor="text1"/>
                <w:sz w:val="24"/>
                <w:szCs w:val="24"/>
              </w:rPr>
            </w:pPr>
            <w:r w:rsidRPr="00191ACB">
              <w:rPr>
                <w:rFonts w:ascii="Times New Roman" w:eastAsia="Calibri" w:hAnsi="Times New Roman" w:cs="Times New Roman"/>
                <w:b/>
                <w:bCs/>
                <w:iCs/>
                <w:color w:val="000000" w:themeColor="text1"/>
                <w:sz w:val="24"/>
                <w:szCs w:val="24"/>
              </w:rPr>
              <w:t>Focus</w:t>
            </w:r>
          </w:p>
        </w:tc>
        <w:tc>
          <w:tcPr>
            <w:tcW w:w="1624" w:type="dxa"/>
          </w:tcPr>
          <w:p w14:paraId="441A3231" w14:textId="59BED1B0" w:rsidR="00141A1A" w:rsidRPr="00191ACB" w:rsidRDefault="00141A1A" w:rsidP="005E626A">
            <w:pPr>
              <w:spacing w:after="120"/>
              <w:jc w:val="both"/>
              <w:rPr>
                <w:rFonts w:ascii="Times New Roman" w:eastAsia="Calibri" w:hAnsi="Times New Roman" w:cs="Times New Roman"/>
                <w:b/>
                <w:bCs/>
                <w:iCs/>
                <w:color w:val="000000" w:themeColor="text1"/>
                <w:sz w:val="24"/>
                <w:szCs w:val="24"/>
              </w:rPr>
            </w:pPr>
            <w:r w:rsidRPr="00191ACB">
              <w:rPr>
                <w:rFonts w:ascii="Times New Roman" w:eastAsia="Calibri" w:hAnsi="Times New Roman" w:cs="Times New Roman"/>
                <w:b/>
                <w:bCs/>
                <w:iCs/>
                <w:color w:val="000000" w:themeColor="text1"/>
                <w:sz w:val="24"/>
                <w:szCs w:val="24"/>
              </w:rPr>
              <w:t>Source of Support</w:t>
            </w:r>
          </w:p>
        </w:tc>
      </w:tr>
      <w:tr w:rsidR="000A4D3F" w:rsidRPr="00191ACB" w14:paraId="23213C60" w14:textId="77777777" w:rsidTr="00141A1A">
        <w:tc>
          <w:tcPr>
            <w:tcW w:w="1623" w:type="dxa"/>
          </w:tcPr>
          <w:p w14:paraId="102ADE02" w14:textId="09855DDA"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Technical</w:t>
            </w:r>
          </w:p>
        </w:tc>
        <w:tc>
          <w:tcPr>
            <w:tcW w:w="1623" w:type="dxa"/>
          </w:tcPr>
          <w:p w14:paraId="5793B9D5" w14:textId="710CB0FF" w:rsidR="00141A1A" w:rsidRPr="00191ACB" w:rsidRDefault="00141A1A"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 xml:space="preserve">Development of institutional arrangement </w:t>
            </w:r>
            <w:r w:rsidR="000A4D3F" w:rsidRPr="00191ACB">
              <w:rPr>
                <w:rFonts w:ascii="Times New Roman" w:eastAsia="Calibri" w:hAnsi="Times New Roman" w:cs="Times New Roman"/>
                <w:iCs/>
                <w:color w:val="000000" w:themeColor="text1"/>
                <w:sz w:val="24"/>
                <w:szCs w:val="24"/>
              </w:rPr>
              <w:t>for GHGi</w:t>
            </w:r>
            <w:r w:rsidR="000A4D3F" w:rsidRPr="00191ACB">
              <w:rPr>
                <w:rFonts w:ascii="Times New Roman" w:eastAsia="Calibri" w:hAnsi="Times New Roman" w:cs="Times New Roman"/>
                <w:color w:val="000000" w:themeColor="text1"/>
                <w:sz w:val="24"/>
                <w:szCs w:val="24"/>
              </w:rPr>
              <w:t xml:space="preserve">, preparation of </w:t>
            </w:r>
            <w:r w:rsidR="000A4D3F" w:rsidRPr="00191ACB">
              <w:rPr>
                <w:rFonts w:ascii="Times New Roman" w:eastAsia="Calibri" w:hAnsi="Times New Roman" w:cs="Times New Roman"/>
                <w:snapToGrid w:val="0"/>
                <w:color w:val="000000" w:themeColor="text1"/>
                <w:sz w:val="24"/>
                <w:szCs w:val="24"/>
              </w:rPr>
              <w:t xml:space="preserve">NAMAs and design the associated MRV </w:t>
            </w:r>
          </w:p>
        </w:tc>
        <w:tc>
          <w:tcPr>
            <w:tcW w:w="1623" w:type="dxa"/>
          </w:tcPr>
          <w:p w14:paraId="594D08AE" w14:textId="3AB20A04" w:rsidR="00141A1A" w:rsidRPr="00191ACB" w:rsidRDefault="00141A1A"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2013-201</w:t>
            </w:r>
            <w:r w:rsidR="000A4D3F" w:rsidRPr="00191ACB">
              <w:rPr>
                <w:rFonts w:ascii="Times New Roman" w:eastAsia="Calibri" w:hAnsi="Times New Roman" w:cs="Times New Roman"/>
                <w:iCs/>
                <w:color w:val="000000" w:themeColor="text1"/>
                <w:sz w:val="24"/>
                <w:szCs w:val="24"/>
              </w:rPr>
              <w:t>7</w:t>
            </w:r>
          </w:p>
        </w:tc>
        <w:tc>
          <w:tcPr>
            <w:tcW w:w="1623" w:type="dxa"/>
          </w:tcPr>
          <w:p w14:paraId="7B52CF0D" w14:textId="444684C8" w:rsidR="00141A1A" w:rsidRPr="00191ACB" w:rsidRDefault="00141A1A"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Achieved</w:t>
            </w:r>
          </w:p>
        </w:tc>
        <w:tc>
          <w:tcPr>
            <w:tcW w:w="1623" w:type="dxa"/>
          </w:tcPr>
          <w:p w14:paraId="32DE2FBE" w14:textId="57C4492B" w:rsidR="00141A1A" w:rsidRPr="00191ACB" w:rsidRDefault="00141A1A"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Mitigation</w:t>
            </w:r>
          </w:p>
        </w:tc>
        <w:tc>
          <w:tcPr>
            <w:tcW w:w="1624" w:type="dxa"/>
          </w:tcPr>
          <w:p w14:paraId="58676ED6" w14:textId="005119CF" w:rsidR="00141A1A" w:rsidRPr="00191ACB" w:rsidRDefault="00141A1A"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UNDP</w:t>
            </w:r>
            <w:r w:rsidR="000A4D3F" w:rsidRPr="00191ACB">
              <w:rPr>
                <w:rFonts w:ascii="Times New Roman" w:eastAsia="Calibri" w:hAnsi="Times New Roman" w:cs="Times New Roman"/>
                <w:iCs/>
                <w:color w:val="000000" w:themeColor="text1"/>
                <w:sz w:val="24"/>
                <w:szCs w:val="24"/>
              </w:rPr>
              <w:t>,</w:t>
            </w:r>
          </w:p>
          <w:p w14:paraId="1313F956" w14:textId="717BF874" w:rsidR="000A4D3F" w:rsidRPr="00191ACB" w:rsidRDefault="000A4D3F" w:rsidP="000A4D3F">
            <w:pPr>
              <w:spacing w:after="120"/>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iCs/>
                <w:color w:val="000000" w:themeColor="text1"/>
                <w:sz w:val="24"/>
                <w:szCs w:val="24"/>
              </w:rPr>
              <w:t>European Commission, German Federal Ministry for the Environment, Nature Conservation and Nuclear Safety (BMU) and the Government of Australia.</w:t>
            </w:r>
          </w:p>
          <w:p w14:paraId="10DA55FB" w14:textId="0F3AA8B9" w:rsidR="000A4D3F" w:rsidRPr="00191ACB" w:rsidRDefault="000A4D3F" w:rsidP="005E626A">
            <w:pPr>
              <w:spacing w:after="120"/>
              <w:jc w:val="both"/>
              <w:rPr>
                <w:rFonts w:ascii="Times New Roman" w:eastAsia="Calibri" w:hAnsi="Times New Roman" w:cs="Times New Roman"/>
                <w:iCs/>
                <w:color w:val="000000" w:themeColor="text1"/>
                <w:sz w:val="24"/>
                <w:szCs w:val="24"/>
              </w:rPr>
            </w:pPr>
          </w:p>
        </w:tc>
      </w:tr>
      <w:tr w:rsidR="000A4D3F" w:rsidRPr="00191ACB" w14:paraId="4D3DFF46" w14:textId="77777777" w:rsidTr="00141A1A">
        <w:tc>
          <w:tcPr>
            <w:tcW w:w="1623" w:type="dxa"/>
          </w:tcPr>
          <w:p w14:paraId="4D15FF93" w14:textId="2056E024"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Capacity building</w:t>
            </w:r>
          </w:p>
        </w:tc>
        <w:tc>
          <w:tcPr>
            <w:tcW w:w="1623" w:type="dxa"/>
          </w:tcPr>
          <w:p w14:paraId="5FFA75EE" w14:textId="72F9B7CA"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Training in MRV for mitigation</w:t>
            </w:r>
          </w:p>
        </w:tc>
        <w:tc>
          <w:tcPr>
            <w:tcW w:w="1623" w:type="dxa"/>
          </w:tcPr>
          <w:p w14:paraId="268B08E6" w14:textId="2CBA164E"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2018</w:t>
            </w:r>
          </w:p>
        </w:tc>
        <w:tc>
          <w:tcPr>
            <w:tcW w:w="1623" w:type="dxa"/>
          </w:tcPr>
          <w:p w14:paraId="3EE12670" w14:textId="1F0B0698"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Achieved</w:t>
            </w:r>
          </w:p>
        </w:tc>
        <w:tc>
          <w:tcPr>
            <w:tcW w:w="1623" w:type="dxa"/>
          </w:tcPr>
          <w:p w14:paraId="5E8C6A15" w14:textId="52B81E1D"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Mitigation</w:t>
            </w:r>
          </w:p>
        </w:tc>
        <w:tc>
          <w:tcPr>
            <w:tcW w:w="1624" w:type="dxa"/>
          </w:tcPr>
          <w:p w14:paraId="4BCE87D6" w14:textId="5649BF34"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GIZ</w:t>
            </w:r>
          </w:p>
        </w:tc>
      </w:tr>
      <w:tr w:rsidR="000A4D3F" w:rsidRPr="00191ACB" w14:paraId="67FE2799" w14:textId="77777777" w:rsidTr="00141A1A">
        <w:tc>
          <w:tcPr>
            <w:tcW w:w="1623" w:type="dxa"/>
          </w:tcPr>
          <w:p w14:paraId="5E76F4CC" w14:textId="33E08570" w:rsidR="000A4D3F" w:rsidRPr="00191ACB" w:rsidRDefault="000A4D3F" w:rsidP="000A4D3F">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Capacity building</w:t>
            </w:r>
          </w:p>
        </w:tc>
        <w:tc>
          <w:tcPr>
            <w:tcW w:w="1623" w:type="dxa"/>
          </w:tcPr>
          <w:p w14:paraId="149A242F" w14:textId="5C6F6E5A" w:rsidR="000A4D3F" w:rsidRPr="00191ACB" w:rsidRDefault="000A4D3F" w:rsidP="000A4D3F">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Training in mitigation assessment</w:t>
            </w:r>
          </w:p>
        </w:tc>
        <w:tc>
          <w:tcPr>
            <w:tcW w:w="1623" w:type="dxa"/>
          </w:tcPr>
          <w:p w14:paraId="786ACC07" w14:textId="4F66C6F4" w:rsidR="000A4D3F" w:rsidRPr="00191ACB" w:rsidRDefault="000A4D3F" w:rsidP="000A4D3F">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2020</w:t>
            </w:r>
          </w:p>
        </w:tc>
        <w:tc>
          <w:tcPr>
            <w:tcW w:w="1623" w:type="dxa"/>
          </w:tcPr>
          <w:p w14:paraId="34222826" w14:textId="50DE0CFE" w:rsidR="000A4D3F" w:rsidRPr="00191ACB" w:rsidRDefault="000A4D3F" w:rsidP="000A4D3F">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Achieved</w:t>
            </w:r>
          </w:p>
        </w:tc>
        <w:tc>
          <w:tcPr>
            <w:tcW w:w="1623" w:type="dxa"/>
          </w:tcPr>
          <w:p w14:paraId="1D6AFA2C" w14:textId="71A54F67" w:rsidR="000A4D3F" w:rsidRPr="00191ACB" w:rsidRDefault="000A4D3F" w:rsidP="000A4D3F">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Mitigation</w:t>
            </w:r>
          </w:p>
        </w:tc>
        <w:tc>
          <w:tcPr>
            <w:tcW w:w="1624" w:type="dxa"/>
          </w:tcPr>
          <w:p w14:paraId="2C0C1E96" w14:textId="4AEE6DB7" w:rsidR="000A4D3F" w:rsidRPr="00191ACB" w:rsidRDefault="000A4D3F" w:rsidP="000A4D3F">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GSP and UNFCCC</w:t>
            </w:r>
          </w:p>
        </w:tc>
      </w:tr>
      <w:tr w:rsidR="000A4D3F" w:rsidRPr="00191ACB" w14:paraId="4FFC529A" w14:textId="77777777" w:rsidTr="00141A1A">
        <w:tc>
          <w:tcPr>
            <w:tcW w:w="1623" w:type="dxa"/>
          </w:tcPr>
          <w:p w14:paraId="1C4200E2" w14:textId="2E41070D"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Capacity building</w:t>
            </w:r>
          </w:p>
        </w:tc>
        <w:tc>
          <w:tcPr>
            <w:tcW w:w="1623" w:type="dxa"/>
          </w:tcPr>
          <w:p w14:paraId="2B28B1F3" w14:textId="2BB34EA8"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Training in GHGi preparation</w:t>
            </w:r>
          </w:p>
        </w:tc>
        <w:tc>
          <w:tcPr>
            <w:tcW w:w="1623" w:type="dxa"/>
          </w:tcPr>
          <w:p w14:paraId="533F7491" w14:textId="0A02CD5A"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2017</w:t>
            </w:r>
          </w:p>
        </w:tc>
        <w:tc>
          <w:tcPr>
            <w:tcW w:w="1623" w:type="dxa"/>
          </w:tcPr>
          <w:p w14:paraId="4467CED8" w14:textId="7315DE96"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Achieved</w:t>
            </w:r>
          </w:p>
        </w:tc>
        <w:tc>
          <w:tcPr>
            <w:tcW w:w="1623" w:type="dxa"/>
          </w:tcPr>
          <w:p w14:paraId="5D770B16" w14:textId="404ED9A6"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Mitigation</w:t>
            </w:r>
          </w:p>
        </w:tc>
        <w:tc>
          <w:tcPr>
            <w:tcW w:w="1624" w:type="dxa"/>
          </w:tcPr>
          <w:p w14:paraId="3AF123EF" w14:textId="2DF0F78A" w:rsidR="00141A1A" w:rsidRPr="00191ACB" w:rsidRDefault="000A4D3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UNFCCC</w:t>
            </w:r>
          </w:p>
        </w:tc>
      </w:tr>
      <w:tr w:rsidR="00CF1B8F" w:rsidRPr="00191ACB" w14:paraId="7DD4017C" w14:textId="77777777" w:rsidTr="00141A1A">
        <w:tc>
          <w:tcPr>
            <w:tcW w:w="1623" w:type="dxa"/>
          </w:tcPr>
          <w:p w14:paraId="6C091B94" w14:textId="5617E2C8" w:rsidR="00CF1B8F" w:rsidRPr="00191ACB" w:rsidRDefault="00CF1B8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Technical</w:t>
            </w:r>
          </w:p>
        </w:tc>
        <w:tc>
          <w:tcPr>
            <w:tcW w:w="1623" w:type="dxa"/>
          </w:tcPr>
          <w:p w14:paraId="4949DBD8" w14:textId="77777777" w:rsidR="00CF1B8F" w:rsidRPr="00191ACB" w:rsidRDefault="00CF1B8F" w:rsidP="00CF1B8F">
            <w:pPr>
              <w:spacing w:after="120"/>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(i) Set up the NDC MRV management system including, institutional arrangements for NDC coordination, MRV system, and finance &amp; resources mobilization; (ii) Develop requisite NDC management tools; and (iii) incorporate gender issues into NDC </w:t>
            </w:r>
            <w:r w:rsidRPr="00191ACB">
              <w:rPr>
                <w:rFonts w:ascii="Times New Roman" w:eastAsia="Calibri" w:hAnsi="Times New Roman" w:cs="Times New Roman"/>
                <w:color w:val="000000" w:themeColor="text1"/>
                <w:sz w:val="24"/>
                <w:szCs w:val="24"/>
              </w:rPr>
              <w:lastRenderedPageBreak/>
              <w:t>planning and development.</w:t>
            </w:r>
          </w:p>
          <w:p w14:paraId="3473EBBC" w14:textId="77777777" w:rsidR="00CF1B8F" w:rsidRPr="00191ACB" w:rsidRDefault="00CF1B8F" w:rsidP="005E626A">
            <w:pPr>
              <w:spacing w:after="120"/>
              <w:jc w:val="both"/>
              <w:rPr>
                <w:rFonts w:ascii="Times New Roman" w:eastAsia="Calibri" w:hAnsi="Times New Roman" w:cs="Times New Roman"/>
                <w:iCs/>
                <w:color w:val="000000" w:themeColor="text1"/>
                <w:sz w:val="24"/>
                <w:szCs w:val="24"/>
              </w:rPr>
            </w:pPr>
          </w:p>
        </w:tc>
        <w:tc>
          <w:tcPr>
            <w:tcW w:w="1623" w:type="dxa"/>
          </w:tcPr>
          <w:p w14:paraId="5E276595" w14:textId="4C6D4B60" w:rsidR="00CF1B8F" w:rsidRPr="00191ACB" w:rsidRDefault="00CF1B8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lastRenderedPageBreak/>
              <w:t>2018-2020</w:t>
            </w:r>
          </w:p>
        </w:tc>
        <w:tc>
          <w:tcPr>
            <w:tcW w:w="1623" w:type="dxa"/>
          </w:tcPr>
          <w:p w14:paraId="2871009D" w14:textId="60630E49" w:rsidR="00CF1B8F" w:rsidRPr="00191ACB" w:rsidRDefault="00CF1B8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On-going</w:t>
            </w:r>
          </w:p>
        </w:tc>
        <w:tc>
          <w:tcPr>
            <w:tcW w:w="1623" w:type="dxa"/>
          </w:tcPr>
          <w:p w14:paraId="123147B4" w14:textId="276C1EA8" w:rsidR="00CF1B8F" w:rsidRPr="00191ACB" w:rsidRDefault="00CF1B8F"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iCs/>
                <w:color w:val="000000" w:themeColor="text1"/>
                <w:sz w:val="24"/>
                <w:szCs w:val="24"/>
              </w:rPr>
              <w:t>Mitigation and Adaptation</w:t>
            </w:r>
          </w:p>
        </w:tc>
        <w:tc>
          <w:tcPr>
            <w:tcW w:w="1624" w:type="dxa"/>
          </w:tcPr>
          <w:p w14:paraId="07986E81" w14:textId="5C399C44" w:rsidR="00CF1B8F" w:rsidRPr="00191ACB" w:rsidRDefault="00D13070" w:rsidP="005E626A">
            <w:pPr>
              <w:spacing w:after="120"/>
              <w:jc w:val="both"/>
              <w:rPr>
                <w:rFonts w:ascii="Times New Roman" w:eastAsia="Calibri" w:hAnsi="Times New Roman" w:cs="Times New Roman"/>
                <w:iCs/>
                <w:color w:val="000000" w:themeColor="text1"/>
                <w:sz w:val="24"/>
                <w:szCs w:val="24"/>
              </w:rPr>
            </w:pPr>
            <w:r w:rsidRPr="00191ACB">
              <w:rPr>
                <w:rFonts w:ascii="Times New Roman" w:eastAsia="Calibri" w:hAnsi="Times New Roman" w:cs="Times New Roman"/>
                <w:color w:val="000000" w:themeColor="text1"/>
                <w:sz w:val="24"/>
                <w:szCs w:val="24"/>
              </w:rPr>
              <w:t>Germany, and Spain and EU through UNDP</w:t>
            </w:r>
          </w:p>
        </w:tc>
      </w:tr>
    </w:tbl>
    <w:p w14:paraId="1DD27712" w14:textId="5C733BC2" w:rsidR="00B33B6F" w:rsidRPr="002E2B09" w:rsidRDefault="00B33B6F" w:rsidP="009D64B6">
      <w:pPr>
        <w:pStyle w:val="Heading3"/>
        <w:numPr>
          <w:ilvl w:val="2"/>
          <w:numId w:val="36"/>
        </w:numPr>
        <w:ind w:left="851" w:hanging="851"/>
        <w:rPr>
          <w:color w:val="auto"/>
        </w:rPr>
      </w:pPr>
      <w:bookmarkStart w:id="515" w:name="_Toc26264986"/>
      <w:bookmarkStart w:id="516" w:name="_Toc57902896"/>
      <w:r w:rsidRPr="002E2B09">
        <w:rPr>
          <w:color w:val="auto"/>
        </w:rPr>
        <w:t>Capacity Building Needs</w:t>
      </w:r>
      <w:bookmarkEnd w:id="515"/>
      <w:bookmarkEnd w:id="516"/>
      <w:r w:rsidRPr="002E2B09">
        <w:rPr>
          <w:color w:val="auto"/>
        </w:rPr>
        <w:t xml:space="preserve"> </w:t>
      </w:r>
    </w:p>
    <w:p w14:paraId="3415D4E5" w14:textId="244FC0D5" w:rsidR="00D13070" w:rsidRPr="00191ACB" w:rsidRDefault="00A43DF2" w:rsidP="00A65F60">
      <w:pPr>
        <w:spacing w:after="120" w:line="276" w:lineRule="auto"/>
        <w:jc w:val="both"/>
        <w:rPr>
          <w:rFonts w:ascii="Times New Roman" w:eastAsia="Times New Roman" w:hAnsi="Times New Roman" w:cs="Times New Roman"/>
          <w:color w:val="000000" w:themeColor="text1"/>
          <w:sz w:val="24"/>
          <w:szCs w:val="24"/>
          <w:lang w:eastAsia="x-none"/>
        </w:rPr>
      </w:pPr>
      <w:r w:rsidRPr="00191ACB">
        <w:rPr>
          <w:rFonts w:ascii="Times New Roman" w:eastAsia="Calibri" w:hAnsi="Times New Roman" w:cs="Times New Roman"/>
          <w:color w:val="000000" w:themeColor="text1"/>
          <w:sz w:val="24"/>
          <w:szCs w:val="24"/>
        </w:rPr>
        <w:t xml:space="preserve">In order to improve the </w:t>
      </w:r>
      <w:r w:rsidR="00D13070" w:rsidRPr="00191ACB">
        <w:rPr>
          <w:rFonts w:ascii="Times New Roman" w:eastAsia="Calibri" w:hAnsi="Times New Roman" w:cs="Times New Roman"/>
          <w:color w:val="000000" w:themeColor="text1"/>
          <w:sz w:val="24"/>
          <w:szCs w:val="24"/>
        </w:rPr>
        <w:t>BUR</w:t>
      </w:r>
      <w:r w:rsidRPr="00191ACB">
        <w:rPr>
          <w:rFonts w:ascii="Times New Roman" w:eastAsia="Calibri" w:hAnsi="Times New Roman" w:cs="Times New Roman"/>
          <w:color w:val="000000" w:themeColor="text1"/>
          <w:sz w:val="24"/>
          <w:szCs w:val="24"/>
        </w:rPr>
        <w:t xml:space="preserve"> process, Zambia will require various</w:t>
      </w:r>
      <w:r w:rsidR="00D13070" w:rsidRPr="00191ACB">
        <w:rPr>
          <w:rFonts w:ascii="Times New Roman" w:eastAsia="Calibri" w:hAnsi="Times New Roman" w:cs="Times New Roman"/>
          <w:color w:val="000000" w:themeColor="text1"/>
          <w:sz w:val="24"/>
          <w:szCs w:val="24"/>
        </w:rPr>
        <w:t xml:space="preserve"> support in areas of </w:t>
      </w:r>
      <w:r w:rsidR="00D13070" w:rsidRPr="00191ACB">
        <w:rPr>
          <w:rFonts w:ascii="Times New Roman" w:eastAsia="Times New Roman" w:hAnsi="Times New Roman" w:cs="Times New Roman"/>
          <w:color w:val="000000" w:themeColor="text1"/>
          <w:sz w:val="24"/>
          <w:szCs w:val="24"/>
          <w:lang w:eastAsia="x-none"/>
        </w:rPr>
        <w:t>GHG inventory preparation, mitigation analysis, modelling, development of bankable proposals and development of national MRV system. Details of the capacity building needs are elaborated as follows:</w:t>
      </w:r>
    </w:p>
    <w:p w14:paraId="527CF51A" w14:textId="77777777" w:rsidR="00B33B6F" w:rsidRPr="00191ACB" w:rsidRDefault="00B33B6F" w:rsidP="009D64B6">
      <w:pPr>
        <w:pStyle w:val="Heading4"/>
        <w:numPr>
          <w:ilvl w:val="3"/>
          <w:numId w:val="36"/>
        </w:numPr>
        <w:ind w:left="851" w:hanging="851"/>
      </w:pPr>
      <w:r w:rsidRPr="00191ACB">
        <w:t>GHG inventory</w:t>
      </w:r>
    </w:p>
    <w:p w14:paraId="1ED3C0BC" w14:textId="77777777" w:rsidR="00B33B6F" w:rsidRPr="00191ACB" w:rsidRDefault="00B33B6F" w:rsidP="00A65F60">
      <w:pPr>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Formalisation of the institutional arrangement for GHG started in 2013 where critical institutions were identified through consultative process involving all stakeholders critical to the process of GHGi. Current institutional arrangement was adopted and has the capacity to deliver basic GHGi related deliverables for National communication and BURs. However, the institutional arrangement does not have legal mandate as there is no legal framework to support it. The system has been based on MOUs with key lead sectors whilst data provision has been both legal and voluntary submission.</w:t>
      </w:r>
    </w:p>
    <w:p w14:paraId="3C95C16A" w14:textId="77777777" w:rsidR="00B33B6F" w:rsidRPr="00A65F60" w:rsidRDefault="00B33B6F" w:rsidP="00A65F60">
      <w:pPr>
        <w:spacing w:after="120" w:line="276" w:lineRule="auto"/>
        <w:jc w:val="both"/>
        <w:rPr>
          <w:rFonts w:ascii="Times New Roman" w:eastAsia="Calibri" w:hAnsi="Times New Roman" w:cs="Times New Roman"/>
          <w:iCs/>
          <w:color w:val="000000" w:themeColor="text1"/>
          <w:sz w:val="24"/>
          <w:szCs w:val="24"/>
        </w:rPr>
      </w:pPr>
      <w:r w:rsidRPr="00A65F60">
        <w:rPr>
          <w:rFonts w:ascii="Times New Roman" w:eastAsia="Calibri" w:hAnsi="Times New Roman" w:cs="Times New Roman"/>
          <w:iCs/>
          <w:color w:val="000000" w:themeColor="text1"/>
          <w:sz w:val="24"/>
          <w:szCs w:val="24"/>
        </w:rPr>
        <w:t>Data collection mechanisms by sector are still weak and need to be enhanced in order to improve the inventory and facilitate the migration to higher tiers. There is need to enhance regulatory capacity for data providers that are not currently regulated so that they can incorporate GHG data in their respective data capturing instruments. Further, technical support will be required to these key institutions to enable them incorporate the GHG requirements.</w:t>
      </w:r>
    </w:p>
    <w:p w14:paraId="5829E688" w14:textId="22891779" w:rsidR="00B33B6F" w:rsidRPr="00A65F60" w:rsidRDefault="00B33B6F" w:rsidP="00A65F60">
      <w:pPr>
        <w:spacing w:after="120" w:line="276" w:lineRule="auto"/>
        <w:jc w:val="both"/>
        <w:rPr>
          <w:rFonts w:ascii="Times New Roman" w:eastAsia="Calibri" w:hAnsi="Times New Roman" w:cs="Times New Roman"/>
          <w:iCs/>
          <w:color w:val="000000" w:themeColor="text1"/>
          <w:sz w:val="24"/>
          <w:szCs w:val="24"/>
        </w:rPr>
      </w:pPr>
      <w:r w:rsidRPr="00A65F60">
        <w:rPr>
          <w:rFonts w:ascii="Times New Roman" w:eastAsia="Calibri" w:hAnsi="Times New Roman" w:cs="Times New Roman"/>
          <w:iCs/>
          <w:color w:val="000000" w:themeColor="text1"/>
          <w:sz w:val="24"/>
          <w:szCs w:val="24"/>
        </w:rPr>
        <w:t xml:space="preserve">Whilst the institutional framework has provision for QA/QC with the QC being within the institutions, there is no formal arrangement. There is need to formalise the QC and QA as well as building </w:t>
      </w:r>
      <w:r w:rsidR="004E4F83" w:rsidRPr="00A65F60">
        <w:rPr>
          <w:rFonts w:ascii="Times New Roman" w:eastAsia="Calibri" w:hAnsi="Times New Roman" w:cs="Times New Roman"/>
          <w:iCs/>
          <w:color w:val="000000" w:themeColor="text1"/>
          <w:sz w:val="24"/>
          <w:szCs w:val="24"/>
        </w:rPr>
        <w:t xml:space="preserve">in-country </w:t>
      </w:r>
      <w:r w:rsidRPr="00A65F60">
        <w:rPr>
          <w:rFonts w:ascii="Times New Roman" w:eastAsia="Calibri" w:hAnsi="Times New Roman" w:cs="Times New Roman"/>
          <w:iCs/>
          <w:color w:val="000000" w:themeColor="text1"/>
          <w:sz w:val="24"/>
          <w:szCs w:val="24"/>
        </w:rPr>
        <w:t>capacity for QA.</w:t>
      </w:r>
    </w:p>
    <w:p w14:paraId="5A7DE63E" w14:textId="77777777" w:rsidR="00B33B6F" w:rsidRPr="00A65F60" w:rsidRDefault="00B33B6F" w:rsidP="00A65F60">
      <w:pPr>
        <w:spacing w:after="120" w:line="276" w:lineRule="auto"/>
        <w:jc w:val="both"/>
        <w:rPr>
          <w:rFonts w:ascii="Times New Roman" w:eastAsia="Calibri" w:hAnsi="Times New Roman" w:cs="Times New Roman"/>
          <w:iCs/>
          <w:color w:val="000000" w:themeColor="text1"/>
          <w:sz w:val="24"/>
          <w:szCs w:val="24"/>
        </w:rPr>
      </w:pPr>
      <w:r w:rsidRPr="00A65F60">
        <w:rPr>
          <w:rFonts w:ascii="Times New Roman" w:eastAsia="Calibri" w:hAnsi="Times New Roman" w:cs="Times New Roman"/>
          <w:iCs/>
          <w:color w:val="000000" w:themeColor="text1"/>
          <w:sz w:val="24"/>
          <w:szCs w:val="24"/>
        </w:rPr>
        <w:t>The National Energy Balance is not well aligned to the IPCC categorization which creates potential for double counting. There is therefore need to build capacity to re-align the energy balance with IPCC categorization. To date, default emission factors have been used in the energy sector. In order to improve the quality of the emissions estimates in the energy sector there is need to build capacity to develop country specific emission factors for all sectors</w:t>
      </w:r>
    </w:p>
    <w:p w14:paraId="2AF6B583" w14:textId="77777777" w:rsidR="00B33B6F" w:rsidRPr="00A65F60" w:rsidRDefault="00B33B6F" w:rsidP="00A65F60">
      <w:pPr>
        <w:spacing w:after="120" w:line="276" w:lineRule="auto"/>
        <w:jc w:val="both"/>
        <w:rPr>
          <w:rFonts w:ascii="Times New Roman" w:eastAsia="Calibri" w:hAnsi="Times New Roman" w:cs="Times New Roman"/>
          <w:iCs/>
          <w:color w:val="000000" w:themeColor="text1"/>
          <w:sz w:val="24"/>
          <w:szCs w:val="24"/>
        </w:rPr>
      </w:pPr>
    </w:p>
    <w:p w14:paraId="559E2606" w14:textId="77777777" w:rsidR="00B33B6F" w:rsidRPr="00A65F60" w:rsidRDefault="00B33B6F" w:rsidP="00A65F60">
      <w:pPr>
        <w:spacing w:after="120" w:line="276" w:lineRule="auto"/>
        <w:jc w:val="both"/>
        <w:rPr>
          <w:rFonts w:ascii="Times New Roman" w:eastAsia="Calibri" w:hAnsi="Times New Roman" w:cs="Times New Roman"/>
          <w:iCs/>
          <w:color w:val="000000" w:themeColor="text1"/>
          <w:sz w:val="24"/>
          <w:szCs w:val="24"/>
        </w:rPr>
      </w:pPr>
      <w:r w:rsidRPr="00A65F60">
        <w:rPr>
          <w:rFonts w:ascii="Times New Roman" w:eastAsia="Calibri" w:hAnsi="Times New Roman" w:cs="Times New Roman"/>
          <w:iCs/>
          <w:color w:val="000000" w:themeColor="text1"/>
          <w:sz w:val="24"/>
          <w:szCs w:val="24"/>
        </w:rPr>
        <w:t xml:space="preserve">Currently, data on refrigeration and air conditioning is available as total mass of imported unit which is relevant for taxes calculation but not useful for inventory preparation. This presents a challenge in estimating the quantity of the charge in the imported refrigeration and air conditioning units. There is therefore need to build capacity to incorporate data capturing instruments in the Zambia Revenue Authority and Zambia Statistical Agency so as to capture data appropriately on refrigeration and air conditioning and other relevant data for inventory preparation. </w:t>
      </w:r>
    </w:p>
    <w:p w14:paraId="2F25A04D" w14:textId="77777777" w:rsidR="00B33B6F" w:rsidRPr="00A65F60" w:rsidRDefault="00B33B6F" w:rsidP="00A65F60">
      <w:pPr>
        <w:spacing w:after="120" w:line="276" w:lineRule="auto"/>
        <w:jc w:val="both"/>
        <w:rPr>
          <w:rFonts w:ascii="Times New Roman" w:eastAsia="Calibri" w:hAnsi="Times New Roman" w:cs="Times New Roman"/>
          <w:iCs/>
          <w:color w:val="000000" w:themeColor="text1"/>
          <w:sz w:val="24"/>
          <w:szCs w:val="24"/>
        </w:rPr>
      </w:pPr>
    </w:p>
    <w:p w14:paraId="518387EF" w14:textId="77777777" w:rsidR="00B33B6F" w:rsidRPr="00A65F60" w:rsidRDefault="00B33B6F" w:rsidP="00A65F60">
      <w:pPr>
        <w:spacing w:after="120" w:line="276" w:lineRule="auto"/>
        <w:jc w:val="both"/>
        <w:rPr>
          <w:rFonts w:ascii="Times New Roman" w:eastAsia="Calibri" w:hAnsi="Times New Roman" w:cs="Times New Roman"/>
          <w:iCs/>
          <w:color w:val="000000" w:themeColor="text1"/>
          <w:sz w:val="24"/>
          <w:szCs w:val="24"/>
        </w:rPr>
      </w:pPr>
      <w:r w:rsidRPr="00A65F60">
        <w:rPr>
          <w:rFonts w:ascii="Times New Roman" w:eastAsia="Calibri" w:hAnsi="Times New Roman" w:cs="Times New Roman"/>
          <w:iCs/>
          <w:color w:val="000000" w:themeColor="text1"/>
          <w:sz w:val="24"/>
          <w:szCs w:val="24"/>
        </w:rPr>
        <w:t xml:space="preserve">To date land use assessments have been carried out through Integrated Land Use Assessment (ILUA I) in 2008 and ILUA II in 2016. There is need to increase the frequency of conducting land use assessment to improve on emissions in the AFOLU sector. Livestock data is not characterized and there is need for capacity building in improving activity data on livestock population, and undertake livestock characterization (i.e. Average daily feed intake, Weight (kg); Average weight gain per day, Feeding situation, Milk production per day (kg/day) and fat content (%); Percentage of females that </w:t>
      </w:r>
      <w:r w:rsidRPr="00A65F60">
        <w:rPr>
          <w:rFonts w:ascii="Times New Roman" w:eastAsia="Calibri" w:hAnsi="Times New Roman" w:cs="Times New Roman"/>
          <w:iCs/>
          <w:color w:val="000000" w:themeColor="text1"/>
          <w:sz w:val="24"/>
          <w:szCs w:val="24"/>
        </w:rPr>
        <w:lastRenderedPageBreak/>
        <w:t>give birth in year 3; Feed digestibility (%)). There is need for capacity in good quality data collection for fertilisers, crop yields, and annual area crop area burnt, and organic soils drained. Need capacity building in analyzing in solid waste characterisation. In addition, capacity is needed to enable the municipalities establish mechanisms to weigh the waste dumped and to archive the data.</w:t>
      </w:r>
    </w:p>
    <w:p w14:paraId="3E02AD1F" w14:textId="77777777" w:rsidR="00B33B6F" w:rsidRPr="00191ACB" w:rsidRDefault="00B33B6F" w:rsidP="005E626A">
      <w:pPr>
        <w:spacing w:after="120" w:line="240" w:lineRule="auto"/>
        <w:jc w:val="both"/>
        <w:textAlignment w:val="baseline"/>
        <w:rPr>
          <w:rFonts w:ascii="Times New Roman" w:eastAsia="ヒラギノ角ゴ ProN W3" w:hAnsi="Times New Roman" w:cs="Times New Roman"/>
          <w:color w:val="000000" w:themeColor="text1"/>
          <w:kern w:val="24"/>
          <w:sz w:val="24"/>
          <w:szCs w:val="24"/>
        </w:rPr>
      </w:pPr>
    </w:p>
    <w:p w14:paraId="07B85B2D" w14:textId="77777777" w:rsidR="00B33B6F" w:rsidRPr="00040765" w:rsidRDefault="00B33B6F" w:rsidP="009D64B6">
      <w:pPr>
        <w:pStyle w:val="Heading4"/>
        <w:numPr>
          <w:ilvl w:val="3"/>
          <w:numId w:val="36"/>
        </w:numPr>
        <w:ind w:left="851" w:hanging="851"/>
      </w:pPr>
      <w:r w:rsidRPr="00040765">
        <w:t xml:space="preserve">Mitigation Analysis </w:t>
      </w:r>
    </w:p>
    <w:p w14:paraId="468E89D1" w14:textId="43DBFDFD" w:rsidR="00B33B6F" w:rsidRPr="00191ACB" w:rsidRDefault="00B33B6F" w:rsidP="00A65F60">
      <w:pPr>
        <w:spacing w:after="120" w:line="276" w:lineRule="auto"/>
        <w:jc w:val="both"/>
        <w:rPr>
          <w:rFonts w:ascii="Times New Roman" w:eastAsia="ヒラギノ角ゴ ProN W3" w:hAnsi="Times New Roman" w:cs="Times New Roman"/>
          <w:color w:val="000000" w:themeColor="text1"/>
          <w:kern w:val="24"/>
          <w:sz w:val="24"/>
          <w:szCs w:val="24"/>
        </w:rPr>
      </w:pPr>
      <w:r w:rsidRPr="00191ACB">
        <w:rPr>
          <w:rFonts w:ascii="Times New Roman" w:eastAsia="ヒラギノ角ゴ ProN W3" w:hAnsi="Times New Roman" w:cs="Times New Roman"/>
          <w:color w:val="000000" w:themeColor="text1"/>
          <w:kern w:val="24"/>
          <w:sz w:val="24"/>
          <w:szCs w:val="24"/>
        </w:rPr>
        <w:t xml:space="preserve">Capacity to undertake long term mitigation scenario development is currently limited in Zambia. There is need to build capacity in mitigation scenario development, and use of modelling tools for energy such as the </w:t>
      </w:r>
      <w:r w:rsidRPr="00191ACB">
        <w:rPr>
          <w:rFonts w:ascii="Times New Roman" w:eastAsia="Calibri" w:hAnsi="Times New Roman" w:cs="Times New Roman"/>
          <w:color w:val="000000" w:themeColor="text1"/>
          <w:sz w:val="24"/>
          <w:szCs w:val="24"/>
          <w:shd w:val="clear" w:color="auto" w:fill="FFFFFF"/>
        </w:rPr>
        <w:t>Long-range Energy Alternatives Planning system (</w:t>
      </w:r>
      <w:r w:rsidRPr="00191ACB">
        <w:rPr>
          <w:rFonts w:ascii="Times New Roman" w:eastAsia="Calibri" w:hAnsi="Times New Roman" w:cs="Times New Roman"/>
          <w:bCs/>
          <w:color w:val="000000" w:themeColor="text1"/>
          <w:sz w:val="24"/>
          <w:szCs w:val="24"/>
          <w:shd w:val="clear" w:color="auto" w:fill="FFFFFF"/>
        </w:rPr>
        <w:t>LEAP</w:t>
      </w:r>
      <w:r w:rsidRPr="00191ACB">
        <w:rPr>
          <w:rFonts w:ascii="Times New Roman" w:eastAsia="Calibri" w:hAnsi="Times New Roman" w:cs="Times New Roman"/>
          <w:color w:val="000000" w:themeColor="text1"/>
          <w:sz w:val="24"/>
          <w:szCs w:val="24"/>
          <w:shd w:val="clear" w:color="auto" w:fill="FFFFFF"/>
        </w:rPr>
        <w:t>)</w:t>
      </w:r>
      <w:r w:rsidRPr="00191ACB">
        <w:rPr>
          <w:rFonts w:ascii="Times New Roman" w:eastAsia="ヒラギノ角ゴ ProN W3" w:hAnsi="Times New Roman" w:cs="Times New Roman"/>
          <w:color w:val="000000" w:themeColor="text1"/>
          <w:kern w:val="24"/>
          <w:sz w:val="24"/>
          <w:szCs w:val="24"/>
        </w:rPr>
        <w:t>. There is also need for capacity building on utilisation of modeling tools</w:t>
      </w:r>
      <w:r w:rsidR="00596A29" w:rsidRPr="00191ACB">
        <w:rPr>
          <w:rFonts w:ascii="Times New Roman" w:eastAsia="ヒラギノ角ゴ ProN W3" w:hAnsi="Times New Roman" w:cs="Times New Roman"/>
          <w:color w:val="000000" w:themeColor="text1"/>
          <w:kern w:val="24"/>
          <w:sz w:val="24"/>
          <w:szCs w:val="24"/>
        </w:rPr>
        <w:t xml:space="preserve"> for other sectors</w:t>
      </w:r>
      <w:r w:rsidRPr="00191ACB">
        <w:rPr>
          <w:rFonts w:ascii="Times New Roman" w:eastAsia="ヒラギノ角ゴ ProN W3" w:hAnsi="Times New Roman" w:cs="Times New Roman"/>
          <w:color w:val="000000" w:themeColor="text1"/>
          <w:kern w:val="24"/>
          <w:sz w:val="24"/>
          <w:szCs w:val="24"/>
        </w:rPr>
        <w:t xml:space="preserve"> to include, agriculture, forestry and waste. </w:t>
      </w:r>
    </w:p>
    <w:p w14:paraId="6549E0CE" w14:textId="77777777" w:rsidR="00B33B6F" w:rsidRPr="00191ACB" w:rsidRDefault="00B33B6F" w:rsidP="005E626A">
      <w:pPr>
        <w:spacing w:after="120" w:line="240" w:lineRule="auto"/>
        <w:jc w:val="both"/>
        <w:textAlignment w:val="baseline"/>
        <w:rPr>
          <w:rFonts w:ascii="Times New Roman" w:eastAsia="Times New Roman" w:hAnsi="Times New Roman" w:cs="Times New Roman"/>
          <w:color w:val="000000" w:themeColor="text1"/>
          <w:sz w:val="24"/>
          <w:szCs w:val="24"/>
          <w:lang w:eastAsia="x-none"/>
        </w:rPr>
      </w:pPr>
    </w:p>
    <w:p w14:paraId="5E421C6B" w14:textId="5B4D6353" w:rsidR="00B33B6F" w:rsidRPr="00040765" w:rsidRDefault="00596A29" w:rsidP="009D64B6">
      <w:pPr>
        <w:pStyle w:val="Heading4"/>
        <w:numPr>
          <w:ilvl w:val="3"/>
          <w:numId w:val="36"/>
        </w:numPr>
        <w:ind w:left="851" w:hanging="851"/>
      </w:pPr>
      <w:r w:rsidRPr="00040765">
        <w:t xml:space="preserve">Domestic </w:t>
      </w:r>
      <w:r w:rsidR="00B33B6F" w:rsidRPr="00040765">
        <w:t xml:space="preserve">MRV </w:t>
      </w:r>
      <w:r w:rsidRPr="00040765">
        <w:t>System</w:t>
      </w:r>
    </w:p>
    <w:p w14:paraId="2EBB974E" w14:textId="6E35C6C3" w:rsidR="0043343B" w:rsidRPr="00191ACB" w:rsidRDefault="00B33B6F" w:rsidP="00A65F6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In order to</w:t>
      </w:r>
      <w:r w:rsidR="00596A29" w:rsidRPr="00191ACB">
        <w:rPr>
          <w:rFonts w:ascii="Times New Roman" w:eastAsia="Calibri" w:hAnsi="Times New Roman" w:cs="Times New Roman"/>
          <w:color w:val="000000" w:themeColor="text1"/>
          <w:sz w:val="24"/>
          <w:szCs w:val="24"/>
        </w:rPr>
        <w:t xml:space="preserve"> effectively implement the Domestic MRV, there is need to</w:t>
      </w:r>
      <w:r w:rsidRPr="00191ACB">
        <w:rPr>
          <w:rFonts w:ascii="Times New Roman" w:eastAsia="Calibri" w:hAnsi="Times New Roman" w:cs="Times New Roman"/>
          <w:color w:val="000000" w:themeColor="text1"/>
          <w:sz w:val="24"/>
          <w:szCs w:val="24"/>
        </w:rPr>
        <w:t xml:space="preserve"> strengthen the existing institutional arrangements</w:t>
      </w:r>
      <w:r w:rsidR="00596A29" w:rsidRPr="00191ACB">
        <w:rPr>
          <w:rFonts w:ascii="Times New Roman" w:eastAsia="Calibri" w:hAnsi="Times New Roman" w:cs="Times New Roman"/>
          <w:color w:val="000000" w:themeColor="text1"/>
          <w:sz w:val="24"/>
          <w:szCs w:val="24"/>
        </w:rPr>
        <w:t xml:space="preserve"> that have been established. </w:t>
      </w:r>
      <w:r w:rsidR="0043343B" w:rsidRPr="00191ACB">
        <w:rPr>
          <w:rFonts w:ascii="Times New Roman" w:eastAsia="Calibri" w:hAnsi="Times New Roman" w:cs="Times New Roman"/>
          <w:color w:val="000000" w:themeColor="text1"/>
          <w:sz w:val="24"/>
          <w:szCs w:val="24"/>
        </w:rPr>
        <w:t>Ar</w:t>
      </w:r>
      <w:r w:rsidR="00596A29" w:rsidRPr="00191ACB">
        <w:rPr>
          <w:rFonts w:ascii="Times New Roman" w:eastAsia="Calibri" w:hAnsi="Times New Roman" w:cs="Times New Roman"/>
          <w:color w:val="000000" w:themeColor="text1"/>
          <w:sz w:val="24"/>
          <w:szCs w:val="24"/>
        </w:rPr>
        <w:t>eas</w:t>
      </w:r>
      <w:r w:rsidR="0043343B" w:rsidRPr="00191ACB">
        <w:rPr>
          <w:rFonts w:ascii="Times New Roman" w:eastAsia="Calibri" w:hAnsi="Times New Roman" w:cs="Times New Roman"/>
          <w:color w:val="000000" w:themeColor="text1"/>
          <w:sz w:val="24"/>
          <w:szCs w:val="24"/>
        </w:rPr>
        <w:t xml:space="preserve"> that need</w:t>
      </w:r>
      <w:r w:rsidR="00596A29" w:rsidRPr="00191ACB">
        <w:rPr>
          <w:rFonts w:ascii="Times New Roman" w:eastAsia="Calibri" w:hAnsi="Times New Roman" w:cs="Times New Roman"/>
          <w:color w:val="000000" w:themeColor="text1"/>
          <w:sz w:val="24"/>
          <w:szCs w:val="24"/>
        </w:rPr>
        <w:t xml:space="preserve"> strengthening include; management tools</w:t>
      </w:r>
      <w:r w:rsidR="0043343B" w:rsidRPr="00191ACB">
        <w:rPr>
          <w:rFonts w:ascii="Times New Roman" w:eastAsia="Calibri" w:hAnsi="Times New Roman" w:cs="Times New Roman"/>
          <w:color w:val="000000" w:themeColor="text1"/>
          <w:sz w:val="24"/>
          <w:szCs w:val="24"/>
        </w:rPr>
        <w:t xml:space="preserve"> and systems for tracking and reporting</w:t>
      </w:r>
      <w:r w:rsidR="00596A29" w:rsidRPr="00191ACB">
        <w:rPr>
          <w:rFonts w:ascii="Times New Roman" w:eastAsia="Calibri" w:hAnsi="Times New Roman" w:cs="Times New Roman"/>
          <w:color w:val="000000" w:themeColor="text1"/>
          <w:sz w:val="24"/>
          <w:szCs w:val="24"/>
        </w:rPr>
        <w:t>,</w:t>
      </w:r>
      <w:r w:rsidR="0043343B" w:rsidRPr="00191ACB">
        <w:rPr>
          <w:rFonts w:ascii="Times New Roman" w:eastAsia="Calibri" w:hAnsi="Times New Roman" w:cs="Times New Roman"/>
          <w:color w:val="000000" w:themeColor="text1"/>
          <w:sz w:val="24"/>
          <w:szCs w:val="24"/>
        </w:rPr>
        <w:t xml:space="preserve"> establishment of an IT platform, development of targets and indicators, legislative framework, enhancing national QA/QC systems, </w:t>
      </w:r>
      <w:r w:rsidR="0043343B" w:rsidRPr="00191ACB">
        <w:rPr>
          <w:rFonts w:ascii="Times New Roman" w:eastAsia="Calibri" w:hAnsi="Times New Roman" w:cs="Times New Roman"/>
          <w:color w:val="000000" w:themeColor="text1"/>
          <w:sz w:val="24"/>
          <w:szCs w:val="24"/>
          <w:lang w:val="en-GB"/>
        </w:rPr>
        <w:t>enhancing Transparency framework, among others.</w:t>
      </w:r>
      <w:r w:rsidR="00A65F60">
        <w:rPr>
          <w:rFonts w:ascii="Times New Roman" w:eastAsia="Calibri" w:hAnsi="Times New Roman" w:cs="Times New Roman"/>
          <w:color w:val="000000" w:themeColor="text1"/>
          <w:sz w:val="24"/>
          <w:szCs w:val="24"/>
          <w:lang w:val="en-GB"/>
        </w:rPr>
        <w:t xml:space="preserve"> </w:t>
      </w:r>
    </w:p>
    <w:p w14:paraId="524E7190" w14:textId="6FFCC5D1" w:rsidR="00B33B6F" w:rsidRPr="00191ACB" w:rsidRDefault="00B33B6F" w:rsidP="005E626A">
      <w:pPr>
        <w:spacing w:after="120" w:line="240" w:lineRule="auto"/>
        <w:contextualSpacing/>
        <w:jc w:val="both"/>
        <w:rPr>
          <w:rFonts w:ascii="Times New Roman" w:eastAsia="Times New Roman" w:hAnsi="Times New Roman" w:cs="Times New Roman"/>
          <w:color w:val="000000" w:themeColor="text1"/>
          <w:sz w:val="24"/>
          <w:szCs w:val="24"/>
          <w:lang w:eastAsia="x-none"/>
        </w:rPr>
      </w:pPr>
      <w:r w:rsidRPr="00191ACB">
        <w:rPr>
          <w:rFonts w:ascii="Times New Roman" w:eastAsia="Calibri" w:hAnsi="Times New Roman" w:cs="Times New Roman"/>
          <w:color w:val="000000" w:themeColor="text1"/>
          <w:sz w:val="24"/>
          <w:szCs w:val="24"/>
        </w:rPr>
        <w:t xml:space="preserve"> </w:t>
      </w:r>
    </w:p>
    <w:p w14:paraId="6AB55869" w14:textId="77777777" w:rsidR="001B6463" w:rsidRPr="00191ACB" w:rsidRDefault="001B6463" w:rsidP="005E626A">
      <w:pPr>
        <w:spacing w:after="120" w:line="240" w:lineRule="auto"/>
        <w:contextualSpacing/>
        <w:jc w:val="both"/>
        <w:rPr>
          <w:rFonts w:ascii="Times New Roman" w:eastAsia="Calibri" w:hAnsi="Times New Roman" w:cs="Times New Roman"/>
          <w:color w:val="000000" w:themeColor="text1"/>
          <w:sz w:val="24"/>
          <w:szCs w:val="24"/>
        </w:rPr>
      </w:pPr>
    </w:p>
    <w:p w14:paraId="23D88970" w14:textId="152B8427" w:rsidR="00B7489F" w:rsidRPr="00A65F60" w:rsidRDefault="00040765" w:rsidP="009D64B6">
      <w:pPr>
        <w:pStyle w:val="Heading2"/>
        <w:numPr>
          <w:ilvl w:val="1"/>
          <w:numId w:val="36"/>
        </w:numPr>
        <w:ind w:left="851" w:hanging="851"/>
        <w:rPr>
          <w:rFonts w:ascii="Times New Roman" w:eastAsia="Calibri" w:hAnsi="Times New Roman" w:cs="Times New Roman"/>
          <w:b/>
          <w:bCs/>
          <w:color w:val="auto"/>
          <w:sz w:val="24"/>
          <w:szCs w:val="24"/>
        </w:rPr>
      </w:pPr>
      <w:bookmarkStart w:id="517" w:name="_Toc50109875"/>
      <w:bookmarkStart w:id="518" w:name="_Toc57902897"/>
      <w:r w:rsidRPr="00A65F60">
        <w:rPr>
          <w:rFonts w:ascii="Times New Roman" w:eastAsia="Calibri" w:hAnsi="Times New Roman" w:cs="Times New Roman"/>
          <w:b/>
          <w:bCs/>
          <w:color w:val="auto"/>
          <w:sz w:val="24"/>
          <w:szCs w:val="24"/>
          <w:lang w:val="en-GB"/>
        </w:rPr>
        <w:t>CONSTRAINTS AND GAPS RELATED TO FINANCIAL, TECHNICAL AND CAPACITY NEEDS</w:t>
      </w:r>
      <w:bookmarkEnd w:id="517"/>
      <w:bookmarkEnd w:id="518"/>
    </w:p>
    <w:p w14:paraId="3715AF02" w14:textId="77777777" w:rsidR="00DC3951" w:rsidRPr="0022004A" w:rsidRDefault="00DC3951" w:rsidP="0022004A">
      <w:pPr>
        <w:jc w:val="both"/>
        <w:rPr>
          <w:rFonts w:ascii="Times New Roman" w:hAnsi="Times New Roman" w:cs="Times New Roman"/>
          <w:lang w:val="en-GB"/>
        </w:rPr>
      </w:pPr>
    </w:p>
    <w:p w14:paraId="1145184F" w14:textId="726E1E92" w:rsidR="00B7489F" w:rsidRPr="0022004A" w:rsidRDefault="00B7489F" w:rsidP="00A65F60">
      <w:pPr>
        <w:spacing w:line="276" w:lineRule="auto"/>
        <w:jc w:val="both"/>
        <w:rPr>
          <w:rFonts w:ascii="Times New Roman" w:hAnsi="Times New Roman" w:cs="Times New Roman"/>
          <w:sz w:val="24"/>
          <w:szCs w:val="24"/>
          <w:lang w:val="en-GB"/>
        </w:rPr>
      </w:pPr>
      <w:r w:rsidRPr="0022004A">
        <w:rPr>
          <w:rFonts w:ascii="Times New Roman" w:hAnsi="Times New Roman" w:cs="Times New Roman"/>
          <w:sz w:val="24"/>
          <w:szCs w:val="24"/>
          <w:lang w:val="en-GB"/>
        </w:rPr>
        <w:t xml:space="preserve">Zambia conducted a study on </w:t>
      </w:r>
      <w:r w:rsidR="00DC3951" w:rsidRPr="0022004A">
        <w:rPr>
          <w:rFonts w:ascii="Times New Roman" w:hAnsi="Times New Roman" w:cs="Times New Roman"/>
          <w:sz w:val="24"/>
          <w:szCs w:val="24"/>
          <w:lang w:val="en-GB"/>
        </w:rPr>
        <w:t>constraints and gaps related to financial, technical and capacity needs</w:t>
      </w:r>
      <w:r w:rsidRPr="0022004A">
        <w:rPr>
          <w:rFonts w:ascii="Times New Roman" w:hAnsi="Times New Roman" w:cs="Times New Roman"/>
          <w:sz w:val="24"/>
          <w:szCs w:val="24"/>
          <w:lang w:val="en-GB"/>
        </w:rPr>
        <w:t>. The assessment revealed gaps related to</w:t>
      </w:r>
      <w:r w:rsidR="00F02AE8" w:rsidRPr="0022004A">
        <w:rPr>
          <w:rFonts w:ascii="Times New Roman" w:hAnsi="Times New Roman" w:cs="Times New Roman"/>
          <w:sz w:val="24"/>
          <w:szCs w:val="24"/>
          <w:lang w:val="en-GB"/>
        </w:rPr>
        <w:t xml:space="preserve"> financial, technology and capacity needs</w:t>
      </w:r>
      <w:r w:rsidRPr="0022004A">
        <w:rPr>
          <w:rFonts w:ascii="Times New Roman" w:hAnsi="Times New Roman" w:cs="Times New Roman"/>
          <w:sz w:val="24"/>
          <w:szCs w:val="24"/>
          <w:lang w:val="en-GB"/>
        </w:rPr>
        <w:t xml:space="preserve"> required to make informed decisions on climate change</w:t>
      </w:r>
      <w:r w:rsidR="00DC3951" w:rsidRPr="0022004A">
        <w:rPr>
          <w:rFonts w:ascii="Times New Roman" w:hAnsi="Times New Roman" w:cs="Times New Roman"/>
          <w:sz w:val="24"/>
          <w:szCs w:val="24"/>
          <w:lang w:val="en-GB"/>
        </w:rPr>
        <w:t xml:space="preserve"> actions</w:t>
      </w:r>
      <w:r w:rsidRPr="0022004A">
        <w:rPr>
          <w:rFonts w:ascii="Times New Roman" w:hAnsi="Times New Roman" w:cs="Times New Roman"/>
          <w:sz w:val="24"/>
          <w:szCs w:val="24"/>
          <w:lang w:val="en-GB"/>
        </w:rPr>
        <w:t xml:space="preserve">. </w:t>
      </w:r>
    </w:p>
    <w:p w14:paraId="4429638C" w14:textId="3999AE22" w:rsidR="00C6316C" w:rsidRPr="0022004A" w:rsidRDefault="00EB1AB2" w:rsidP="00A65F60">
      <w:pPr>
        <w:spacing w:line="276" w:lineRule="auto"/>
        <w:jc w:val="both"/>
        <w:rPr>
          <w:rFonts w:ascii="Times New Roman" w:hAnsi="Times New Roman" w:cs="Times New Roman"/>
          <w:sz w:val="24"/>
          <w:szCs w:val="24"/>
          <w:lang w:val="en-GB"/>
        </w:rPr>
      </w:pPr>
      <w:r w:rsidRPr="0022004A">
        <w:rPr>
          <w:rFonts w:ascii="Times New Roman" w:hAnsi="Times New Roman" w:cs="Times New Roman"/>
          <w:sz w:val="24"/>
          <w:szCs w:val="24"/>
          <w:lang w:val="en-GB"/>
        </w:rPr>
        <w:t>With regard to climate finance, a</w:t>
      </w:r>
      <w:r w:rsidR="00DC3951" w:rsidRPr="0022004A">
        <w:rPr>
          <w:rFonts w:ascii="Times New Roman" w:hAnsi="Times New Roman" w:cs="Times New Roman"/>
          <w:sz w:val="24"/>
          <w:szCs w:val="24"/>
          <w:lang w:val="en-GB"/>
        </w:rPr>
        <w:t xml:space="preserve"> situation analysis on the state of climate finance readiness in Zambia was conducted in 2014</w:t>
      </w:r>
      <w:r w:rsidRPr="0022004A">
        <w:rPr>
          <w:rFonts w:ascii="Times New Roman" w:hAnsi="Times New Roman" w:cs="Times New Roman"/>
          <w:sz w:val="24"/>
          <w:szCs w:val="24"/>
          <w:lang w:val="en-GB"/>
        </w:rPr>
        <w:t>.</w:t>
      </w:r>
      <w:r w:rsidR="00DC3951" w:rsidRPr="0022004A">
        <w:rPr>
          <w:rFonts w:ascii="Times New Roman" w:hAnsi="Times New Roman" w:cs="Times New Roman"/>
          <w:sz w:val="24"/>
          <w:szCs w:val="24"/>
          <w:lang w:val="en-GB"/>
        </w:rPr>
        <w:t xml:space="preserve"> The analysis revealed </w:t>
      </w:r>
      <w:r w:rsidRPr="0022004A">
        <w:rPr>
          <w:rFonts w:ascii="Times New Roman" w:hAnsi="Times New Roman" w:cs="Times New Roman"/>
          <w:sz w:val="24"/>
          <w:szCs w:val="24"/>
          <w:lang w:val="en-GB"/>
        </w:rPr>
        <w:t>that c</w:t>
      </w:r>
      <w:r w:rsidR="00DC3951" w:rsidRPr="0022004A">
        <w:rPr>
          <w:rFonts w:ascii="Times New Roman" w:hAnsi="Times New Roman" w:cs="Times New Roman"/>
          <w:sz w:val="24"/>
          <w:szCs w:val="24"/>
          <w:lang w:val="en-GB"/>
        </w:rPr>
        <w:t xml:space="preserve">apacity </w:t>
      </w:r>
      <w:r w:rsidRPr="0022004A">
        <w:rPr>
          <w:rFonts w:ascii="Times New Roman" w:hAnsi="Times New Roman" w:cs="Times New Roman"/>
          <w:sz w:val="24"/>
          <w:szCs w:val="24"/>
          <w:lang w:val="en-GB"/>
        </w:rPr>
        <w:t>wa</w:t>
      </w:r>
      <w:r w:rsidR="00DC3951" w:rsidRPr="0022004A">
        <w:rPr>
          <w:rFonts w:ascii="Times New Roman" w:hAnsi="Times New Roman" w:cs="Times New Roman"/>
          <w:sz w:val="24"/>
          <w:szCs w:val="24"/>
          <w:lang w:val="en-GB"/>
        </w:rPr>
        <w:t xml:space="preserve">s still needed at both national and local government levels particularly in raising climate funds and translating policies and strategies into bankable projects and </w:t>
      </w:r>
      <w:r w:rsidRPr="0022004A">
        <w:rPr>
          <w:rFonts w:ascii="Times New Roman" w:hAnsi="Times New Roman" w:cs="Times New Roman"/>
          <w:sz w:val="24"/>
          <w:szCs w:val="24"/>
          <w:lang w:val="en-GB"/>
        </w:rPr>
        <w:t xml:space="preserve">their </w:t>
      </w:r>
      <w:r w:rsidR="00DC3951" w:rsidRPr="0022004A">
        <w:rPr>
          <w:rFonts w:ascii="Times New Roman" w:hAnsi="Times New Roman" w:cs="Times New Roman"/>
          <w:sz w:val="24"/>
          <w:szCs w:val="24"/>
          <w:lang w:val="en-GB"/>
        </w:rPr>
        <w:t>implement</w:t>
      </w:r>
      <w:r w:rsidRPr="0022004A">
        <w:rPr>
          <w:rFonts w:ascii="Times New Roman" w:hAnsi="Times New Roman" w:cs="Times New Roman"/>
          <w:sz w:val="24"/>
          <w:szCs w:val="24"/>
          <w:lang w:val="en-GB"/>
        </w:rPr>
        <w:t>ation</w:t>
      </w:r>
      <w:r w:rsidR="00DC3951" w:rsidRPr="0022004A">
        <w:rPr>
          <w:rFonts w:ascii="Times New Roman" w:hAnsi="Times New Roman" w:cs="Times New Roman"/>
          <w:sz w:val="24"/>
          <w:szCs w:val="24"/>
          <w:lang w:val="en-GB"/>
        </w:rPr>
        <w:t xml:space="preserve">. National capacity to access climate finance was limited by the absence of accredited National </w:t>
      </w:r>
      <w:r w:rsidRPr="0022004A">
        <w:rPr>
          <w:rFonts w:ascii="Times New Roman" w:hAnsi="Times New Roman" w:cs="Times New Roman"/>
          <w:sz w:val="24"/>
          <w:szCs w:val="24"/>
          <w:lang w:val="en-GB"/>
        </w:rPr>
        <w:t xml:space="preserve">Implementing Entities </w:t>
      </w:r>
      <w:r w:rsidR="00DC3951" w:rsidRPr="0022004A">
        <w:rPr>
          <w:rFonts w:ascii="Times New Roman" w:hAnsi="Times New Roman" w:cs="Times New Roman"/>
          <w:sz w:val="24"/>
          <w:szCs w:val="24"/>
          <w:lang w:val="en-GB"/>
        </w:rPr>
        <w:t>(N</w:t>
      </w:r>
      <w:r w:rsidRPr="0022004A">
        <w:rPr>
          <w:rFonts w:ascii="Times New Roman" w:hAnsi="Times New Roman" w:cs="Times New Roman"/>
          <w:sz w:val="24"/>
          <w:szCs w:val="24"/>
          <w:lang w:val="en-GB"/>
        </w:rPr>
        <w:t>IE</w:t>
      </w:r>
      <w:r w:rsidR="00DC3951" w:rsidRPr="0022004A">
        <w:rPr>
          <w:rFonts w:ascii="Times New Roman" w:hAnsi="Times New Roman" w:cs="Times New Roman"/>
          <w:sz w:val="24"/>
          <w:szCs w:val="24"/>
          <w:lang w:val="en-GB"/>
        </w:rPr>
        <w:t xml:space="preserve">) for Green Climate Fund (GCF) and Adaptation Fund.  </w:t>
      </w:r>
      <w:r w:rsidR="00C6316C" w:rsidRPr="0022004A">
        <w:rPr>
          <w:rFonts w:ascii="Times New Roman" w:hAnsi="Times New Roman" w:cs="Times New Roman"/>
          <w:sz w:val="24"/>
          <w:szCs w:val="24"/>
          <w:lang w:val="en-GB"/>
        </w:rPr>
        <w:t>Further, t</w:t>
      </w:r>
      <w:r w:rsidR="00DC3951" w:rsidRPr="0022004A">
        <w:rPr>
          <w:rFonts w:ascii="Times New Roman" w:hAnsi="Times New Roman" w:cs="Times New Roman"/>
          <w:sz w:val="24"/>
          <w:szCs w:val="24"/>
          <w:lang w:val="en-GB"/>
        </w:rPr>
        <w:t xml:space="preserve">he country’s capacity to access climate finance is limited by the low participation of the private sector. </w:t>
      </w:r>
    </w:p>
    <w:p w14:paraId="69549CA8" w14:textId="77777777" w:rsidR="00C6316C" w:rsidRPr="00191ACB" w:rsidRDefault="00C6316C" w:rsidP="00A65F60">
      <w:pPr>
        <w:pBdr>
          <w:top w:val="nil"/>
          <w:left w:val="nil"/>
          <w:bottom w:val="nil"/>
          <w:right w:val="nil"/>
          <w:between w:val="nil"/>
        </w:pBdr>
        <w:spacing w:after="0" w:line="276" w:lineRule="auto"/>
        <w:jc w:val="both"/>
        <w:rPr>
          <w:rFonts w:ascii="Times New Roman" w:eastAsia="Calibri" w:hAnsi="Times New Roman" w:cs="Times New Roman"/>
          <w:color w:val="000000" w:themeColor="text1"/>
          <w:sz w:val="24"/>
          <w:szCs w:val="24"/>
          <w:lang w:val="en-GB"/>
        </w:rPr>
      </w:pPr>
    </w:p>
    <w:p w14:paraId="5F3BA975" w14:textId="77777777" w:rsidR="00F02AE8" w:rsidRPr="00191ACB" w:rsidRDefault="00C6316C" w:rsidP="00A65F60">
      <w:pPr>
        <w:pBdr>
          <w:top w:val="nil"/>
          <w:left w:val="nil"/>
          <w:bottom w:val="nil"/>
          <w:right w:val="nil"/>
          <w:between w:val="nil"/>
        </w:pBdr>
        <w:spacing w:after="0" w:line="276" w:lineRule="auto"/>
        <w:jc w:val="both"/>
        <w:rPr>
          <w:rFonts w:ascii="Times New Roman" w:eastAsia="Calibri" w:hAnsi="Times New Roman" w:cs="Times New Roman"/>
          <w:color w:val="000000" w:themeColor="text1"/>
          <w:sz w:val="24"/>
          <w:szCs w:val="24"/>
          <w:lang w:val="en-GB"/>
        </w:rPr>
        <w:sectPr w:rsidR="00F02AE8" w:rsidRPr="00191ACB" w:rsidSect="00D326BE">
          <w:footerReference w:type="even" r:id="rId86"/>
          <w:footerReference w:type="default" r:id="rId87"/>
          <w:pgSz w:w="11909" w:h="16834" w:code="9"/>
          <w:pgMar w:top="862" w:right="720" w:bottom="862" w:left="1440" w:header="708" w:footer="708" w:gutter="0"/>
          <w:cols w:space="708"/>
          <w:docGrid w:linePitch="360"/>
        </w:sectPr>
      </w:pPr>
      <w:r w:rsidRPr="00191ACB">
        <w:rPr>
          <w:rFonts w:ascii="Times New Roman" w:eastAsia="Calibri" w:hAnsi="Times New Roman" w:cs="Times New Roman"/>
          <w:color w:val="000000" w:themeColor="text1"/>
          <w:sz w:val="24"/>
          <w:szCs w:val="24"/>
          <w:lang w:val="en-GB"/>
        </w:rPr>
        <w:t>On t</w:t>
      </w:r>
      <w:r w:rsidR="00DC3951" w:rsidRPr="00191ACB">
        <w:rPr>
          <w:rFonts w:ascii="Times New Roman" w:eastAsia="Calibri" w:hAnsi="Times New Roman" w:cs="Times New Roman"/>
          <w:color w:val="000000" w:themeColor="text1"/>
          <w:sz w:val="24"/>
          <w:szCs w:val="24"/>
          <w:lang w:val="en-GB"/>
        </w:rPr>
        <w:t>echnology development and transfer</w:t>
      </w:r>
      <w:r w:rsidRPr="00191ACB">
        <w:rPr>
          <w:rFonts w:ascii="Times New Roman" w:eastAsia="Calibri" w:hAnsi="Times New Roman" w:cs="Times New Roman"/>
          <w:color w:val="000000" w:themeColor="text1"/>
          <w:sz w:val="24"/>
          <w:szCs w:val="24"/>
          <w:lang w:val="en-GB"/>
        </w:rPr>
        <w:t>, the country has continued to face constraints related to financing of appropriate climate technologies. In addition, access and deployment of appropriate technologies for climate action remains a challenge.</w:t>
      </w:r>
    </w:p>
    <w:p w14:paraId="6542AA37" w14:textId="3C85AB5E" w:rsidR="00A6379A" w:rsidRPr="00191ACB" w:rsidRDefault="00040765" w:rsidP="00650C37">
      <w:pPr>
        <w:pStyle w:val="Heading1"/>
        <w:numPr>
          <w:ilvl w:val="0"/>
          <w:numId w:val="36"/>
        </w:numPr>
        <w:spacing w:after="120" w:line="240" w:lineRule="auto"/>
        <w:ind w:left="851" w:hanging="851"/>
        <w:rPr>
          <w:rFonts w:ascii="Times New Roman" w:hAnsi="Times New Roman" w:cs="Times New Roman"/>
          <w:b/>
          <w:color w:val="000000" w:themeColor="text1"/>
          <w:sz w:val="24"/>
          <w:szCs w:val="24"/>
        </w:rPr>
      </w:pPr>
      <w:bookmarkStart w:id="519" w:name="_Toc57902898"/>
      <w:r w:rsidRPr="00191ACB">
        <w:rPr>
          <w:rFonts w:ascii="Times New Roman" w:hAnsi="Times New Roman" w:cs="Times New Roman"/>
          <w:b/>
          <w:color w:val="000000" w:themeColor="text1"/>
          <w:sz w:val="24"/>
          <w:szCs w:val="24"/>
        </w:rPr>
        <w:lastRenderedPageBreak/>
        <w:t>ANY OTHER INFORMATION</w:t>
      </w:r>
      <w:bookmarkEnd w:id="519"/>
      <w:r w:rsidRPr="00191ACB">
        <w:rPr>
          <w:rFonts w:ascii="Times New Roman" w:hAnsi="Times New Roman" w:cs="Times New Roman"/>
          <w:b/>
          <w:color w:val="000000" w:themeColor="text1"/>
          <w:sz w:val="24"/>
          <w:szCs w:val="24"/>
        </w:rPr>
        <w:t xml:space="preserve"> </w:t>
      </w:r>
    </w:p>
    <w:p w14:paraId="25DEF382" w14:textId="61E9A664" w:rsidR="00F867B3" w:rsidRPr="00191ACB" w:rsidRDefault="00040765" w:rsidP="00650C37">
      <w:pPr>
        <w:pStyle w:val="Heading2"/>
        <w:numPr>
          <w:ilvl w:val="1"/>
          <w:numId w:val="36"/>
        </w:numPr>
        <w:spacing w:after="120" w:line="240" w:lineRule="auto"/>
        <w:ind w:left="851" w:hanging="851"/>
        <w:rPr>
          <w:rFonts w:ascii="Times New Roman" w:eastAsia="Times New Roman" w:hAnsi="Times New Roman" w:cs="Times New Roman"/>
          <w:b/>
          <w:color w:val="000000" w:themeColor="text1"/>
          <w:sz w:val="24"/>
          <w:szCs w:val="24"/>
        </w:rPr>
      </w:pPr>
      <w:bookmarkStart w:id="520" w:name="_Toc26264988"/>
      <w:bookmarkStart w:id="521" w:name="_Toc57902899"/>
      <w:r w:rsidRPr="00191ACB">
        <w:rPr>
          <w:rFonts w:ascii="Times New Roman" w:eastAsia="Times New Roman" w:hAnsi="Times New Roman" w:cs="Times New Roman"/>
          <w:b/>
          <w:color w:val="000000" w:themeColor="text1"/>
          <w:sz w:val="24"/>
          <w:szCs w:val="24"/>
        </w:rPr>
        <w:t>ADAPTATION ACTIONS</w:t>
      </w:r>
      <w:bookmarkEnd w:id="520"/>
      <w:bookmarkEnd w:id="521"/>
      <w:r w:rsidRPr="00191ACB">
        <w:rPr>
          <w:rFonts w:ascii="Times New Roman" w:eastAsia="Times New Roman" w:hAnsi="Times New Roman" w:cs="Times New Roman"/>
          <w:b/>
          <w:color w:val="000000" w:themeColor="text1"/>
          <w:sz w:val="24"/>
          <w:szCs w:val="24"/>
        </w:rPr>
        <w:t xml:space="preserve"> </w:t>
      </w:r>
    </w:p>
    <w:p w14:paraId="75309804" w14:textId="77777777" w:rsidR="00F867B3" w:rsidRPr="00191ACB" w:rsidRDefault="00F867B3" w:rsidP="00A65F6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Zambia has been implementing a number of adaptation related interventions which are listed and elaborated below:</w:t>
      </w:r>
    </w:p>
    <w:p w14:paraId="6444D0D4" w14:textId="77777777" w:rsidR="00F867B3" w:rsidRPr="00191ACB" w:rsidRDefault="00F867B3" w:rsidP="00A65F60">
      <w:pPr>
        <w:numPr>
          <w:ilvl w:val="0"/>
          <w:numId w:val="8"/>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Conservation Agriculture Scaling Up (CASU). The objective of the project is to promote adaptation and mechanization for tillage, spraying &amp; other Conservation Agriculture (CA) farming functions. It also promotes CA advocacy, strengthened technical capacity for synthesis, analysis and transfer of climate and bio-physical data and information for assessment of vulnerabilities and risks and climate information services;</w:t>
      </w:r>
    </w:p>
    <w:p w14:paraId="3F0C4D20" w14:textId="77777777" w:rsidR="00F867B3" w:rsidRPr="00191ACB" w:rsidRDefault="00F867B3" w:rsidP="00A65F60">
      <w:pPr>
        <w:numPr>
          <w:ilvl w:val="0"/>
          <w:numId w:val="8"/>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Adaptation to the Adverse Effects of Climate Change and Variability in Agriculture in Agro Ecological Zone I And II (Parts of Western, Southern and Provinces) 2010-2015;</w:t>
      </w:r>
    </w:p>
    <w:p w14:paraId="55F7A4FB" w14:textId="77777777" w:rsidR="00F867B3" w:rsidRPr="00191ACB" w:rsidRDefault="00F867B3" w:rsidP="00A65F60">
      <w:pPr>
        <w:numPr>
          <w:ilvl w:val="0"/>
          <w:numId w:val="8"/>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Health National Adaptation Plan (HNAP) to climate change-strengthened mainstreaming of the response of the heath sector to climate change;</w:t>
      </w:r>
    </w:p>
    <w:p w14:paraId="188121A7" w14:textId="04B409CF" w:rsidR="00F867B3" w:rsidRPr="00191ACB" w:rsidRDefault="00F867B3" w:rsidP="00A65F60">
      <w:pPr>
        <w:numPr>
          <w:ilvl w:val="0"/>
          <w:numId w:val="8"/>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 xml:space="preserve">Promoting climate resilient, </w:t>
      </w:r>
      <w:r w:rsidR="00E56565" w:rsidRPr="00191ACB">
        <w:rPr>
          <w:rFonts w:ascii="Times New Roman" w:eastAsia="Calibri" w:hAnsi="Times New Roman" w:cs="Times New Roman"/>
          <w:color w:val="000000" w:themeColor="text1"/>
          <w:sz w:val="24"/>
          <w:szCs w:val="24"/>
        </w:rPr>
        <w:t>community-based</w:t>
      </w:r>
      <w:r w:rsidRPr="00191ACB">
        <w:rPr>
          <w:rFonts w:ascii="Times New Roman" w:eastAsia="Calibri" w:hAnsi="Times New Roman" w:cs="Times New Roman"/>
          <w:color w:val="000000" w:themeColor="text1"/>
          <w:sz w:val="24"/>
          <w:szCs w:val="24"/>
        </w:rPr>
        <w:t xml:space="preserve"> regeneration of indigenous forests in Zambia’s Central Province, 2015-2020. The project aims to strengthen technical and institutional capacity of foresters and communities in Central Province to implement appropriate climate-resilient agro-forestry and natural regeneration practices</w:t>
      </w:r>
      <w:r w:rsidR="00997615" w:rsidRPr="00191ACB">
        <w:rPr>
          <w:rFonts w:ascii="Times New Roman" w:eastAsia="Calibri" w:hAnsi="Times New Roman" w:cs="Times New Roman"/>
          <w:color w:val="000000" w:themeColor="text1"/>
          <w:sz w:val="24"/>
          <w:szCs w:val="24"/>
        </w:rPr>
        <w:t>;</w:t>
      </w:r>
      <w:r w:rsidRPr="00191ACB">
        <w:rPr>
          <w:rFonts w:ascii="Times New Roman" w:eastAsia="Calibri" w:hAnsi="Times New Roman" w:cs="Times New Roman"/>
          <w:color w:val="000000" w:themeColor="text1"/>
          <w:sz w:val="24"/>
          <w:szCs w:val="24"/>
        </w:rPr>
        <w:t xml:space="preserve"> </w:t>
      </w:r>
    </w:p>
    <w:p w14:paraId="2CF4CFCC" w14:textId="3087AFEC" w:rsidR="00F867B3" w:rsidRPr="00191ACB" w:rsidRDefault="00F867B3" w:rsidP="00A65F60">
      <w:pPr>
        <w:numPr>
          <w:ilvl w:val="0"/>
          <w:numId w:val="8"/>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Strengthening Climate information and Early warning system in Eastern and Southern Africa for climate resilient development and adaptation to climate change (National with emphasis in AER I &amp;II) 2014-2017. Under this project 28 Automatic Weather Stations (AWS) have been installed in 28 districts and 41 existing Manual Weather stations rehabilitated and weather and climate information systems have been updated</w:t>
      </w:r>
      <w:r w:rsidR="00997615" w:rsidRPr="00191ACB">
        <w:rPr>
          <w:rFonts w:ascii="Times New Roman" w:eastAsia="Calibri" w:hAnsi="Times New Roman" w:cs="Times New Roman"/>
          <w:color w:val="000000" w:themeColor="text1"/>
          <w:sz w:val="24"/>
          <w:szCs w:val="24"/>
        </w:rPr>
        <w:t>;</w:t>
      </w:r>
    </w:p>
    <w:p w14:paraId="46D48D91" w14:textId="6C421DAD" w:rsidR="00F867B3" w:rsidRPr="00191ACB" w:rsidRDefault="00F867B3" w:rsidP="00A65F60">
      <w:pPr>
        <w:numPr>
          <w:ilvl w:val="0"/>
          <w:numId w:val="8"/>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Strengthening Climate Resilience in the Kafue Sub – basin 2018-2025. Under this project, 82Km climate resilient road completed in Itezhi-tezhi (up to Namwala pontoon) and Ngoma out of 237km and 11 districts trained in mainstreaming climate change into development planning</w:t>
      </w:r>
      <w:r w:rsidR="00997615" w:rsidRPr="00191ACB">
        <w:rPr>
          <w:rFonts w:ascii="Times New Roman" w:eastAsia="Calibri" w:hAnsi="Times New Roman" w:cs="Times New Roman"/>
          <w:color w:val="000000" w:themeColor="text1"/>
          <w:sz w:val="24"/>
          <w:szCs w:val="24"/>
        </w:rPr>
        <w:t>;</w:t>
      </w:r>
    </w:p>
    <w:p w14:paraId="6347BFF3" w14:textId="71FF5A8F" w:rsidR="00F867B3" w:rsidRPr="00191ACB" w:rsidRDefault="00F867B3" w:rsidP="00A65F60">
      <w:pPr>
        <w:numPr>
          <w:ilvl w:val="0"/>
          <w:numId w:val="8"/>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Strengthening Climate Resilience of Agricultural Livelihoods in Agro- Ecological Zones I &amp; II in Zambia. Under this project smallholder farmers were trained to plan for and manage climate risks to inform resilient-agricultural production. In addition, capacity w</w:t>
      </w:r>
      <w:r w:rsidR="00E335F2" w:rsidRPr="00191ACB">
        <w:rPr>
          <w:rFonts w:ascii="Times New Roman" w:eastAsia="Calibri" w:hAnsi="Times New Roman" w:cs="Times New Roman"/>
          <w:color w:val="000000" w:themeColor="text1"/>
          <w:sz w:val="24"/>
          <w:szCs w:val="24"/>
        </w:rPr>
        <w:t>as</w:t>
      </w:r>
      <w:r w:rsidRPr="00191ACB">
        <w:rPr>
          <w:rFonts w:ascii="Times New Roman" w:eastAsia="Calibri" w:hAnsi="Times New Roman" w:cs="Times New Roman"/>
          <w:color w:val="000000" w:themeColor="text1"/>
          <w:sz w:val="24"/>
          <w:szCs w:val="24"/>
        </w:rPr>
        <w:t xml:space="preserve"> built for farmers to adopt and maintain resilient agricultural livelihoods in the face of changing rainfall, increasing drought and occasional floods. The project also facilitated increasing farmers’ access to markets and commercialization of resilient agricultural products</w:t>
      </w:r>
      <w:r w:rsidR="00997615" w:rsidRPr="00191ACB">
        <w:rPr>
          <w:rFonts w:ascii="Times New Roman" w:eastAsia="Calibri" w:hAnsi="Times New Roman" w:cs="Times New Roman"/>
          <w:color w:val="000000" w:themeColor="text1"/>
          <w:sz w:val="24"/>
          <w:szCs w:val="24"/>
        </w:rPr>
        <w:t>;</w:t>
      </w:r>
    </w:p>
    <w:p w14:paraId="529BCA08" w14:textId="1D416D00" w:rsidR="00F867B3" w:rsidRPr="00191ACB" w:rsidRDefault="00F867B3" w:rsidP="00A65F60">
      <w:pPr>
        <w:numPr>
          <w:ilvl w:val="0"/>
          <w:numId w:val="8"/>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Strengthening Integrated Adaptation Planning and Implementation in Southern Africa Smallholder Agricultural Systems to Support Food Security. 2015-2019</w:t>
      </w:r>
      <w:r w:rsidR="00997615" w:rsidRPr="00191ACB">
        <w:rPr>
          <w:rFonts w:ascii="Times New Roman" w:eastAsia="Calibri" w:hAnsi="Times New Roman" w:cs="Times New Roman"/>
          <w:color w:val="000000" w:themeColor="text1"/>
          <w:sz w:val="24"/>
          <w:szCs w:val="24"/>
        </w:rPr>
        <w:t>;</w:t>
      </w:r>
    </w:p>
    <w:p w14:paraId="3DA27F4E" w14:textId="192AE289" w:rsidR="00F867B3" w:rsidRPr="00191ACB" w:rsidRDefault="00F867B3" w:rsidP="00A65F60">
      <w:pPr>
        <w:numPr>
          <w:ilvl w:val="0"/>
          <w:numId w:val="8"/>
        </w:num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Supporting Zambia to Integrate Agriculture Sectors into National Adaptation Plans 2016-2018. The project aims to develop impact assessment framework for the agriculture sector that will generate evidence-based results of adaptation options. It also promote</w:t>
      </w:r>
      <w:r w:rsidR="00997615" w:rsidRPr="00191ACB">
        <w:rPr>
          <w:rFonts w:ascii="Times New Roman" w:eastAsia="Calibri" w:hAnsi="Times New Roman" w:cs="Times New Roman"/>
          <w:color w:val="000000" w:themeColor="text1"/>
          <w:sz w:val="24"/>
          <w:szCs w:val="24"/>
        </w:rPr>
        <w:t>s</w:t>
      </w:r>
      <w:r w:rsidRPr="00191ACB">
        <w:rPr>
          <w:rFonts w:ascii="Times New Roman" w:eastAsia="Calibri" w:hAnsi="Times New Roman" w:cs="Times New Roman"/>
          <w:color w:val="000000" w:themeColor="text1"/>
          <w:sz w:val="24"/>
          <w:szCs w:val="24"/>
        </w:rPr>
        <w:t xml:space="preserve"> Advocacy and knowledge-sharing on Agriculture Sector NAP</w:t>
      </w:r>
      <w:r w:rsidR="00997615" w:rsidRPr="00191ACB">
        <w:rPr>
          <w:rFonts w:ascii="Times New Roman" w:eastAsia="Calibri" w:hAnsi="Times New Roman" w:cs="Times New Roman"/>
          <w:color w:val="000000" w:themeColor="text1"/>
          <w:sz w:val="24"/>
          <w:szCs w:val="24"/>
        </w:rPr>
        <w:t>; and</w:t>
      </w:r>
    </w:p>
    <w:p w14:paraId="1DFAAA7B" w14:textId="77777777" w:rsidR="00F867B3" w:rsidRPr="00191ACB" w:rsidRDefault="00F867B3" w:rsidP="00A65F60">
      <w:pPr>
        <w:numPr>
          <w:ilvl w:val="0"/>
          <w:numId w:val="8"/>
        </w:numPr>
        <w:spacing w:after="120" w:line="276" w:lineRule="auto"/>
        <w:contextualSpacing/>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Zambia Strengthening Climate Resilience – Pilot Programme for Climate Resilience Phase II in the Barotse Sub – basin 2013-2019.</w:t>
      </w:r>
    </w:p>
    <w:p w14:paraId="346AEDAD" w14:textId="2FADE9BC" w:rsidR="00650C37" w:rsidRDefault="00650C37" w:rsidP="005E626A">
      <w:pPr>
        <w:spacing w:after="120" w:line="240" w:lineRule="auto"/>
        <w:ind w:left="360"/>
        <w:contextualSpacing/>
        <w:jc w:val="both"/>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br w:type="page"/>
      </w:r>
    </w:p>
    <w:p w14:paraId="3DEC9256" w14:textId="77777777" w:rsidR="00F867B3" w:rsidRPr="00191ACB" w:rsidRDefault="00F867B3" w:rsidP="005E626A">
      <w:pPr>
        <w:spacing w:after="120" w:line="240" w:lineRule="auto"/>
        <w:ind w:left="360"/>
        <w:contextualSpacing/>
        <w:jc w:val="both"/>
        <w:rPr>
          <w:rFonts w:ascii="Times New Roman" w:eastAsia="Calibri" w:hAnsi="Times New Roman" w:cs="Times New Roman"/>
          <w:color w:val="000000" w:themeColor="text1"/>
          <w:sz w:val="24"/>
          <w:szCs w:val="24"/>
        </w:rPr>
      </w:pPr>
    </w:p>
    <w:p w14:paraId="052CDA25" w14:textId="76AE6A53" w:rsidR="00F867B3" w:rsidRPr="00191ACB" w:rsidRDefault="00040765" w:rsidP="00650C37">
      <w:pPr>
        <w:pStyle w:val="Heading2"/>
        <w:numPr>
          <w:ilvl w:val="1"/>
          <w:numId w:val="36"/>
        </w:numPr>
        <w:spacing w:after="120" w:line="240" w:lineRule="auto"/>
        <w:ind w:left="851" w:hanging="851"/>
        <w:rPr>
          <w:rFonts w:ascii="Times New Roman" w:eastAsia="Times New Roman" w:hAnsi="Times New Roman" w:cs="Times New Roman"/>
          <w:b/>
          <w:color w:val="000000" w:themeColor="text1"/>
          <w:sz w:val="24"/>
          <w:szCs w:val="24"/>
        </w:rPr>
      </w:pPr>
      <w:bookmarkStart w:id="522" w:name="_Toc26264989"/>
      <w:bookmarkStart w:id="523" w:name="_Toc57902900"/>
      <w:r w:rsidRPr="00191ACB">
        <w:rPr>
          <w:rFonts w:ascii="Times New Roman" w:eastAsia="Times New Roman" w:hAnsi="Times New Roman" w:cs="Times New Roman"/>
          <w:b/>
          <w:color w:val="000000" w:themeColor="text1"/>
          <w:sz w:val="24"/>
          <w:szCs w:val="24"/>
        </w:rPr>
        <w:t>RESEARCH AND SYSTEMATIC OBSERVATION</w:t>
      </w:r>
      <w:bookmarkEnd w:id="522"/>
      <w:bookmarkEnd w:id="523"/>
    </w:p>
    <w:p w14:paraId="24B97E2E" w14:textId="37469AB6" w:rsidR="00F867B3" w:rsidRPr="00191ACB" w:rsidRDefault="00F867B3" w:rsidP="00A65F60">
      <w:pPr>
        <w:spacing w:before="240" w:after="120" w:line="276" w:lineRule="auto"/>
        <w:jc w:val="both"/>
        <w:rPr>
          <w:rFonts w:ascii="Times New Roman" w:eastAsia="Times New Roman"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Since 2014, Government has been undertaking research in climate change through implementing a project</w:t>
      </w:r>
      <w:r w:rsidRPr="00191ACB">
        <w:rPr>
          <w:rFonts w:ascii="Times New Roman" w:eastAsia="Times New Roman" w:hAnsi="Times New Roman" w:cs="Times New Roman"/>
          <w:bCs/>
          <w:color w:val="000000" w:themeColor="text1"/>
          <w:sz w:val="24"/>
          <w:szCs w:val="24"/>
        </w:rPr>
        <w:t xml:space="preserve"> called Southern African Science Service Centre for Climate Change and Adaptive Land Management</w:t>
      </w:r>
      <w:r w:rsidR="00D75501" w:rsidRPr="00191ACB">
        <w:rPr>
          <w:rFonts w:ascii="Times New Roman" w:eastAsia="Times New Roman" w:hAnsi="Times New Roman" w:cs="Times New Roman"/>
          <w:bCs/>
          <w:color w:val="000000" w:themeColor="text1"/>
          <w:sz w:val="24"/>
          <w:szCs w:val="24"/>
        </w:rPr>
        <w:t xml:space="preserve"> (</w:t>
      </w:r>
      <w:r w:rsidR="00D75501" w:rsidRPr="00191ACB">
        <w:rPr>
          <w:rFonts w:ascii="Times New Roman" w:eastAsia="Times New Roman" w:hAnsi="Times New Roman" w:cs="Times New Roman"/>
          <w:color w:val="000000" w:themeColor="text1"/>
          <w:sz w:val="24"/>
          <w:szCs w:val="24"/>
        </w:rPr>
        <w:t>SASSCAL)</w:t>
      </w:r>
      <w:r w:rsidRPr="00191ACB">
        <w:rPr>
          <w:rFonts w:ascii="Times New Roman" w:eastAsia="Times New Roman" w:hAnsi="Times New Roman" w:cs="Times New Roman"/>
          <w:color w:val="000000" w:themeColor="text1"/>
          <w:sz w:val="24"/>
          <w:szCs w:val="24"/>
        </w:rPr>
        <w:t>. SASSCAL is a joint initiative of Angola, Botswana, Namibia, South Africa, Zambia,</w:t>
      </w:r>
      <w:r w:rsidR="0049344A" w:rsidRPr="00191ACB">
        <w:rPr>
          <w:rFonts w:ascii="Times New Roman" w:eastAsia="Times New Roman" w:hAnsi="Times New Roman" w:cs="Times New Roman"/>
          <w:color w:val="000000" w:themeColor="text1"/>
          <w:sz w:val="24"/>
          <w:szCs w:val="24"/>
        </w:rPr>
        <w:t xml:space="preserve"> </w:t>
      </w:r>
      <w:r w:rsidRPr="00191ACB">
        <w:rPr>
          <w:rFonts w:ascii="Times New Roman" w:eastAsia="Times New Roman" w:hAnsi="Times New Roman" w:cs="Times New Roman"/>
          <w:color w:val="000000" w:themeColor="text1"/>
          <w:sz w:val="24"/>
          <w:szCs w:val="24"/>
        </w:rPr>
        <w:t xml:space="preserve">and Germany, responding to the challenges of global change. The goal of the project is to conduct problem-oriented research in the area of adaptation to climate change and sustainable land management and provide evidence-based advice for all decision-makers and stakeholders to improve the livelihoods of people in the region and to contribute to the creation of an African knowledge-based society. </w:t>
      </w:r>
    </w:p>
    <w:p w14:paraId="28CFEB09" w14:textId="591D8EFF" w:rsidR="00F867B3" w:rsidRPr="00191ACB" w:rsidRDefault="00F867B3" w:rsidP="00A65F60">
      <w:pPr>
        <w:spacing w:after="120" w:line="276" w:lineRule="auto"/>
        <w:jc w:val="both"/>
        <w:rPr>
          <w:rFonts w:ascii="Times New Roman" w:eastAsia="Times New Roman" w:hAnsi="Times New Roman" w:cs="Times New Roman"/>
          <w:bCs/>
          <w:color w:val="000000" w:themeColor="text1"/>
          <w:sz w:val="24"/>
          <w:szCs w:val="24"/>
        </w:rPr>
      </w:pPr>
      <w:r w:rsidRPr="00191ACB">
        <w:rPr>
          <w:rFonts w:ascii="Times New Roman" w:eastAsia="Times New Roman" w:hAnsi="Times New Roman" w:cs="Times New Roman"/>
          <w:bCs/>
          <w:color w:val="000000" w:themeColor="text1"/>
          <w:sz w:val="24"/>
          <w:szCs w:val="24"/>
        </w:rPr>
        <w:t>The project enhanced research and technical capacity of participating institutions through training</w:t>
      </w:r>
      <w:r w:rsidR="00D75501" w:rsidRPr="00191ACB">
        <w:rPr>
          <w:rFonts w:ascii="Times New Roman" w:eastAsia="Times New Roman" w:hAnsi="Times New Roman" w:cs="Times New Roman"/>
          <w:bCs/>
          <w:color w:val="000000" w:themeColor="text1"/>
          <w:sz w:val="24"/>
          <w:szCs w:val="24"/>
        </w:rPr>
        <w:t>,</w:t>
      </w:r>
      <w:r w:rsidRPr="00191ACB">
        <w:rPr>
          <w:rFonts w:ascii="Times New Roman" w:eastAsia="Times New Roman" w:hAnsi="Times New Roman" w:cs="Times New Roman"/>
          <w:bCs/>
          <w:color w:val="000000" w:themeColor="text1"/>
          <w:sz w:val="24"/>
          <w:szCs w:val="24"/>
        </w:rPr>
        <w:t xml:space="preserve"> procurement and installation of research infrastructure. It also considered </w:t>
      </w:r>
      <w:r w:rsidR="00D75501" w:rsidRPr="00191ACB">
        <w:rPr>
          <w:rFonts w:ascii="Times New Roman" w:eastAsia="Times New Roman" w:hAnsi="Times New Roman" w:cs="Times New Roman"/>
          <w:bCs/>
          <w:color w:val="000000" w:themeColor="text1"/>
          <w:sz w:val="24"/>
          <w:szCs w:val="24"/>
        </w:rPr>
        <w:t>e</w:t>
      </w:r>
      <w:r w:rsidRPr="00191ACB">
        <w:rPr>
          <w:rFonts w:ascii="Times New Roman" w:eastAsia="Times New Roman" w:hAnsi="Times New Roman" w:cs="Times New Roman"/>
          <w:bCs/>
          <w:color w:val="000000" w:themeColor="text1"/>
          <w:sz w:val="24"/>
          <w:szCs w:val="24"/>
        </w:rPr>
        <w:t>nhanced early warning, capacity through improved weather forecasting, weather and climate data and information management and interpretation. Community participation in landscape management was enhanced such that communities were trained in fire management practices, regeneration and management of the</w:t>
      </w:r>
      <w:r w:rsidR="00D75501" w:rsidRPr="00191ACB">
        <w:rPr>
          <w:rFonts w:ascii="Times New Roman" w:eastAsia="Times New Roman" w:hAnsi="Times New Roman" w:cs="Times New Roman"/>
          <w:bCs/>
          <w:color w:val="000000" w:themeColor="text1"/>
          <w:sz w:val="24"/>
          <w:szCs w:val="24"/>
        </w:rPr>
        <w:t xml:space="preserve"> forest</w:t>
      </w:r>
      <w:r w:rsidRPr="00191ACB">
        <w:rPr>
          <w:rFonts w:ascii="Times New Roman" w:eastAsia="Times New Roman" w:hAnsi="Times New Roman" w:cs="Times New Roman"/>
          <w:bCs/>
          <w:color w:val="000000" w:themeColor="text1"/>
          <w:sz w:val="24"/>
          <w:szCs w:val="24"/>
        </w:rPr>
        <w:t xml:space="preserve">. </w:t>
      </w:r>
    </w:p>
    <w:p w14:paraId="6842B39B" w14:textId="5E03A221" w:rsidR="00F867B3" w:rsidRPr="00191ACB" w:rsidRDefault="00F867B3" w:rsidP="00A65F60">
      <w:pPr>
        <w:spacing w:after="120" w:line="276" w:lineRule="auto"/>
        <w:jc w:val="both"/>
        <w:rPr>
          <w:rFonts w:ascii="Times New Roman" w:eastAsia="Times New Roman" w:hAnsi="Times New Roman" w:cs="Times New Roman"/>
          <w:bCs/>
          <w:color w:val="000000" w:themeColor="text1"/>
          <w:sz w:val="24"/>
          <w:szCs w:val="24"/>
        </w:rPr>
      </w:pPr>
      <w:r w:rsidRPr="00191ACB">
        <w:rPr>
          <w:rFonts w:ascii="Times New Roman" w:eastAsia="Times New Roman" w:hAnsi="Times New Roman" w:cs="Times New Roman"/>
          <w:bCs/>
          <w:color w:val="000000" w:themeColor="text1"/>
          <w:sz w:val="24"/>
          <w:szCs w:val="24"/>
        </w:rPr>
        <w:t>Through this project</w:t>
      </w:r>
      <w:r w:rsidR="009E7183" w:rsidRPr="00191ACB">
        <w:rPr>
          <w:rFonts w:ascii="Times New Roman" w:eastAsia="Times New Roman" w:hAnsi="Times New Roman" w:cs="Times New Roman"/>
          <w:bCs/>
          <w:color w:val="000000" w:themeColor="text1"/>
          <w:sz w:val="24"/>
          <w:szCs w:val="24"/>
        </w:rPr>
        <w:t>,</w:t>
      </w:r>
      <w:r w:rsidRPr="00191ACB">
        <w:rPr>
          <w:rFonts w:ascii="Times New Roman" w:eastAsia="Times New Roman" w:hAnsi="Times New Roman" w:cs="Times New Roman"/>
          <w:bCs/>
          <w:color w:val="000000" w:themeColor="text1"/>
          <w:sz w:val="24"/>
          <w:szCs w:val="24"/>
        </w:rPr>
        <w:t xml:space="preserve"> research also focused on improved information for water resource management and planning. Trained para-ecologists were drawn from the communities in project sites which has enhanced the capacities of communities to manage natural resources and participate in data collection and monitoring programmes. </w:t>
      </w:r>
    </w:p>
    <w:p w14:paraId="1DAB7853" w14:textId="00BFED68" w:rsidR="00F867B3" w:rsidRPr="00191ACB" w:rsidRDefault="00F867B3" w:rsidP="00A65F60">
      <w:pPr>
        <w:spacing w:after="120" w:line="276" w:lineRule="auto"/>
        <w:contextualSpacing/>
        <w:jc w:val="both"/>
        <w:rPr>
          <w:rFonts w:ascii="Times New Roman" w:eastAsia="Times New Roman" w:hAnsi="Times New Roman" w:cs="Times New Roman"/>
          <w:color w:val="000000" w:themeColor="text1"/>
          <w:sz w:val="24"/>
          <w:szCs w:val="24"/>
        </w:rPr>
      </w:pPr>
      <w:r w:rsidRPr="00191ACB">
        <w:rPr>
          <w:rFonts w:ascii="Times New Roman" w:hAnsi="Times New Roman" w:cs="Times New Roman"/>
          <w:sz w:val="24"/>
          <w:szCs w:val="24"/>
        </w:rPr>
        <w:t>In order to improve access to climate and weather information, the government has been implementing project</w:t>
      </w:r>
      <w:r w:rsidR="00440EB6" w:rsidRPr="00191ACB">
        <w:rPr>
          <w:rFonts w:ascii="Times New Roman" w:hAnsi="Times New Roman" w:cs="Times New Roman"/>
          <w:sz w:val="24"/>
          <w:szCs w:val="24"/>
        </w:rPr>
        <w:t>s such as</w:t>
      </w:r>
      <w:r w:rsidRPr="00191ACB">
        <w:rPr>
          <w:rFonts w:ascii="Times New Roman" w:hAnsi="Times New Roman" w:cs="Times New Roman"/>
          <w:sz w:val="24"/>
          <w:szCs w:val="24"/>
        </w:rPr>
        <w:t xml:space="preserve"> the Radio And interNET (Ranet) Zambia</w:t>
      </w:r>
      <w:r w:rsidR="00D75501" w:rsidRPr="00191ACB">
        <w:rPr>
          <w:rFonts w:ascii="Times New Roman" w:hAnsi="Times New Roman" w:cs="Times New Roman"/>
          <w:sz w:val="24"/>
          <w:szCs w:val="24"/>
        </w:rPr>
        <w:t xml:space="preserve"> and </w:t>
      </w:r>
      <w:r w:rsidRPr="00191ACB">
        <w:rPr>
          <w:rFonts w:ascii="Times New Roman" w:eastAsia="Times New Roman" w:hAnsi="Times New Roman" w:cs="Times New Roman"/>
          <w:bCs/>
          <w:color w:val="000000" w:themeColor="text1"/>
          <w:sz w:val="24"/>
          <w:szCs w:val="24"/>
        </w:rPr>
        <w:t>Climate Information and Early Warning Systems (CIEWS). The project</w:t>
      </w:r>
      <w:r w:rsidR="00D75501" w:rsidRPr="00191ACB">
        <w:rPr>
          <w:rFonts w:ascii="Times New Roman" w:eastAsia="Times New Roman" w:hAnsi="Times New Roman" w:cs="Times New Roman"/>
          <w:bCs/>
          <w:color w:val="000000" w:themeColor="text1"/>
          <w:sz w:val="24"/>
          <w:szCs w:val="24"/>
        </w:rPr>
        <w:t>s</w:t>
      </w:r>
      <w:r w:rsidRPr="00191ACB">
        <w:rPr>
          <w:rFonts w:ascii="Times New Roman" w:eastAsia="Times New Roman" w:hAnsi="Times New Roman" w:cs="Times New Roman"/>
          <w:bCs/>
          <w:color w:val="000000" w:themeColor="text1"/>
          <w:sz w:val="24"/>
          <w:szCs w:val="24"/>
        </w:rPr>
        <w:t xml:space="preserve"> </w:t>
      </w:r>
      <w:r w:rsidR="00D75501" w:rsidRPr="00191ACB">
        <w:rPr>
          <w:rFonts w:ascii="Times New Roman" w:eastAsia="Times New Roman" w:hAnsi="Times New Roman" w:cs="Times New Roman"/>
          <w:bCs/>
          <w:color w:val="000000" w:themeColor="text1"/>
          <w:sz w:val="24"/>
          <w:szCs w:val="24"/>
        </w:rPr>
        <w:t>are aimed at</w:t>
      </w:r>
      <w:r w:rsidRPr="00191ACB">
        <w:rPr>
          <w:rFonts w:ascii="Times New Roman" w:eastAsia="Times New Roman" w:hAnsi="Times New Roman" w:cs="Times New Roman"/>
          <w:bCs/>
          <w:color w:val="000000" w:themeColor="text1"/>
          <w:sz w:val="24"/>
          <w:szCs w:val="24"/>
        </w:rPr>
        <w:t xml:space="preserve"> </w:t>
      </w:r>
      <w:r w:rsidRPr="00191ACB">
        <w:rPr>
          <w:rFonts w:ascii="Times New Roman" w:eastAsia="Times New Roman" w:hAnsi="Times New Roman" w:cs="Times New Roman"/>
          <w:color w:val="000000" w:themeColor="text1"/>
          <w:sz w:val="24"/>
          <w:szCs w:val="24"/>
        </w:rPr>
        <w:t>strengthen</w:t>
      </w:r>
      <w:r w:rsidR="00440EB6" w:rsidRPr="00191ACB">
        <w:rPr>
          <w:rFonts w:ascii="Times New Roman" w:eastAsia="Times New Roman" w:hAnsi="Times New Roman" w:cs="Times New Roman"/>
          <w:color w:val="000000" w:themeColor="text1"/>
          <w:sz w:val="24"/>
          <w:szCs w:val="24"/>
        </w:rPr>
        <w:t>ing</w:t>
      </w:r>
      <w:r w:rsidRPr="00191ACB">
        <w:rPr>
          <w:rFonts w:ascii="Times New Roman" w:eastAsia="Times New Roman" w:hAnsi="Times New Roman" w:cs="Times New Roman"/>
          <w:color w:val="000000" w:themeColor="text1"/>
          <w:sz w:val="24"/>
          <w:szCs w:val="24"/>
        </w:rPr>
        <w:t xml:space="preserve"> climate </w:t>
      </w:r>
      <w:r w:rsidR="00440EB6" w:rsidRPr="00191ACB">
        <w:rPr>
          <w:rFonts w:ascii="Times New Roman" w:eastAsia="Times New Roman" w:hAnsi="Times New Roman" w:cs="Times New Roman"/>
          <w:color w:val="000000" w:themeColor="text1"/>
          <w:sz w:val="24"/>
          <w:szCs w:val="24"/>
        </w:rPr>
        <w:t xml:space="preserve">information dissemination, </w:t>
      </w:r>
      <w:r w:rsidRPr="00191ACB">
        <w:rPr>
          <w:rFonts w:ascii="Times New Roman" w:eastAsia="Times New Roman" w:hAnsi="Times New Roman" w:cs="Times New Roman"/>
          <w:color w:val="000000" w:themeColor="text1"/>
          <w:sz w:val="24"/>
          <w:szCs w:val="24"/>
        </w:rPr>
        <w:t xml:space="preserve">monitoring and weather forecasting capabilities. </w:t>
      </w:r>
    </w:p>
    <w:p w14:paraId="27E6FCA2" w14:textId="77777777" w:rsidR="00D10127" w:rsidRPr="00191ACB" w:rsidRDefault="00D10127" w:rsidP="005E626A">
      <w:pPr>
        <w:spacing w:after="120" w:line="240" w:lineRule="auto"/>
        <w:jc w:val="both"/>
        <w:rPr>
          <w:rFonts w:ascii="Times New Roman" w:eastAsia="Times New Roman" w:hAnsi="Times New Roman" w:cs="Times New Roman"/>
          <w:color w:val="000000" w:themeColor="text1"/>
          <w:sz w:val="24"/>
          <w:szCs w:val="24"/>
        </w:rPr>
      </w:pPr>
    </w:p>
    <w:p w14:paraId="1A4FFA0D" w14:textId="2E13F735" w:rsidR="00F867B3" w:rsidRPr="00191ACB" w:rsidRDefault="00040765" w:rsidP="00650C37">
      <w:pPr>
        <w:pStyle w:val="Heading2"/>
        <w:numPr>
          <w:ilvl w:val="1"/>
          <w:numId w:val="36"/>
        </w:numPr>
        <w:spacing w:after="120" w:line="240" w:lineRule="auto"/>
        <w:ind w:left="851" w:hanging="851"/>
        <w:rPr>
          <w:rFonts w:ascii="Times New Roman" w:eastAsia="Times New Roman" w:hAnsi="Times New Roman" w:cs="Times New Roman"/>
          <w:b/>
          <w:color w:val="000000" w:themeColor="text1"/>
          <w:sz w:val="24"/>
          <w:szCs w:val="24"/>
        </w:rPr>
      </w:pPr>
      <w:bookmarkStart w:id="524" w:name="_Toc26264990"/>
      <w:bookmarkStart w:id="525" w:name="_Toc57902901"/>
      <w:r w:rsidRPr="00191ACB">
        <w:rPr>
          <w:rFonts w:ascii="Times New Roman" w:eastAsia="Times New Roman" w:hAnsi="Times New Roman" w:cs="Times New Roman"/>
          <w:b/>
          <w:color w:val="000000" w:themeColor="text1"/>
          <w:sz w:val="24"/>
          <w:szCs w:val="24"/>
        </w:rPr>
        <w:t>GENDER</w:t>
      </w:r>
      <w:bookmarkEnd w:id="524"/>
      <w:bookmarkEnd w:id="525"/>
      <w:r w:rsidRPr="00191ACB">
        <w:rPr>
          <w:rFonts w:ascii="Times New Roman" w:eastAsia="Times New Roman" w:hAnsi="Times New Roman" w:cs="Times New Roman"/>
          <w:b/>
          <w:color w:val="000000" w:themeColor="text1"/>
          <w:sz w:val="24"/>
          <w:szCs w:val="24"/>
        </w:rPr>
        <w:t xml:space="preserve"> </w:t>
      </w:r>
    </w:p>
    <w:p w14:paraId="0D692245" w14:textId="1562324B" w:rsidR="00C26893" w:rsidRPr="00191ACB" w:rsidRDefault="00C26893" w:rsidP="00A65F60">
      <w:pPr>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The government has developed a climate change Gender Action Plan</w:t>
      </w:r>
      <w:r w:rsidR="00EC0F46" w:rsidRPr="00191ACB">
        <w:rPr>
          <w:rFonts w:ascii="Times New Roman" w:eastAsia="Calibri" w:hAnsi="Times New Roman" w:cs="Times New Roman"/>
          <w:color w:val="000000" w:themeColor="text1"/>
          <w:sz w:val="24"/>
          <w:szCs w:val="24"/>
          <w:lang w:val="en-GB"/>
        </w:rPr>
        <w:t xml:space="preserve"> (ccGAP)</w:t>
      </w:r>
      <w:r w:rsidRPr="00191ACB">
        <w:rPr>
          <w:rFonts w:ascii="Times New Roman" w:eastAsia="Calibri" w:hAnsi="Times New Roman" w:cs="Times New Roman"/>
          <w:color w:val="000000" w:themeColor="text1"/>
          <w:sz w:val="24"/>
          <w:szCs w:val="24"/>
          <w:lang w:val="en-GB"/>
        </w:rPr>
        <w:t xml:space="preserve"> through the Ministry of Gender which is premised on the Gender Policy. The ccGAP is a tool developed to ensure that Zambia’s climate change processes mainstream gender considerations, to guarantee that women and men have access to, participate in, and benefit equally from climate change initiatives.</w:t>
      </w:r>
    </w:p>
    <w:p w14:paraId="09387B46" w14:textId="79EA2F5F" w:rsidR="00F867B3" w:rsidRDefault="00C26893" w:rsidP="00A65F60">
      <w:pPr>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 xml:space="preserve">The initiatives on gender are supported by </w:t>
      </w:r>
      <w:r w:rsidR="00E56565" w:rsidRPr="00191ACB">
        <w:rPr>
          <w:rFonts w:ascii="Times New Roman" w:eastAsia="Calibri" w:hAnsi="Times New Roman" w:cs="Times New Roman"/>
          <w:color w:val="000000" w:themeColor="text1"/>
          <w:sz w:val="24"/>
          <w:szCs w:val="24"/>
          <w:lang w:val="en-GB"/>
        </w:rPr>
        <w:t>the National</w:t>
      </w:r>
      <w:r w:rsidR="00F867B3" w:rsidRPr="00191ACB">
        <w:rPr>
          <w:rFonts w:ascii="Times New Roman" w:eastAsia="Calibri" w:hAnsi="Times New Roman" w:cs="Times New Roman"/>
          <w:color w:val="000000" w:themeColor="text1"/>
          <w:sz w:val="24"/>
          <w:szCs w:val="24"/>
          <w:lang w:val="en-GB"/>
        </w:rPr>
        <w:t xml:space="preserve"> Policy on Climate Change</w:t>
      </w:r>
      <w:r w:rsidR="00DC5728" w:rsidRPr="00191ACB">
        <w:rPr>
          <w:rFonts w:ascii="Times New Roman" w:eastAsia="Calibri" w:hAnsi="Times New Roman" w:cs="Times New Roman"/>
          <w:color w:val="000000" w:themeColor="text1"/>
          <w:sz w:val="24"/>
          <w:szCs w:val="24"/>
          <w:lang w:val="en-GB"/>
        </w:rPr>
        <w:t>. O</w:t>
      </w:r>
      <w:r w:rsidR="00F867B3" w:rsidRPr="00191ACB">
        <w:rPr>
          <w:rFonts w:ascii="Times New Roman" w:eastAsia="Calibri" w:hAnsi="Times New Roman" w:cs="Times New Roman"/>
          <w:color w:val="000000" w:themeColor="text1"/>
          <w:sz w:val="24"/>
          <w:szCs w:val="24"/>
          <w:lang w:val="en-GB"/>
        </w:rPr>
        <w:t xml:space="preserve">ne of the objectives </w:t>
      </w:r>
      <w:r w:rsidR="00DC5728" w:rsidRPr="00191ACB">
        <w:rPr>
          <w:rFonts w:ascii="Times New Roman" w:eastAsia="Calibri" w:hAnsi="Times New Roman" w:cs="Times New Roman"/>
          <w:color w:val="000000" w:themeColor="text1"/>
          <w:sz w:val="24"/>
          <w:szCs w:val="24"/>
          <w:lang w:val="en-GB"/>
        </w:rPr>
        <w:t xml:space="preserve">of the Policy </w:t>
      </w:r>
      <w:r w:rsidR="00F867B3" w:rsidRPr="00191ACB">
        <w:rPr>
          <w:rFonts w:ascii="Times New Roman" w:eastAsia="Calibri" w:hAnsi="Times New Roman" w:cs="Times New Roman"/>
          <w:color w:val="000000" w:themeColor="text1"/>
          <w:sz w:val="24"/>
          <w:szCs w:val="24"/>
          <w:lang w:val="en-GB"/>
        </w:rPr>
        <w:t xml:space="preserve">is “to engender climate change programmes and activities in order to enhance gender quality and equity in the implementation of climate change programmes. </w:t>
      </w:r>
      <w:r w:rsidR="00DC5728" w:rsidRPr="00191ACB">
        <w:rPr>
          <w:rFonts w:ascii="Times New Roman" w:eastAsia="Calibri" w:hAnsi="Times New Roman" w:cs="Times New Roman"/>
          <w:color w:val="000000" w:themeColor="text1"/>
          <w:sz w:val="24"/>
          <w:szCs w:val="24"/>
          <w:lang w:val="en-GB"/>
        </w:rPr>
        <w:t xml:space="preserve"> P</w:t>
      </w:r>
      <w:r w:rsidR="00F867B3" w:rsidRPr="00191ACB">
        <w:rPr>
          <w:rFonts w:ascii="Times New Roman" w:eastAsia="Calibri" w:hAnsi="Times New Roman" w:cs="Times New Roman"/>
          <w:color w:val="000000" w:themeColor="text1"/>
          <w:sz w:val="24"/>
          <w:szCs w:val="24"/>
          <w:lang w:val="en-GB"/>
        </w:rPr>
        <w:t xml:space="preserve">olicy measures under this objective include; (i) promote gender differentiation and implementation of gender specific measures on climate change; (ii) improve the participation of women, youth and children in climate change programmes; and (iii) promote gender equity in access to climate finances. </w:t>
      </w:r>
    </w:p>
    <w:p w14:paraId="282835A4" w14:textId="0ECB8E46" w:rsidR="00650C37" w:rsidRDefault="00650C37" w:rsidP="00A65F60">
      <w:pPr>
        <w:spacing w:after="120" w:line="276" w:lineRule="auto"/>
        <w:jc w:val="both"/>
        <w:rPr>
          <w:rFonts w:ascii="Times New Roman" w:eastAsia="Calibri" w:hAnsi="Times New Roman" w:cs="Times New Roman"/>
          <w:color w:val="000000" w:themeColor="text1"/>
          <w:sz w:val="24"/>
          <w:szCs w:val="24"/>
          <w:lang w:val="en-GB"/>
        </w:rPr>
      </w:pPr>
      <w:r>
        <w:rPr>
          <w:rFonts w:ascii="Times New Roman" w:eastAsia="Calibri" w:hAnsi="Times New Roman" w:cs="Times New Roman"/>
          <w:color w:val="000000" w:themeColor="text1"/>
          <w:sz w:val="24"/>
          <w:szCs w:val="24"/>
          <w:lang w:val="en-GB"/>
        </w:rPr>
        <w:br w:type="page"/>
      </w:r>
    </w:p>
    <w:p w14:paraId="321DDF55" w14:textId="77777777" w:rsidR="00650C37" w:rsidRPr="00191ACB" w:rsidRDefault="00650C37" w:rsidP="00A65F60">
      <w:pPr>
        <w:spacing w:after="120" w:line="276" w:lineRule="auto"/>
        <w:jc w:val="both"/>
        <w:rPr>
          <w:rFonts w:ascii="Times New Roman" w:eastAsia="Calibri" w:hAnsi="Times New Roman" w:cs="Times New Roman"/>
          <w:color w:val="000000" w:themeColor="text1"/>
          <w:sz w:val="24"/>
          <w:szCs w:val="24"/>
          <w:lang w:val="en-GB"/>
        </w:rPr>
      </w:pPr>
    </w:p>
    <w:p w14:paraId="1F7144E9" w14:textId="20EB3202" w:rsidR="00F867B3" w:rsidRPr="00191ACB" w:rsidRDefault="00040765" w:rsidP="00650C37">
      <w:pPr>
        <w:pStyle w:val="Heading2"/>
        <w:numPr>
          <w:ilvl w:val="1"/>
          <w:numId w:val="36"/>
        </w:numPr>
        <w:spacing w:after="120" w:line="240" w:lineRule="auto"/>
        <w:ind w:left="851" w:hanging="851"/>
        <w:rPr>
          <w:rFonts w:ascii="Times New Roman" w:eastAsia="Times New Roman" w:hAnsi="Times New Roman" w:cs="Times New Roman"/>
          <w:b/>
          <w:color w:val="000000" w:themeColor="text1"/>
          <w:sz w:val="24"/>
          <w:szCs w:val="24"/>
        </w:rPr>
      </w:pPr>
      <w:bookmarkStart w:id="526" w:name="_Toc26264991"/>
      <w:bookmarkStart w:id="527" w:name="_Toc57902902"/>
      <w:r w:rsidRPr="00191ACB">
        <w:rPr>
          <w:rFonts w:ascii="Times New Roman" w:eastAsia="Times New Roman" w:hAnsi="Times New Roman" w:cs="Times New Roman"/>
          <w:b/>
          <w:color w:val="000000" w:themeColor="text1"/>
          <w:sz w:val="24"/>
          <w:szCs w:val="24"/>
        </w:rPr>
        <w:t>AWARENESS-RAISING ACTIVITIES</w:t>
      </w:r>
      <w:bookmarkEnd w:id="526"/>
      <w:bookmarkEnd w:id="527"/>
    </w:p>
    <w:p w14:paraId="5702D45D" w14:textId="2DD17992" w:rsidR="00EC0F46" w:rsidRPr="00191ACB" w:rsidRDefault="00EC0F46" w:rsidP="00A65F60">
      <w:pPr>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 xml:space="preserve">In order to implement activities on public awareness covered under Article 6 of the Convention, Zambia has since developed the National Climate Change Communication and Advocacy Strategy, which provides a clear and effective mechanism for fostering the flow of information, participation and dialogue of different stakeholders all of which are crucial for a nationwide participatory response to climate change. </w:t>
      </w:r>
      <w:r w:rsidR="00A65F60">
        <w:rPr>
          <w:rFonts w:ascii="Times New Roman" w:eastAsia="Calibri" w:hAnsi="Times New Roman" w:cs="Times New Roman"/>
          <w:color w:val="000000" w:themeColor="text1"/>
          <w:sz w:val="24"/>
          <w:szCs w:val="24"/>
          <w:lang w:val="en-GB"/>
        </w:rPr>
        <w:t xml:space="preserve"> </w:t>
      </w:r>
    </w:p>
    <w:p w14:paraId="2299CD07" w14:textId="77777777" w:rsidR="00EC0F46" w:rsidRPr="00191ACB" w:rsidRDefault="00EC0F46" w:rsidP="00A65F60">
      <w:pPr>
        <w:spacing w:after="12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In line with this Strategy, Zambia has implemented the following activities on public awareness and information sharing;</w:t>
      </w:r>
    </w:p>
    <w:p w14:paraId="015B45D6" w14:textId="77777777" w:rsidR="00EC0F46" w:rsidRPr="00191ACB" w:rsidRDefault="00EC0F46" w:rsidP="00EC0F46">
      <w:pPr>
        <w:spacing w:after="0" w:line="276" w:lineRule="auto"/>
        <w:jc w:val="both"/>
        <w:rPr>
          <w:rFonts w:ascii="Times New Roman" w:eastAsia="Calibri" w:hAnsi="Times New Roman" w:cs="Times New Roman"/>
          <w:color w:val="000000" w:themeColor="text1"/>
          <w:sz w:val="24"/>
          <w:szCs w:val="24"/>
          <w:lang w:val="en-GB"/>
        </w:rPr>
      </w:pPr>
    </w:p>
    <w:p w14:paraId="2592D060" w14:textId="77777777" w:rsidR="00EC0F46" w:rsidRPr="00191ACB" w:rsidRDefault="00EC0F46" w:rsidP="00A65F60">
      <w:pPr>
        <w:widowControl w:val="0"/>
        <w:numPr>
          <w:ilvl w:val="0"/>
          <w:numId w:val="47"/>
        </w:numPr>
        <w:pBdr>
          <w:top w:val="nil"/>
          <w:left w:val="nil"/>
          <w:bottom w:val="nil"/>
          <w:right w:val="nil"/>
          <w:between w:val="nil"/>
        </w:pBd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Establishment of climate information and early warning systems such as SMS and email alert system that has enhanced the levels of information dissemination and awareness on climate related parameters;</w:t>
      </w:r>
    </w:p>
    <w:p w14:paraId="0C50BE1C" w14:textId="77777777" w:rsidR="00EC0F46" w:rsidRPr="00191ACB" w:rsidRDefault="00EC0F46" w:rsidP="00A65F60">
      <w:pPr>
        <w:widowControl w:val="0"/>
        <w:numPr>
          <w:ilvl w:val="0"/>
          <w:numId w:val="47"/>
        </w:numPr>
        <w:pBdr>
          <w:top w:val="nil"/>
          <w:left w:val="nil"/>
          <w:bottom w:val="nil"/>
          <w:right w:val="nil"/>
          <w:between w:val="nil"/>
        </w:pBd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Enhanced capacity of the media, schools, scientists, researchers, Government Departments and other organisations involved in climate change to effectively engage and disseminate climate change information through training and provision of information;</w:t>
      </w:r>
    </w:p>
    <w:p w14:paraId="1099DEE0" w14:textId="77777777" w:rsidR="00EC0F46" w:rsidRPr="00191ACB" w:rsidRDefault="00EC0F46" w:rsidP="00A65F60">
      <w:pPr>
        <w:widowControl w:val="0"/>
        <w:numPr>
          <w:ilvl w:val="0"/>
          <w:numId w:val="47"/>
        </w:numPr>
        <w:pBdr>
          <w:top w:val="nil"/>
          <w:left w:val="nil"/>
          <w:bottom w:val="nil"/>
          <w:right w:val="nil"/>
          <w:between w:val="nil"/>
        </w:pBd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 xml:space="preserve">Production of educational materials on Climate Change targeting different stakeholders; </w:t>
      </w:r>
    </w:p>
    <w:p w14:paraId="7A07F706" w14:textId="77777777" w:rsidR="00EC0F46" w:rsidRPr="00191ACB" w:rsidRDefault="00EC0F46" w:rsidP="00A65F60">
      <w:pPr>
        <w:widowControl w:val="0"/>
        <w:numPr>
          <w:ilvl w:val="0"/>
          <w:numId w:val="47"/>
        </w:numPr>
        <w:pBdr>
          <w:top w:val="nil"/>
          <w:left w:val="nil"/>
          <w:bottom w:val="nil"/>
          <w:right w:val="nil"/>
          <w:between w:val="nil"/>
        </w:pBd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Promotion of collaboration and networking among the various stakeholders for sharing information and lessons;</w:t>
      </w:r>
    </w:p>
    <w:p w14:paraId="1E9C99DB" w14:textId="77777777" w:rsidR="00EC0F46" w:rsidRPr="00191ACB" w:rsidRDefault="00EC0F46" w:rsidP="00A65F60">
      <w:pPr>
        <w:widowControl w:val="0"/>
        <w:numPr>
          <w:ilvl w:val="0"/>
          <w:numId w:val="47"/>
        </w:numPr>
        <w:pBdr>
          <w:top w:val="nil"/>
          <w:left w:val="nil"/>
          <w:bottom w:val="nil"/>
          <w:right w:val="nil"/>
          <w:between w:val="nil"/>
        </w:pBd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Commemoration of significant environmental days which have provided a platform for Government and other stakeholders to share information related to climate change;</w:t>
      </w:r>
    </w:p>
    <w:p w14:paraId="78C71B61" w14:textId="77777777" w:rsidR="00EC0F46" w:rsidRPr="00191ACB" w:rsidRDefault="00EC0F46" w:rsidP="00A65F60">
      <w:pPr>
        <w:widowControl w:val="0"/>
        <w:numPr>
          <w:ilvl w:val="0"/>
          <w:numId w:val="47"/>
        </w:numPr>
        <w:pBdr>
          <w:top w:val="nil"/>
          <w:left w:val="nil"/>
          <w:bottom w:val="nil"/>
          <w:right w:val="nil"/>
          <w:between w:val="nil"/>
        </w:pBd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Up scaling implementation of media programmes which included trainings, presentation of awards to deserving climate change champions, radio and television programmes, fields trips and spot adverts;</w:t>
      </w:r>
    </w:p>
    <w:p w14:paraId="09725A9E" w14:textId="77777777" w:rsidR="00EC0F46" w:rsidRPr="00191ACB" w:rsidRDefault="00EC0F46" w:rsidP="00A65F60">
      <w:pPr>
        <w:widowControl w:val="0"/>
        <w:numPr>
          <w:ilvl w:val="0"/>
          <w:numId w:val="47"/>
        </w:numPr>
        <w:pBdr>
          <w:top w:val="nil"/>
          <w:left w:val="nil"/>
          <w:bottom w:val="nil"/>
          <w:right w:val="nil"/>
          <w:between w:val="nil"/>
        </w:pBd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Hosting of national consultative meetings as a way of promoting dialogue and stakeholder participation;</w:t>
      </w:r>
    </w:p>
    <w:p w14:paraId="030B14FA" w14:textId="77777777" w:rsidR="00EC0F46" w:rsidRPr="00191ACB" w:rsidRDefault="00EC0F46" w:rsidP="00A65F60">
      <w:pPr>
        <w:widowControl w:val="0"/>
        <w:numPr>
          <w:ilvl w:val="0"/>
          <w:numId w:val="47"/>
        </w:numPr>
        <w:pBdr>
          <w:top w:val="nil"/>
          <w:left w:val="nil"/>
          <w:bottom w:val="nil"/>
          <w:right w:val="nil"/>
          <w:between w:val="nil"/>
        </w:pBd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Strengthening of an Information and Documentation Centre at ZEMA to provide climate related information to stakeholders and the general public; and</w:t>
      </w:r>
    </w:p>
    <w:p w14:paraId="5B30696D" w14:textId="77777777" w:rsidR="00EC0F46" w:rsidRPr="00191ACB" w:rsidRDefault="00EC0F46" w:rsidP="00A65F60">
      <w:pPr>
        <w:widowControl w:val="0"/>
        <w:numPr>
          <w:ilvl w:val="0"/>
          <w:numId w:val="47"/>
        </w:numPr>
        <w:pBdr>
          <w:top w:val="nil"/>
          <w:left w:val="nil"/>
          <w:bottom w:val="nil"/>
          <w:right w:val="nil"/>
          <w:between w:val="nil"/>
        </w:pBd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Development of a Climate Change Learning Strategy as a tool to create sustainable individual and institutional capacities to plan and implement effective climate change actions.</w:t>
      </w:r>
    </w:p>
    <w:p w14:paraId="53EEAC0F" w14:textId="77777777" w:rsidR="00EC0F46" w:rsidRPr="00191ACB" w:rsidRDefault="00EC0F46" w:rsidP="00EC0F46">
      <w:pPr>
        <w:spacing w:after="0" w:line="276" w:lineRule="auto"/>
        <w:jc w:val="both"/>
        <w:rPr>
          <w:rFonts w:ascii="Times New Roman" w:eastAsia="Calibri" w:hAnsi="Times New Roman" w:cs="Times New Roman"/>
          <w:color w:val="000000" w:themeColor="text1"/>
          <w:sz w:val="24"/>
          <w:szCs w:val="24"/>
          <w:lang w:val="en-GB"/>
        </w:rPr>
      </w:pPr>
    </w:p>
    <w:p w14:paraId="27A340FA" w14:textId="6294E3B5" w:rsidR="00EC0F46" w:rsidRPr="00191ACB" w:rsidRDefault="00EC0F46" w:rsidP="00A65F60">
      <w:pP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The country acknowledges that indigenous knowledge is critical to climate change adaptation. However, there is limited dissemination of indigenous technologies and knowledge due to inadequate documentation. Therefore, the country has prioritized documentation of indigenous knowledge.</w:t>
      </w:r>
    </w:p>
    <w:p w14:paraId="04F070BF" w14:textId="0AB58FE1" w:rsidR="00F17F73" w:rsidRPr="00191ACB" w:rsidRDefault="00F17F73" w:rsidP="00EC0F46">
      <w:pPr>
        <w:spacing w:after="0" w:line="276" w:lineRule="auto"/>
        <w:jc w:val="both"/>
        <w:rPr>
          <w:rFonts w:ascii="Times New Roman" w:eastAsia="Calibri" w:hAnsi="Times New Roman" w:cs="Times New Roman"/>
          <w:b/>
          <w:bCs/>
          <w:color w:val="000000" w:themeColor="text1"/>
          <w:sz w:val="24"/>
          <w:szCs w:val="24"/>
          <w:lang w:val="en-GB"/>
        </w:rPr>
      </w:pPr>
    </w:p>
    <w:p w14:paraId="725D61A8" w14:textId="5532CBA9" w:rsidR="00F17F73" w:rsidRPr="00040765" w:rsidRDefault="00040765" w:rsidP="00650C37">
      <w:pPr>
        <w:pStyle w:val="Heading2"/>
        <w:numPr>
          <w:ilvl w:val="1"/>
          <w:numId w:val="36"/>
        </w:numPr>
        <w:spacing w:after="120" w:line="240" w:lineRule="auto"/>
        <w:ind w:left="851" w:hanging="851"/>
        <w:rPr>
          <w:rFonts w:ascii="Times New Roman" w:eastAsia="Times New Roman" w:hAnsi="Times New Roman" w:cs="Times New Roman"/>
          <w:b/>
          <w:color w:val="000000" w:themeColor="text1"/>
          <w:sz w:val="24"/>
          <w:szCs w:val="24"/>
        </w:rPr>
      </w:pPr>
      <w:bookmarkStart w:id="528" w:name="_Toc57902903"/>
      <w:r w:rsidRPr="00040765">
        <w:rPr>
          <w:rFonts w:ascii="Times New Roman" w:eastAsia="Times New Roman" w:hAnsi="Times New Roman" w:cs="Times New Roman"/>
          <w:b/>
          <w:color w:val="000000" w:themeColor="text1"/>
          <w:sz w:val="24"/>
          <w:szCs w:val="24"/>
        </w:rPr>
        <w:t>EDUCATION AND TRAINING</w:t>
      </w:r>
      <w:bookmarkEnd w:id="528"/>
    </w:p>
    <w:p w14:paraId="32C0578A" w14:textId="77777777" w:rsidR="00F17F73" w:rsidRPr="00191ACB" w:rsidRDefault="00F17F73" w:rsidP="00A65F60">
      <w:pPr>
        <w:spacing w:after="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Education and training are important elements in enhancing the country’s capacity to effectively undertake climate change actions. In order to ensure sustained implementation of education and training activities in the country, the National Policy on Education (Educating Our Future, 1996) was formulated to provide a framework for education at primary and secondary school levels. Through the implementation of this policy, a number of programmes that address environmental management in general have been undertaken. However, it should be noted that during implementation of the policies on education and training, gaps related to integration of climate change were identified. Accordingly, measures were undertaken to revise the policies to integrate climate change.</w:t>
      </w:r>
    </w:p>
    <w:p w14:paraId="17EB0767" w14:textId="77777777" w:rsidR="00F17F73" w:rsidRPr="00191ACB" w:rsidRDefault="00F17F73" w:rsidP="00A65F60">
      <w:pPr>
        <w:spacing w:before="240"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lastRenderedPageBreak/>
        <w:t>In view of the above, a number of institutions of learning such as the University of Zambia, Mulungushi and Copperbelt Universities offer programmes and courses that directly address climate change issues at both undergraduate and postgraduate levels.</w:t>
      </w:r>
      <w:bookmarkStart w:id="529" w:name="_qm3yrf" w:colFirst="0" w:colLast="0"/>
      <w:bookmarkEnd w:id="529"/>
    </w:p>
    <w:p w14:paraId="2E87ABB9" w14:textId="77777777" w:rsidR="00F17F73" w:rsidRPr="00191ACB" w:rsidRDefault="00F17F73" w:rsidP="00A65F60">
      <w:pPr>
        <w:spacing w:line="276" w:lineRule="auto"/>
        <w:jc w:val="both"/>
        <w:rPr>
          <w:rFonts w:ascii="Times New Roman" w:eastAsia="Calibri" w:hAnsi="Times New Roman" w:cs="Times New Roman"/>
          <w:color w:val="000000" w:themeColor="text1"/>
          <w:sz w:val="24"/>
          <w:szCs w:val="24"/>
          <w:lang w:val="en-GB"/>
        </w:rPr>
      </w:pPr>
      <w:r w:rsidRPr="00191ACB">
        <w:rPr>
          <w:rFonts w:ascii="Times New Roman" w:eastAsia="Calibri" w:hAnsi="Times New Roman" w:cs="Times New Roman"/>
          <w:color w:val="000000" w:themeColor="text1"/>
          <w:sz w:val="24"/>
          <w:szCs w:val="24"/>
          <w:lang w:val="en-GB"/>
        </w:rPr>
        <w:t>The following were challenges limiting the full implementation of initiatives on education and training:</w:t>
      </w:r>
    </w:p>
    <w:p w14:paraId="25D39F9E" w14:textId="77777777" w:rsidR="00F17F73" w:rsidRPr="00191ACB" w:rsidRDefault="00F17F73" w:rsidP="00A65F60">
      <w:pPr>
        <w:pStyle w:val="ListParagraph"/>
        <w:numPr>
          <w:ilvl w:val="0"/>
          <w:numId w:val="49"/>
        </w:numPr>
        <w:pBdr>
          <w:top w:val="nil"/>
          <w:left w:val="nil"/>
          <w:bottom w:val="nil"/>
          <w:right w:val="nil"/>
          <w:between w:val="nil"/>
        </w:pBdr>
        <w:jc w:val="both"/>
        <w:rPr>
          <w:rFonts w:eastAsia="Calibri"/>
          <w:color w:val="000000" w:themeColor="text1"/>
          <w:lang w:val="en-GB"/>
        </w:rPr>
      </w:pPr>
      <w:r w:rsidRPr="00191ACB">
        <w:rPr>
          <w:rFonts w:eastAsia="Calibri"/>
          <w:color w:val="000000" w:themeColor="text1"/>
          <w:lang w:val="en-GB"/>
        </w:rPr>
        <w:t xml:space="preserve">Inadequate mainstreaming of climate change into education and training curricula. </w:t>
      </w:r>
    </w:p>
    <w:p w14:paraId="0FB20001" w14:textId="51101359" w:rsidR="00F17F73" w:rsidRPr="00191ACB" w:rsidRDefault="00F17F73" w:rsidP="00A65F60">
      <w:pPr>
        <w:pStyle w:val="ListParagraph"/>
        <w:numPr>
          <w:ilvl w:val="0"/>
          <w:numId w:val="49"/>
        </w:numPr>
        <w:jc w:val="both"/>
        <w:rPr>
          <w:rFonts w:eastAsia="Calibri"/>
          <w:color w:val="000000" w:themeColor="text1"/>
          <w:lang w:val="en-GB"/>
        </w:rPr>
      </w:pPr>
      <w:r w:rsidRPr="00191ACB">
        <w:rPr>
          <w:rFonts w:eastAsia="Calibri"/>
          <w:color w:val="000000" w:themeColor="text1"/>
          <w:lang w:val="en-GB"/>
        </w:rPr>
        <w:t>Limited resource centers and equipment to promote learning and field demonstration on climate change.</w:t>
      </w:r>
    </w:p>
    <w:p w14:paraId="51E20CC3" w14:textId="26A7BCE8" w:rsidR="00296013" w:rsidRPr="00191ACB" w:rsidRDefault="00296013" w:rsidP="00DD0C0F">
      <w:pPr>
        <w:spacing w:after="120" w:line="240" w:lineRule="auto"/>
        <w:jc w:val="both"/>
        <w:rPr>
          <w:rFonts w:ascii="Times New Roman" w:eastAsia="Times New Roman" w:hAnsi="Times New Roman" w:cs="Times New Roman"/>
          <w:color w:val="000000" w:themeColor="text1"/>
          <w:sz w:val="24"/>
          <w:szCs w:val="24"/>
          <w:lang w:eastAsia="x-none"/>
        </w:rPr>
      </w:pPr>
      <w:bookmarkStart w:id="530" w:name="_Hlk54478492"/>
    </w:p>
    <w:p w14:paraId="40D1FB8F" w14:textId="09AA8ADE" w:rsidR="00417092" w:rsidRPr="00040765" w:rsidRDefault="00040765" w:rsidP="00650C37">
      <w:pPr>
        <w:pStyle w:val="Heading2"/>
        <w:numPr>
          <w:ilvl w:val="1"/>
          <w:numId w:val="36"/>
        </w:numPr>
        <w:spacing w:after="120" w:line="240" w:lineRule="auto"/>
        <w:ind w:left="851" w:hanging="851"/>
        <w:rPr>
          <w:rFonts w:ascii="Times New Roman" w:eastAsia="Times New Roman" w:hAnsi="Times New Roman" w:cs="Times New Roman"/>
          <w:b/>
          <w:color w:val="000000" w:themeColor="text1"/>
          <w:sz w:val="24"/>
          <w:szCs w:val="24"/>
        </w:rPr>
      </w:pPr>
      <w:bookmarkStart w:id="531" w:name="_Toc57902904"/>
      <w:bookmarkEnd w:id="530"/>
      <w:r w:rsidRPr="00040765">
        <w:rPr>
          <w:rFonts w:ascii="Times New Roman" w:eastAsia="Times New Roman" w:hAnsi="Times New Roman" w:cs="Times New Roman"/>
          <w:b/>
          <w:color w:val="000000" w:themeColor="text1"/>
          <w:sz w:val="24"/>
          <w:szCs w:val="24"/>
        </w:rPr>
        <w:t>PRIVATE SECTOR PARTICIPATION IN CLIMATE CHANGE RESPONSE</w:t>
      </w:r>
      <w:bookmarkEnd w:id="531"/>
    </w:p>
    <w:p w14:paraId="3BC26981" w14:textId="124BEFE5" w:rsidR="002127A4" w:rsidRPr="00191ACB" w:rsidRDefault="00666A34" w:rsidP="00A65F60">
      <w:pPr>
        <w:spacing w:after="120" w:line="276" w:lineRule="auto"/>
        <w:jc w:val="both"/>
        <w:rPr>
          <w:rFonts w:ascii="Times New Roman" w:eastAsia="Times New Roman" w:hAnsi="Times New Roman" w:cs="Times New Roman"/>
          <w:color w:val="000000" w:themeColor="text1"/>
          <w:sz w:val="24"/>
          <w:szCs w:val="24"/>
          <w:lang w:eastAsia="x-none"/>
        </w:rPr>
      </w:pPr>
      <w:r w:rsidRPr="00191ACB">
        <w:rPr>
          <w:rFonts w:ascii="Times New Roman" w:eastAsia="Times New Roman" w:hAnsi="Times New Roman" w:cs="Times New Roman"/>
          <w:color w:val="000000" w:themeColor="text1"/>
          <w:sz w:val="24"/>
          <w:szCs w:val="24"/>
          <w:lang w:eastAsia="x-none"/>
        </w:rPr>
        <w:t>P</w:t>
      </w:r>
      <w:r w:rsidR="002127A4" w:rsidRPr="00191ACB">
        <w:rPr>
          <w:rFonts w:ascii="Times New Roman" w:eastAsia="Times New Roman" w:hAnsi="Times New Roman" w:cs="Times New Roman"/>
          <w:color w:val="000000" w:themeColor="text1"/>
          <w:sz w:val="24"/>
          <w:szCs w:val="24"/>
          <w:lang w:eastAsia="x-none"/>
        </w:rPr>
        <w:t xml:space="preserve">rivate sector participation in climate change response has been limited. This is attributed to inadequate institutional and technical capacity to sufficiently integrate climate change preparedness and resilience in business portfolio. Some of </w:t>
      </w:r>
      <w:r w:rsidRPr="00191ACB">
        <w:rPr>
          <w:rFonts w:ascii="Times New Roman" w:eastAsia="Times New Roman" w:hAnsi="Times New Roman" w:cs="Times New Roman"/>
          <w:color w:val="000000" w:themeColor="text1"/>
          <w:sz w:val="24"/>
          <w:szCs w:val="24"/>
          <w:lang w:eastAsia="x-none"/>
        </w:rPr>
        <w:t xml:space="preserve">the </w:t>
      </w:r>
      <w:r w:rsidR="002127A4" w:rsidRPr="00191ACB">
        <w:rPr>
          <w:rFonts w:ascii="Times New Roman" w:eastAsia="Times New Roman" w:hAnsi="Times New Roman" w:cs="Times New Roman"/>
          <w:color w:val="000000" w:themeColor="text1"/>
          <w:sz w:val="24"/>
          <w:szCs w:val="24"/>
          <w:lang w:eastAsia="x-none"/>
        </w:rPr>
        <w:t xml:space="preserve">key factors </w:t>
      </w:r>
      <w:r w:rsidR="008E6DA0" w:rsidRPr="00191ACB">
        <w:rPr>
          <w:rFonts w:ascii="Times New Roman" w:eastAsia="Times New Roman" w:hAnsi="Times New Roman" w:cs="Times New Roman"/>
          <w:color w:val="000000" w:themeColor="text1"/>
          <w:sz w:val="24"/>
          <w:szCs w:val="24"/>
          <w:lang w:eastAsia="x-none"/>
        </w:rPr>
        <w:t xml:space="preserve">adversely </w:t>
      </w:r>
      <w:r w:rsidR="002127A4" w:rsidRPr="00191ACB">
        <w:rPr>
          <w:rFonts w:ascii="Times New Roman" w:eastAsia="Times New Roman" w:hAnsi="Times New Roman" w:cs="Times New Roman"/>
          <w:color w:val="000000" w:themeColor="text1"/>
          <w:sz w:val="24"/>
          <w:szCs w:val="24"/>
          <w:lang w:eastAsia="x-none"/>
        </w:rPr>
        <w:t xml:space="preserve">influencing private sector </w:t>
      </w:r>
      <w:r w:rsidR="008E6DA0" w:rsidRPr="00191ACB">
        <w:rPr>
          <w:rFonts w:ascii="Times New Roman" w:eastAsia="Times New Roman" w:hAnsi="Times New Roman" w:cs="Times New Roman"/>
          <w:color w:val="000000" w:themeColor="text1"/>
          <w:sz w:val="24"/>
          <w:szCs w:val="24"/>
          <w:lang w:eastAsia="x-none"/>
        </w:rPr>
        <w:t xml:space="preserve">participation </w:t>
      </w:r>
      <w:r w:rsidR="002127A4" w:rsidRPr="00191ACB">
        <w:rPr>
          <w:rFonts w:ascii="Times New Roman" w:eastAsia="Times New Roman" w:hAnsi="Times New Roman" w:cs="Times New Roman"/>
          <w:color w:val="000000" w:themeColor="text1"/>
          <w:sz w:val="24"/>
          <w:szCs w:val="24"/>
          <w:lang w:eastAsia="x-none"/>
        </w:rPr>
        <w:t>and in particular S</w:t>
      </w:r>
      <w:r w:rsidRPr="00191ACB">
        <w:rPr>
          <w:rFonts w:ascii="Times New Roman" w:eastAsia="Times New Roman" w:hAnsi="Times New Roman" w:cs="Times New Roman"/>
          <w:color w:val="000000" w:themeColor="text1"/>
          <w:sz w:val="24"/>
          <w:szCs w:val="24"/>
          <w:lang w:eastAsia="x-none"/>
        </w:rPr>
        <w:t xml:space="preserve">mall and </w:t>
      </w:r>
      <w:r w:rsidR="002127A4" w:rsidRPr="00191ACB">
        <w:rPr>
          <w:rFonts w:ascii="Times New Roman" w:eastAsia="Times New Roman" w:hAnsi="Times New Roman" w:cs="Times New Roman"/>
          <w:color w:val="000000" w:themeColor="text1"/>
          <w:sz w:val="24"/>
          <w:szCs w:val="24"/>
          <w:lang w:eastAsia="x-none"/>
        </w:rPr>
        <w:t>M</w:t>
      </w:r>
      <w:r w:rsidRPr="00191ACB">
        <w:rPr>
          <w:rFonts w:ascii="Times New Roman" w:eastAsia="Times New Roman" w:hAnsi="Times New Roman" w:cs="Times New Roman"/>
          <w:color w:val="000000" w:themeColor="text1"/>
          <w:sz w:val="24"/>
          <w:szCs w:val="24"/>
          <w:lang w:eastAsia="x-none"/>
        </w:rPr>
        <w:t xml:space="preserve">edium </w:t>
      </w:r>
      <w:r w:rsidR="002127A4" w:rsidRPr="00191ACB">
        <w:rPr>
          <w:rFonts w:ascii="Times New Roman" w:eastAsia="Times New Roman" w:hAnsi="Times New Roman" w:cs="Times New Roman"/>
          <w:color w:val="000000" w:themeColor="text1"/>
          <w:sz w:val="24"/>
          <w:szCs w:val="24"/>
          <w:lang w:eastAsia="x-none"/>
        </w:rPr>
        <w:t>E</w:t>
      </w:r>
      <w:r w:rsidRPr="00191ACB">
        <w:rPr>
          <w:rFonts w:ascii="Times New Roman" w:eastAsia="Times New Roman" w:hAnsi="Times New Roman" w:cs="Times New Roman"/>
          <w:color w:val="000000" w:themeColor="text1"/>
          <w:sz w:val="24"/>
          <w:szCs w:val="24"/>
          <w:lang w:eastAsia="x-none"/>
        </w:rPr>
        <w:t>nterprises</w:t>
      </w:r>
      <w:r w:rsidR="002127A4" w:rsidRPr="00191ACB">
        <w:rPr>
          <w:rFonts w:ascii="Times New Roman" w:eastAsia="Times New Roman" w:hAnsi="Times New Roman" w:cs="Times New Roman"/>
          <w:color w:val="000000" w:themeColor="text1"/>
          <w:sz w:val="24"/>
          <w:szCs w:val="24"/>
          <w:lang w:eastAsia="x-none"/>
        </w:rPr>
        <w:t xml:space="preserve"> </w:t>
      </w:r>
      <w:r w:rsidRPr="00191ACB">
        <w:rPr>
          <w:rFonts w:ascii="Times New Roman" w:eastAsia="Times New Roman" w:hAnsi="Times New Roman" w:cs="Times New Roman"/>
          <w:color w:val="000000" w:themeColor="text1"/>
          <w:sz w:val="24"/>
          <w:szCs w:val="24"/>
          <w:lang w:eastAsia="x-none"/>
        </w:rPr>
        <w:t xml:space="preserve">(SMEs) </w:t>
      </w:r>
      <w:r w:rsidR="002127A4" w:rsidRPr="00191ACB">
        <w:rPr>
          <w:rFonts w:ascii="Times New Roman" w:eastAsia="Times New Roman" w:hAnsi="Times New Roman" w:cs="Times New Roman"/>
          <w:color w:val="000000" w:themeColor="text1"/>
          <w:sz w:val="24"/>
          <w:szCs w:val="24"/>
          <w:lang w:eastAsia="x-none"/>
        </w:rPr>
        <w:t>development are:</w:t>
      </w:r>
    </w:p>
    <w:p w14:paraId="0599C04B" w14:textId="269CDB22" w:rsidR="002127A4" w:rsidRPr="00191ACB" w:rsidRDefault="002127A4" w:rsidP="00A65F60">
      <w:pPr>
        <w:pStyle w:val="ListParagraph"/>
        <w:numPr>
          <w:ilvl w:val="0"/>
          <w:numId w:val="48"/>
        </w:numPr>
        <w:spacing w:after="120"/>
        <w:jc w:val="both"/>
        <w:rPr>
          <w:color w:val="000000" w:themeColor="text1"/>
          <w:lang w:eastAsia="x-none"/>
        </w:rPr>
      </w:pPr>
      <w:r w:rsidRPr="00191ACB">
        <w:rPr>
          <w:color w:val="000000" w:themeColor="text1"/>
          <w:lang w:eastAsia="x-none"/>
        </w:rPr>
        <w:t>Lack of access to finance as well as appropriate financial instruments for enterprises of different sizes</w:t>
      </w:r>
      <w:r w:rsidR="00622B56" w:rsidRPr="00191ACB">
        <w:rPr>
          <w:color w:val="000000" w:themeColor="text1"/>
          <w:lang w:eastAsia="x-none"/>
        </w:rPr>
        <w:t>;</w:t>
      </w:r>
      <w:r w:rsidRPr="00191ACB">
        <w:rPr>
          <w:color w:val="000000" w:themeColor="text1"/>
          <w:lang w:eastAsia="x-none"/>
        </w:rPr>
        <w:t xml:space="preserve"> </w:t>
      </w:r>
    </w:p>
    <w:p w14:paraId="426F3371" w14:textId="77777777" w:rsidR="00666A34" w:rsidRPr="00191ACB" w:rsidRDefault="002127A4" w:rsidP="00A65F60">
      <w:pPr>
        <w:pStyle w:val="ListParagraph"/>
        <w:numPr>
          <w:ilvl w:val="0"/>
          <w:numId w:val="48"/>
        </w:numPr>
        <w:spacing w:after="120"/>
        <w:jc w:val="both"/>
        <w:rPr>
          <w:color w:val="000000" w:themeColor="text1"/>
          <w:lang w:eastAsia="x-none"/>
        </w:rPr>
      </w:pPr>
      <w:r w:rsidRPr="00191ACB">
        <w:rPr>
          <w:color w:val="000000" w:themeColor="text1"/>
          <w:lang w:eastAsia="x-none"/>
        </w:rPr>
        <w:t>Insufficient access to technology, knowledge and training</w:t>
      </w:r>
      <w:r w:rsidR="00622B56" w:rsidRPr="00191ACB">
        <w:rPr>
          <w:color w:val="000000" w:themeColor="text1"/>
          <w:lang w:eastAsia="x-none"/>
        </w:rPr>
        <w:t>;</w:t>
      </w:r>
    </w:p>
    <w:p w14:paraId="4B2CA2AE" w14:textId="16BBEC91" w:rsidR="002127A4" w:rsidRPr="00191ACB" w:rsidRDefault="002127A4" w:rsidP="00A65F60">
      <w:pPr>
        <w:pStyle w:val="ListParagraph"/>
        <w:numPr>
          <w:ilvl w:val="0"/>
          <w:numId w:val="48"/>
        </w:numPr>
        <w:spacing w:after="120"/>
        <w:jc w:val="both"/>
        <w:rPr>
          <w:color w:val="000000" w:themeColor="text1"/>
          <w:lang w:eastAsia="x-none"/>
        </w:rPr>
      </w:pPr>
      <w:r w:rsidRPr="00191ACB">
        <w:rPr>
          <w:color w:val="000000" w:themeColor="text1"/>
          <w:lang w:eastAsia="x-none"/>
        </w:rPr>
        <w:t>Insufficient access to markets, especially beyond local markets, and market information</w:t>
      </w:r>
      <w:r w:rsidR="00622B56" w:rsidRPr="00191ACB">
        <w:rPr>
          <w:color w:val="000000" w:themeColor="text1"/>
          <w:lang w:eastAsia="x-none"/>
        </w:rPr>
        <w:t xml:space="preserve">; </w:t>
      </w:r>
      <w:r w:rsidRPr="00191ACB">
        <w:rPr>
          <w:color w:val="000000" w:themeColor="text1"/>
          <w:lang w:eastAsia="x-none"/>
        </w:rPr>
        <w:t xml:space="preserve"> </w:t>
      </w:r>
    </w:p>
    <w:p w14:paraId="3D953236" w14:textId="3C8E33B6" w:rsidR="00417092" w:rsidRPr="00191ACB" w:rsidRDefault="00666A34" w:rsidP="00A65F60">
      <w:pPr>
        <w:pStyle w:val="ListParagraph"/>
        <w:numPr>
          <w:ilvl w:val="0"/>
          <w:numId w:val="48"/>
        </w:numPr>
        <w:spacing w:after="120"/>
        <w:jc w:val="both"/>
        <w:rPr>
          <w:color w:val="000000" w:themeColor="text1"/>
          <w:lang w:eastAsia="x-none"/>
        </w:rPr>
      </w:pPr>
      <w:r w:rsidRPr="00191ACB">
        <w:rPr>
          <w:color w:val="000000" w:themeColor="text1"/>
          <w:lang w:eastAsia="x-none"/>
        </w:rPr>
        <w:t>Limited information on business opportunities presented by climate change; and</w:t>
      </w:r>
    </w:p>
    <w:p w14:paraId="4B038F15" w14:textId="77777777" w:rsidR="00666A34" w:rsidRPr="00191ACB" w:rsidRDefault="00666A34" w:rsidP="00A65F60">
      <w:pPr>
        <w:pStyle w:val="ListParagraph"/>
        <w:numPr>
          <w:ilvl w:val="0"/>
          <w:numId w:val="48"/>
        </w:numPr>
        <w:spacing w:after="120"/>
        <w:jc w:val="both"/>
        <w:rPr>
          <w:color w:val="000000" w:themeColor="text1"/>
          <w:lang w:eastAsia="x-none"/>
        </w:rPr>
      </w:pPr>
      <w:r w:rsidRPr="00191ACB">
        <w:rPr>
          <w:color w:val="000000" w:themeColor="text1"/>
          <w:lang w:eastAsia="x-none"/>
        </w:rPr>
        <w:t>Inadequate incentives to attract private sector investments.</w:t>
      </w:r>
    </w:p>
    <w:p w14:paraId="4FBEA5B7" w14:textId="30A52830" w:rsidR="00F17F73" w:rsidRPr="00191ACB" w:rsidRDefault="00F17F73" w:rsidP="00E435F6">
      <w:pPr>
        <w:pStyle w:val="ListParagraph"/>
        <w:numPr>
          <w:ilvl w:val="0"/>
          <w:numId w:val="48"/>
        </w:numPr>
        <w:spacing w:after="120" w:line="240" w:lineRule="auto"/>
        <w:jc w:val="both"/>
        <w:rPr>
          <w:color w:val="000000" w:themeColor="text1"/>
          <w:lang w:eastAsia="x-none"/>
        </w:rPr>
        <w:sectPr w:rsidR="00F17F73" w:rsidRPr="00191ACB" w:rsidSect="00D326BE">
          <w:pgSz w:w="11909" w:h="16834" w:code="9"/>
          <w:pgMar w:top="862" w:right="720" w:bottom="862" w:left="1440" w:header="708" w:footer="708" w:gutter="0"/>
          <w:cols w:space="708"/>
          <w:docGrid w:linePitch="360"/>
        </w:sectPr>
      </w:pPr>
    </w:p>
    <w:p w14:paraId="36629D37" w14:textId="48F3E5AB" w:rsidR="00666A34" w:rsidRPr="00191ACB" w:rsidRDefault="00666A34" w:rsidP="00666A34">
      <w:pPr>
        <w:spacing w:after="120" w:line="240" w:lineRule="auto"/>
        <w:jc w:val="both"/>
        <w:rPr>
          <w:rFonts w:ascii="Times New Roman" w:hAnsi="Times New Roman" w:cs="Times New Roman"/>
          <w:color w:val="000000" w:themeColor="text1"/>
          <w:sz w:val="24"/>
          <w:szCs w:val="24"/>
          <w:lang w:eastAsia="x-none"/>
        </w:rPr>
      </w:pPr>
    </w:p>
    <w:p w14:paraId="0060214E" w14:textId="10F55E29" w:rsidR="0081233E" w:rsidRPr="00191ACB" w:rsidRDefault="0081233E" w:rsidP="00650C37">
      <w:pPr>
        <w:pStyle w:val="Heading1"/>
        <w:numPr>
          <w:ilvl w:val="0"/>
          <w:numId w:val="36"/>
        </w:numPr>
        <w:spacing w:after="120" w:line="240" w:lineRule="auto"/>
        <w:ind w:left="851" w:hanging="851"/>
        <w:rPr>
          <w:rFonts w:ascii="Times New Roman" w:eastAsia="Times New Roman" w:hAnsi="Times New Roman" w:cs="Times New Roman"/>
          <w:b/>
          <w:color w:val="000000" w:themeColor="text1"/>
          <w:sz w:val="24"/>
          <w:szCs w:val="24"/>
        </w:rPr>
      </w:pPr>
      <w:bookmarkStart w:id="532" w:name="_Toc57902905"/>
      <w:r w:rsidRPr="00191ACB">
        <w:rPr>
          <w:rFonts w:ascii="Times New Roman" w:eastAsia="Times New Roman" w:hAnsi="Times New Roman" w:cs="Times New Roman"/>
          <w:b/>
          <w:color w:val="000000" w:themeColor="text1"/>
          <w:sz w:val="24"/>
          <w:szCs w:val="24"/>
        </w:rPr>
        <w:t>CONCLUSION</w:t>
      </w:r>
      <w:bookmarkEnd w:id="532"/>
    </w:p>
    <w:p w14:paraId="06ABF6AE" w14:textId="77777777" w:rsidR="00040765" w:rsidRDefault="00040765" w:rsidP="005E626A">
      <w:pPr>
        <w:spacing w:after="120" w:line="240" w:lineRule="auto"/>
        <w:jc w:val="both"/>
        <w:rPr>
          <w:rFonts w:ascii="Times New Roman" w:eastAsia="Calibri" w:hAnsi="Times New Roman" w:cs="Times New Roman"/>
          <w:color w:val="000000" w:themeColor="text1"/>
          <w:sz w:val="24"/>
          <w:szCs w:val="24"/>
          <w:lang w:val="x-none" w:eastAsia="x-none"/>
        </w:rPr>
      </w:pPr>
    </w:p>
    <w:p w14:paraId="25935EA3" w14:textId="4EBEBED6" w:rsidR="00F17F73" w:rsidRPr="00191ACB" w:rsidRDefault="0081233E" w:rsidP="00A65F6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lang w:val="x-none" w:eastAsia="x-none"/>
        </w:rPr>
        <w:t xml:space="preserve">This </w:t>
      </w:r>
      <w:r w:rsidRPr="00191ACB">
        <w:rPr>
          <w:rFonts w:ascii="Times New Roman" w:eastAsia="Calibri" w:hAnsi="Times New Roman" w:cs="Times New Roman"/>
          <w:color w:val="000000" w:themeColor="text1"/>
          <w:sz w:val="24"/>
          <w:szCs w:val="24"/>
          <w:lang w:eastAsia="x-none"/>
        </w:rPr>
        <w:t xml:space="preserve">report </w:t>
      </w:r>
      <w:r w:rsidR="00F17F73" w:rsidRPr="00191ACB">
        <w:rPr>
          <w:rFonts w:ascii="Times New Roman" w:eastAsia="Calibri" w:hAnsi="Times New Roman" w:cs="Times New Roman"/>
          <w:color w:val="000000" w:themeColor="text1"/>
          <w:sz w:val="24"/>
          <w:szCs w:val="24"/>
          <w:lang w:eastAsia="x-none"/>
        </w:rPr>
        <w:t>presents</w:t>
      </w:r>
      <w:r w:rsidRPr="00191ACB">
        <w:rPr>
          <w:rFonts w:ascii="Times New Roman" w:eastAsia="Calibri" w:hAnsi="Times New Roman" w:cs="Times New Roman"/>
          <w:color w:val="000000" w:themeColor="text1"/>
          <w:sz w:val="24"/>
          <w:szCs w:val="24"/>
          <w:lang w:eastAsia="x-none"/>
        </w:rPr>
        <w:t xml:space="preserve"> Zambia’s </w:t>
      </w:r>
      <w:r w:rsidR="00F17F73" w:rsidRPr="00191ACB">
        <w:rPr>
          <w:rFonts w:ascii="Times New Roman" w:eastAsia="Calibri" w:hAnsi="Times New Roman" w:cs="Times New Roman"/>
          <w:color w:val="000000" w:themeColor="text1"/>
          <w:sz w:val="24"/>
          <w:szCs w:val="24"/>
          <w:lang w:eastAsia="x-none"/>
        </w:rPr>
        <w:t xml:space="preserve">initial </w:t>
      </w:r>
      <w:r w:rsidRPr="00191ACB">
        <w:rPr>
          <w:rFonts w:ascii="Times New Roman" w:eastAsia="Calibri" w:hAnsi="Times New Roman" w:cs="Times New Roman"/>
          <w:color w:val="000000" w:themeColor="text1"/>
          <w:sz w:val="24"/>
          <w:szCs w:val="24"/>
          <w:lang w:eastAsia="x-none"/>
        </w:rPr>
        <w:t>BUR</w:t>
      </w:r>
      <w:r w:rsidR="00F17F73" w:rsidRPr="00191ACB">
        <w:rPr>
          <w:rFonts w:ascii="Times New Roman" w:eastAsia="Calibri" w:hAnsi="Times New Roman" w:cs="Times New Roman"/>
          <w:color w:val="000000" w:themeColor="text1"/>
          <w:sz w:val="24"/>
          <w:szCs w:val="24"/>
          <w:lang w:eastAsia="x-none"/>
        </w:rPr>
        <w:t xml:space="preserve"> which was prepared in accordance</w:t>
      </w:r>
      <w:r w:rsidRPr="00191ACB">
        <w:rPr>
          <w:rFonts w:ascii="Times New Roman" w:eastAsia="Calibri" w:hAnsi="Times New Roman" w:cs="Times New Roman"/>
          <w:color w:val="000000" w:themeColor="text1"/>
          <w:sz w:val="24"/>
          <w:szCs w:val="24"/>
        </w:rPr>
        <w:t xml:space="preserve"> guidelines adopted by COP 17, in 2011, which are contained in annex III to decision 2/CP.17. In </w:t>
      </w:r>
      <w:r w:rsidR="00F17F73" w:rsidRPr="00191ACB">
        <w:rPr>
          <w:rFonts w:ascii="Times New Roman" w:eastAsia="Calibri" w:hAnsi="Times New Roman" w:cs="Times New Roman"/>
          <w:color w:val="000000" w:themeColor="text1"/>
          <w:sz w:val="24"/>
          <w:szCs w:val="24"/>
        </w:rPr>
        <w:t>preparing the</w:t>
      </w:r>
      <w:r w:rsidRPr="00191ACB">
        <w:rPr>
          <w:rFonts w:ascii="Times New Roman" w:eastAsia="Calibri" w:hAnsi="Times New Roman" w:cs="Times New Roman"/>
          <w:color w:val="000000" w:themeColor="text1"/>
          <w:sz w:val="24"/>
          <w:szCs w:val="24"/>
        </w:rPr>
        <w:t xml:space="preserve"> BUR</w:t>
      </w:r>
      <w:r w:rsidR="00F17F73" w:rsidRPr="00191ACB">
        <w:rPr>
          <w:rFonts w:ascii="Times New Roman" w:eastAsia="Calibri" w:hAnsi="Times New Roman" w:cs="Times New Roman"/>
          <w:color w:val="000000" w:themeColor="text1"/>
          <w:sz w:val="24"/>
          <w:szCs w:val="24"/>
        </w:rPr>
        <w:t>, the country took into account its</w:t>
      </w:r>
      <w:r w:rsidRPr="00191ACB">
        <w:rPr>
          <w:rFonts w:ascii="Times New Roman" w:eastAsia="Calibri" w:hAnsi="Times New Roman" w:cs="Times New Roman"/>
          <w:color w:val="000000" w:themeColor="text1"/>
          <w:sz w:val="24"/>
          <w:szCs w:val="24"/>
        </w:rPr>
        <w:t xml:space="preserve"> development priorities, objectives, capacities and national circumstances.</w:t>
      </w:r>
      <w:r w:rsidR="00F17F73" w:rsidRPr="00191ACB">
        <w:rPr>
          <w:rFonts w:ascii="Times New Roman" w:eastAsia="Calibri" w:hAnsi="Times New Roman" w:cs="Times New Roman"/>
          <w:color w:val="000000" w:themeColor="text1"/>
          <w:sz w:val="24"/>
          <w:szCs w:val="24"/>
        </w:rPr>
        <w:t xml:space="preserve"> The report highlights the country’s emission and removals, mitigation actions being planned and implemented, steps undertaken to enhance the domestic MRV and other information considered to be relevant in the implementation of the Convention.</w:t>
      </w:r>
    </w:p>
    <w:p w14:paraId="58572089" w14:textId="02138579" w:rsidR="000777FB" w:rsidRPr="00191ACB" w:rsidRDefault="000777FB" w:rsidP="00A65F60">
      <w:pPr>
        <w:spacing w:after="120" w:line="276" w:lineRule="auto"/>
        <w:jc w:val="both"/>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Preparation of the BUR enhanced the GHG inventory that covered the period 2011 to 2016 with an inclusion of precursor gases to inform mitigation actions. The information contained in the BUR at national level will be used to inform policy measures and decision making that will facilitate enhanced climate action.</w:t>
      </w:r>
    </w:p>
    <w:p w14:paraId="41F42AB4" w14:textId="77777777" w:rsidR="000777FB" w:rsidRPr="00191ACB" w:rsidRDefault="000777FB" w:rsidP="005E626A">
      <w:pPr>
        <w:spacing w:after="120" w:line="240" w:lineRule="auto"/>
        <w:jc w:val="both"/>
        <w:rPr>
          <w:rFonts w:ascii="Times New Roman" w:eastAsia="Calibri" w:hAnsi="Times New Roman" w:cs="Times New Roman"/>
          <w:color w:val="000000" w:themeColor="text1"/>
          <w:sz w:val="24"/>
          <w:szCs w:val="24"/>
        </w:rPr>
      </w:pPr>
    </w:p>
    <w:p w14:paraId="67CED2E2" w14:textId="7F1B41DE" w:rsidR="00356231" w:rsidRPr="00191ACB" w:rsidRDefault="00356231" w:rsidP="005E626A">
      <w:pPr>
        <w:spacing w:after="120" w:line="240" w:lineRule="auto"/>
        <w:rPr>
          <w:rFonts w:ascii="Times New Roman" w:hAnsi="Times New Roman" w:cs="Times New Roman"/>
          <w:color w:val="000000" w:themeColor="text1"/>
          <w:sz w:val="24"/>
          <w:szCs w:val="24"/>
        </w:rPr>
      </w:pPr>
    </w:p>
    <w:p w14:paraId="764EC277" w14:textId="46874325" w:rsidR="00ED5482" w:rsidRPr="00191ACB" w:rsidRDefault="00ED5482">
      <w:pPr>
        <w:rPr>
          <w:rFonts w:ascii="Times New Roman" w:hAnsi="Times New Roman" w:cs="Times New Roman"/>
          <w:color w:val="000000" w:themeColor="text1"/>
          <w:sz w:val="24"/>
          <w:szCs w:val="24"/>
        </w:rPr>
      </w:pPr>
      <w:r w:rsidRPr="00191ACB">
        <w:rPr>
          <w:rFonts w:ascii="Times New Roman" w:hAnsi="Times New Roman" w:cs="Times New Roman"/>
          <w:color w:val="000000" w:themeColor="text1"/>
          <w:sz w:val="24"/>
          <w:szCs w:val="24"/>
        </w:rPr>
        <w:br w:type="page"/>
      </w:r>
    </w:p>
    <w:p w14:paraId="67035521" w14:textId="77777777" w:rsidR="00CB079C" w:rsidRPr="00650C37" w:rsidRDefault="00CB079C" w:rsidP="00CB079C">
      <w:pPr>
        <w:pStyle w:val="Heading2"/>
        <w:rPr>
          <w:rFonts w:ascii="Times New Roman" w:eastAsia="Times New Roman" w:hAnsi="Times New Roman" w:cs="Times New Roman"/>
          <w:b/>
          <w:color w:val="000000" w:themeColor="text1"/>
          <w:sz w:val="24"/>
          <w:szCs w:val="24"/>
        </w:rPr>
      </w:pPr>
      <w:bookmarkStart w:id="533" w:name="_Toc54687647"/>
      <w:bookmarkStart w:id="534" w:name="_Toc57902906"/>
      <w:r w:rsidRPr="00650C37">
        <w:rPr>
          <w:rFonts w:ascii="Times New Roman" w:eastAsia="Times New Roman" w:hAnsi="Times New Roman" w:cs="Times New Roman"/>
          <w:b/>
          <w:color w:val="000000" w:themeColor="text1"/>
          <w:sz w:val="24"/>
          <w:szCs w:val="24"/>
        </w:rPr>
        <w:lastRenderedPageBreak/>
        <w:t>REFERENCES</w:t>
      </w:r>
      <w:bookmarkEnd w:id="533"/>
      <w:bookmarkEnd w:id="534"/>
    </w:p>
    <w:p w14:paraId="05E5B8F8" w14:textId="77777777" w:rsidR="00CB079C" w:rsidRPr="00A65F60" w:rsidRDefault="00CB079C" w:rsidP="00A65F60">
      <w:pPr>
        <w:pStyle w:val="ListParagraph"/>
        <w:numPr>
          <w:ilvl w:val="0"/>
          <w:numId w:val="42"/>
        </w:numPr>
        <w:ind w:hanging="630"/>
        <w:jc w:val="both"/>
        <w:rPr>
          <w:color w:val="000000" w:themeColor="text1"/>
        </w:rPr>
      </w:pPr>
      <w:r w:rsidRPr="00A65F60">
        <w:rPr>
          <w:iCs/>
          <w:color w:val="000000" w:themeColor="text1"/>
        </w:rPr>
        <w:t>Acorn Tourism Consulting Ltd, 2018. Analysis of the Tourism Value Chain in Zambia. Final Report Prepared for: CBI Netherlands.</w:t>
      </w:r>
    </w:p>
    <w:p w14:paraId="667CC59D"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Ali Romdhani, Monica Coll Besa, Dianne Scott, Sukaina Bharwani, 2018. Zambia’s adaptation to climate change. Discussion Brief. Stockholm Environment Institute.</w:t>
      </w:r>
    </w:p>
    <w:p w14:paraId="6FA7FD8D" w14:textId="77777777" w:rsidR="00CB079C" w:rsidRPr="00A65F60" w:rsidRDefault="00CB079C" w:rsidP="00A65F60">
      <w:pPr>
        <w:pStyle w:val="ListParagraph"/>
        <w:numPr>
          <w:ilvl w:val="0"/>
          <w:numId w:val="42"/>
        </w:numPr>
        <w:ind w:hanging="630"/>
        <w:jc w:val="both"/>
        <w:rPr>
          <w:color w:val="000000" w:themeColor="text1"/>
          <w:lang w:eastAsia="x-none"/>
        </w:rPr>
      </w:pPr>
      <w:r w:rsidRPr="00A65F60">
        <w:rPr>
          <w:color w:val="000000" w:themeColor="text1"/>
          <w:lang w:eastAsia="x-none"/>
        </w:rPr>
        <w:t>Banda A, Simukoko l., Mwenda H, 2019. A review of wind resource potential for grid scale power generation in Zambia.</w:t>
      </w:r>
      <w:r w:rsidRPr="00A65F60">
        <w:t xml:space="preserve"> </w:t>
      </w:r>
      <w:r w:rsidRPr="00A65F60">
        <w:rPr>
          <w:color w:val="000000" w:themeColor="text1"/>
          <w:lang w:eastAsia="x-none"/>
        </w:rPr>
        <w:t>Unesco 6</w:t>
      </w:r>
      <w:r w:rsidRPr="00A65F60">
        <w:rPr>
          <w:color w:val="000000" w:themeColor="text1"/>
          <w:vertAlign w:val="superscript"/>
          <w:lang w:eastAsia="x-none"/>
        </w:rPr>
        <w:t>th</w:t>
      </w:r>
      <w:r w:rsidRPr="00A65F60">
        <w:rPr>
          <w:color w:val="000000" w:themeColor="text1"/>
          <w:lang w:eastAsia="x-none"/>
        </w:rPr>
        <w:t xml:space="preserve"> Africa Engineering Week and 4th Africa Engineering Conference Proceedings, Livingstone, Zambia.</w:t>
      </w:r>
    </w:p>
    <w:p w14:paraId="78F2C1F8" w14:textId="77777777" w:rsidR="00CB079C" w:rsidRPr="00A65F60" w:rsidRDefault="00CB079C" w:rsidP="00A65F60">
      <w:pPr>
        <w:pStyle w:val="ListParagraph"/>
        <w:numPr>
          <w:ilvl w:val="0"/>
          <w:numId w:val="42"/>
        </w:numPr>
        <w:ind w:hanging="630"/>
        <w:jc w:val="both"/>
        <w:rPr>
          <w:color w:val="000000" w:themeColor="text1"/>
          <w:lang w:eastAsia="x-none"/>
        </w:rPr>
      </w:pPr>
      <w:r w:rsidRPr="00A65F60">
        <w:rPr>
          <w:color w:val="000000" w:themeColor="text1"/>
          <w:lang w:eastAsia="x-none"/>
        </w:rPr>
        <w:t>Caesar Cheelo and Robert Liebenthal, 2018. The role of the construction sector in influencing natural resource use, structural change, and industrial development in Zambia. WIDER Working Paper 2018/172. United Nations University, UNU-WIDER.</w:t>
      </w:r>
    </w:p>
    <w:p w14:paraId="19CCC127"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 xml:space="preserve">Central Statistical Office, 2015. Living Conditions Monitoring Survey (LCMS)Report. </w:t>
      </w:r>
      <w:hyperlink r:id="rId88">
        <w:r w:rsidRPr="00A65F60">
          <w:rPr>
            <w:color w:val="000000" w:themeColor="text1"/>
            <w:u w:val="single"/>
          </w:rPr>
          <w:t>www.Zamstats.gov.zm</w:t>
        </w:r>
      </w:hyperlink>
    </w:p>
    <w:p w14:paraId="1FCF9091"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Central Statistical Office, 2014. Crop Forecasting Survey Data (2000 – 2014),, GRZ, Lusaka Zambia.</w:t>
      </w:r>
    </w:p>
    <w:p w14:paraId="3F3B55C6"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Central Statistical Office</w:t>
      </w:r>
      <w:r w:rsidRPr="00A65F60">
        <w:rPr>
          <w:color w:val="000000" w:themeColor="text1"/>
          <w:lang w:eastAsia="x-none"/>
        </w:rPr>
        <w:t>, 2016. Living Conditions Monitoring Survey Report. GRZ, Lusaka, Zambia.</w:t>
      </w:r>
    </w:p>
    <w:p w14:paraId="264CF547" w14:textId="77777777" w:rsidR="00CB079C" w:rsidRPr="00A65F60" w:rsidRDefault="00CB079C" w:rsidP="00A65F60">
      <w:pPr>
        <w:pStyle w:val="ListParagraph"/>
        <w:numPr>
          <w:ilvl w:val="0"/>
          <w:numId w:val="42"/>
        </w:numPr>
        <w:ind w:hanging="630"/>
        <w:jc w:val="both"/>
        <w:rPr>
          <w:color w:val="000000" w:themeColor="text1"/>
          <w:lang w:eastAsia="x-none"/>
        </w:rPr>
      </w:pPr>
      <w:r w:rsidRPr="00A65F60">
        <w:rPr>
          <w:color w:val="000000" w:themeColor="text1"/>
        </w:rPr>
        <w:t>Central Statistical Office</w:t>
      </w:r>
      <w:r w:rsidRPr="00A65F60">
        <w:rPr>
          <w:color w:val="000000" w:themeColor="text1"/>
          <w:lang w:eastAsia="x-none"/>
        </w:rPr>
        <w:t xml:space="preserve">, 2018. Zambia in Figures 2018. Published by Central Statistical Office Information, Research and Dissemination Division, Lusaka, Zambia </w:t>
      </w:r>
    </w:p>
    <w:p w14:paraId="198F4C4F" w14:textId="77777777" w:rsidR="00CB079C" w:rsidRPr="00A65F60" w:rsidRDefault="00CB079C" w:rsidP="00A65F60">
      <w:pPr>
        <w:pStyle w:val="ListParagraph"/>
        <w:numPr>
          <w:ilvl w:val="0"/>
          <w:numId w:val="42"/>
        </w:numPr>
        <w:ind w:hanging="630"/>
        <w:jc w:val="both"/>
        <w:rPr>
          <w:color w:val="000000" w:themeColor="text1"/>
          <w:lang w:eastAsia="x-none"/>
        </w:rPr>
      </w:pPr>
      <w:r w:rsidRPr="00A65F60">
        <w:rPr>
          <w:color w:val="000000" w:themeColor="text1"/>
        </w:rPr>
        <w:t>Central Statistical Office</w:t>
      </w:r>
      <w:r w:rsidRPr="00A65F60">
        <w:rPr>
          <w:color w:val="000000" w:themeColor="text1"/>
          <w:lang w:eastAsia="x-none"/>
        </w:rPr>
        <w:t>, 2018. 2017 Labour Force Survey Report, Lusaka, Zambia</w:t>
      </w:r>
    </w:p>
    <w:p w14:paraId="282F5CFD" w14:textId="77777777" w:rsidR="00CB079C" w:rsidRPr="00A65F60" w:rsidRDefault="00CB079C" w:rsidP="00A65F60">
      <w:pPr>
        <w:pStyle w:val="ListParagraph"/>
        <w:numPr>
          <w:ilvl w:val="0"/>
          <w:numId w:val="42"/>
        </w:numPr>
        <w:ind w:hanging="630"/>
        <w:jc w:val="both"/>
        <w:rPr>
          <w:color w:val="000000" w:themeColor="text1"/>
          <w:lang w:eastAsia="x-none"/>
        </w:rPr>
      </w:pPr>
      <w:r w:rsidRPr="00A65F60">
        <w:rPr>
          <w:color w:val="000000" w:themeColor="text1"/>
        </w:rPr>
        <w:t>Central Statistical Office</w:t>
      </w:r>
      <w:r w:rsidRPr="00A65F60">
        <w:rPr>
          <w:color w:val="000000" w:themeColor="text1"/>
          <w:lang w:eastAsia="x-none"/>
        </w:rPr>
        <w:t>, 2019. 2018 Labour Force Survey Report, Lusaka, Zambia</w:t>
      </w:r>
    </w:p>
    <w:p w14:paraId="28A5A41A" w14:textId="77777777" w:rsidR="00CB079C" w:rsidRPr="00A65F60" w:rsidRDefault="00CB079C" w:rsidP="00A65F60">
      <w:pPr>
        <w:pStyle w:val="ListParagraph"/>
        <w:numPr>
          <w:ilvl w:val="0"/>
          <w:numId w:val="42"/>
        </w:numPr>
        <w:ind w:hanging="630"/>
        <w:jc w:val="both"/>
        <w:rPr>
          <w:color w:val="000000" w:themeColor="text1"/>
          <w:lang w:eastAsia="x-none"/>
        </w:rPr>
      </w:pPr>
      <w:r w:rsidRPr="00A65F60">
        <w:rPr>
          <w:color w:val="000000" w:themeColor="text1"/>
          <w:lang w:eastAsia="x-none"/>
        </w:rPr>
        <w:t>Dinh, HinH T. 2013. Light Manufacturing in Zambia: Job Creation and Prosperity in a Resource-Based Economy. Directions in Development. Washington, DC: World Bank. doi:10.1596/978-0-8213-9935-4. License: Creative Commons Attribution CC BY 3.0</w:t>
      </w:r>
    </w:p>
    <w:p w14:paraId="7C136FEA"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lang w:eastAsia="x-none"/>
        </w:rPr>
        <w:t>Energy Regulatory Board,</w:t>
      </w:r>
      <w:r w:rsidRPr="00A65F60">
        <w:rPr>
          <w:color w:val="000000" w:themeColor="text1"/>
        </w:rPr>
        <w:t>, 2016</w:t>
      </w:r>
      <w:r w:rsidRPr="00A65F60">
        <w:rPr>
          <w:color w:val="000000" w:themeColor="text1"/>
          <w:vertAlign w:val="superscript"/>
        </w:rPr>
        <w:t>b</w:t>
      </w:r>
      <w:r w:rsidRPr="00A65F60">
        <w:rPr>
          <w:color w:val="000000" w:themeColor="text1"/>
        </w:rPr>
        <w:t>: Zambian Distribution Grid Code, Energy Regulation Board (ERB), Zambia.</w:t>
      </w:r>
    </w:p>
    <w:p w14:paraId="1D43A0C3"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lang w:eastAsia="x-none"/>
        </w:rPr>
        <w:t>Energy Regulatory Board,</w:t>
      </w:r>
      <w:r w:rsidRPr="00A65F60">
        <w:rPr>
          <w:color w:val="000000" w:themeColor="text1"/>
        </w:rPr>
        <w:t>, 2017. Energy Sector Report 2017, Energy Regulation Board (ERB), Zambia.</w:t>
      </w:r>
    </w:p>
    <w:p w14:paraId="7C577148" w14:textId="77777777" w:rsidR="00CB079C" w:rsidRPr="00A65F60" w:rsidRDefault="00CB079C" w:rsidP="00A65F60">
      <w:pPr>
        <w:pStyle w:val="ListParagraph"/>
        <w:numPr>
          <w:ilvl w:val="0"/>
          <w:numId w:val="42"/>
        </w:numPr>
        <w:ind w:hanging="630"/>
        <w:jc w:val="both"/>
        <w:rPr>
          <w:color w:val="000000" w:themeColor="text1"/>
          <w:lang w:eastAsia="x-none"/>
        </w:rPr>
      </w:pPr>
      <w:r w:rsidRPr="00A65F60">
        <w:rPr>
          <w:color w:val="000000" w:themeColor="text1"/>
          <w:lang w:eastAsia="x-none"/>
        </w:rPr>
        <w:t>Energy Regulatory Board,, 2018. Energy Sector Report 2018. Energy Regulation Board (ERB), Zambia.</w:t>
      </w:r>
    </w:p>
    <w:p w14:paraId="764BD322" w14:textId="77777777" w:rsidR="00CB079C" w:rsidRPr="00A65F60" w:rsidRDefault="00CB079C" w:rsidP="00A65F60">
      <w:pPr>
        <w:pStyle w:val="ListParagraph"/>
        <w:numPr>
          <w:ilvl w:val="0"/>
          <w:numId w:val="42"/>
        </w:numPr>
        <w:ind w:hanging="630"/>
        <w:rPr>
          <w:color w:val="000000" w:themeColor="text1"/>
          <w:u w:val="single"/>
        </w:rPr>
      </w:pPr>
      <w:r w:rsidRPr="00A65F60">
        <w:rPr>
          <w:color w:val="000000" w:themeColor="text1"/>
        </w:rPr>
        <w:t xml:space="preserve">ESMAP, 2019: </w:t>
      </w:r>
      <w:hyperlink r:id="rId89" w:history="1">
        <w:r w:rsidRPr="00A65F60">
          <w:rPr>
            <w:color w:val="000000" w:themeColor="text1"/>
            <w:u w:val="single"/>
          </w:rPr>
          <w:t>https://www.esmap.org/sites/default/files/esmap-files/Rpt_householdenergyuseindevelopingcountriescomplete.pdf</w:t>
        </w:r>
      </w:hyperlink>
    </w:p>
    <w:p w14:paraId="6AEA8D04" w14:textId="77777777" w:rsidR="00CB079C" w:rsidRPr="00A65F60" w:rsidRDefault="00CB079C" w:rsidP="00A65F60">
      <w:pPr>
        <w:pStyle w:val="ListParagraph"/>
        <w:numPr>
          <w:ilvl w:val="0"/>
          <w:numId w:val="42"/>
        </w:numPr>
        <w:ind w:hanging="630"/>
        <w:rPr>
          <w:color w:val="000000" w:themeColor="text1"/>
          <w:lang w:eastAsia="x-none"/>
        </w:rPr>
      </w:pPr>
      <w:r w:rsidRPr="00A65F60">
        <w:rPr>
          <w:color w:val="000000" w:themeColor="text1"/>
          <w:lang w:eastAsia="x-none"/>
        </w:rPr>
        <w:t xml:space="preserve">European Union, 2019. </w:t>
      </w:r>
      <w:hyperlink r:id="rId90" w:history="1">
        <w:r w:rsidRPr="00A65F60">
          <w:rPr>
            <w:rStyle w:val="Hyperlink"/>
            <w:rFonts w:eastAsiaTheme="majorEastAsia"/>
            <w:lang w:eastAsia="x-none"/>
          </w:rPr>
          <w:t>https://ec.europa.eu/europeaid/case-studies/conservation-agriculture_en</w:t>
        </w:r>
      </w:hyperlink>
    </w:p>
    <w:p w14:paraId="4093056F" w14:textId="77777777" w:rsidR="00CB079C" w:rsidRPr="00A65F60" w:rsidRDefault="00CB079C" w:rsidP="00A65F60">
      <w:pPr>
        <w:pStyle w:val="ListParagraph"/>
        <w:numPr>
          <w:ilvl w:val="0"/>
          <w:numId w:val="42"/>
        </w:numPr>
        <w:ind w:hanging="630"/>
        <w:jc w:val="both"/>
        <w:rPr>
          <w:color w:val="000000" w:themeColor="text1"/>
          <w:lang w:eastAsia="x-none"/>
        </w:rPr>
      </w:pPr>
      <w:r w:rsidRPr="00A65F60">
        <w:rPr>
          <w:color w:val="000000" w:themeColor="text1"/>
          <w:lang w:val="x-none" w:eastAsia="x-none"/>
        </w:rPr>
        <w:t>European Capacity Building Initiative (ecbi)</w:t>
      </w:r>
      <w:r w:rsidRPr="00A65F60">
        <w:rPr>
          <w:color w:val="000000" w:themeColor="text1"/>
          <w:lang w:eastAsia="x-none"/>
        </w:rPr>
        <w:t xml:space="preserve">, 2018. Pocket Guide to Capacity Building. </w:t>
      </w:r>
    </w:p>
    <w:p w14:paraId="4ED82FDA"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Food and Agriculture Organisation, 1997. Estimating biomass change of tropical forests; a Primer (FAO Forestry Paper-134)</w:t>
      </w:r>
    </w:p>
    <w:p w14:paraId="4F6C46F3" w14:textId="77777777" w:rsidR="00CB079C" w:rsidRPr="00A65F60" w:rsidRDefault="00CB079C" w:rsidP="00A65F60">
      <w:pPr>
        <w:pStyle w:val="ListParagraph"/>
        <w:numPr>
          <w:ilvl w:val="0"/>
          <w:numId w:val="42"/>
        </w:numPr>
        <w:ind w:hanging="630"/>
        <w:jc w:val="both"/>
        <w:rPr>
          <w:color w:val="000000" w:themeColor="text1"/>
        </w:rPr>
      </w:pPr>
      <w:bookmarkStart w:id="535" w:name="_Hlk56463814"/>
      <w:r w:rsidRPr="00A65F60">
        <w:rPr>
          <w:color w:val="000000" w:themeColor="text1"/>
        </w:rPr>
        <w:t>Food and Agriculture Organization of the United Nations</w:t>
      </w:r>
      <w:bookmarkEnd w:id="535"/>
      <w:r w:rsidRPr="00A65F60">
        <w:rPr>
          <w:color w:val="000000" w:themeColor="text1"/>
        </w:rPr>
        <w:t>, 2014a. Bioenergy and Food Security Rapid Appraisal (BEFs Ra) User Manual Crop Residues and Livestock Residues</w:t>
      </w:r>
    </w:p>
    <w:p w14:paraId="5394857D"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Food and Agriculture Organization of the United Nations, 2014b. Estimating Greenhouse Gas Emissions in Agriculture, A Manual to Address Data Requirements for Developing Countries</w:t>
      </w:r>
    </w:p>
    <w:p w14:paraId="293B373D"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Food and Agriculture Organization of the United Nations, 2019. Climate-change vulnerability in rural Zambia: The impact of an El Niño-induced shock on income and productivity.</w:t>
      </w:r>
    </w:p>
    <w:p w14:paraId="53F17C87" w14:textId="77777777" w:rsidR="00CB079C" w:rsidRPr="00A65F60" w:rsidRDefault="00CB079C" w:rsidP="00A65F60">
      <w:pPr>
        <w:pStyle w:val="ListParagraph"/>
        <w:numPr>
          <w:ilvl w:val="0"/>
          <w:numId w:val="42"/>
        </w:numPr>
        <w:ind w:hanging="630"/>
        <w:jc w:val="both"/>
        <w:rPr>
          <w:color w:val="000000" w:themeColor="text1"/>
          <w:lang w:eastAsia="x-none"/>
        </w:rPr>
      </w:pPr>
      <w:r w:rsidRPr="00A65F60">
        <w:rPr>
          <w:color w:val="000000" w:themeColor="text1"/>
          <w:lang w:eastAsia="x-none"/>
        </w:rPr>
        <w:t>Government of the Republic of Zambia. (2018).GET.invest, 2020. https://www.get-invest.eu/market-information/zambia/renewable-energy-potential/ 6th August 2020</w:t>
      </w:r>
    </w:p>
    <w:p w14:paraId="15232656"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lastRenderedPageBreak/>
        <w:t xml:space="preserve">Government of the Republic of Zambia (2004) National Agricultural Policy (2004 2015). Ministry of agriculture and cooperatives. </w:t>
      </w:r>
    </w:p>
    <w:p w14:paraId="26392EB0"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Government of the Republic of Zambia, 2006. Vision 2030 "A prosperous Middle-Income nation".</w:t>
      </w:r>
    </w:p>
    <w:p w14:paraId="55B8CE1B"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Government of the Republic of Zambia, 2011. Sixth National Development Plan 2011 - 2015 ‘Sustained Economic Growth and Poverty Reduction”. Ministry of Finance and National Planning.</w:t>
      </w:r>
    </w:p>
    <w:p w14:paraId="62B01E63"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Government of the Republic of Zambia, 2013. Zambia Agriculture Investment Opportunities Brief. CAADP Investment Facilitation Programme</w:t>
      </w:r>
    </w:p>
    <w:p w14:paraId="7975D9E5"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 xml:space="preserve">Government of the Republic of Zambia, 2014. Revised Sixth National Development Plan 2013-2016.  Ministry of Finance National Planning Department Ministry of Finance, Lusaka. </w:t>
      </w:r>
      <w:hyperlink r:id="rId91" w:history="1">
        <w:r w:rsidRPr="00A65F60">
          <w:rPr>
            <w:rStyle w:val="Hyperlink"/>
            <w:rFonts w:eastAsiaTheme="majorEastAsia"/>
          </w:rPr>
          <w:t>www.mofnp.gov.zm</w:t>
        </w:r>
      </w:hyperlink>
    </w:p>
    <w:p w14:paraId="45E3CFE3" w14:textId="7B8DC54A"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Government of the Republic of Zambia, 2014. Ministry of Agriculture Farmer Input Support Programme</w:t>
      </w:r>
      <w:r w:rsidR="002E2B09">
        <w:rPr>
          <w:color w:val="000000" w:themeColor="text1"/>
        </w:rPr>
        <w:t xml:space="preserve"> </w:t>
      </w:r>
      <w:r w:rsidRPr="00A65F60">
        <w:rPr>
          <w:color w:val="000000" w:themeColor="text1"/>
        </w:rPr>
        <w:t>(FISP) Implementation Manual, Lusaka, Zambia,</w:t>
      </w:r>
    </w:p>
    <w:p w14:paraId="72BAB85F"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Government of the Republic of Zambia, 2016, Second National Agricultural Policy.  Ministry of Agriculture-Fisheries and Livestock.</w:t>
      </w:r>
    </w:p>
    <w:p w14:paraId="367E559C"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Government of the Republic of Zambia Ministry of Agriculture and Livestock (2013) Zambia National Agriculture Investment Plan (NAIP) 2014-2018</w:t>
      </w:r>
    </w:p>
    <w:p w14:paraId="4E5C0D3A"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 xml:space="preserve">Government of the Republic of Zambia, 2017. </w:t>
      </w:r>
      <w:r w:rsidRPr="00A65F60">
        <w:rPr>
          <w:color w:val="000000" w:themeColor="text1"/>
          <w:lang w:eastAsia="x-none"/>
        </w:rPr>
        <w:t>Zambia Seventh National Development Plan, 2017 – 2021. GRZ, Lusaka, Zambia.</w:t>
      </w:r>
      <w:r w:rsidRPr="00A65F60">
        <w:rPr>
          <w:color w:val="000000" w:themeColor="text1"/>
        </w:rPr>
        <w:t xml:space="preserve"> </w:t>
      </w:r>
    </w:p>
    <w:p w14:paraId="56D64B5B"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Government of the Republic of Zambia, Ministry of Lands and Natural Resources, 2018. National Investment Plan to Reduce Deforestation and Forest Degradation 2018-2022.</w:t>
      </w:r>
    </w:p>
    <w:p w14:paraId="39A865CE" w14:textId="77777777" w:rsidR="00CB079C" w:rsidRPr="00A65F60" w:rsidRDefault="00CB079C" w:rsidP="00A65F60">
      <w:pPr>
        <w:pStyle w:val="ListParagraph"/>
        <w:numPr>
          <w:ilvl w:val="0"/>
          <w:numId w:val="42"/>
        </w:numPr>
        <w:ind w:hanging="630"/>
        <w:jc w:val="both"/>
        <w:rPr>
          <w:color w:val="000000" w:themeColor="text1"/>
        </w:rPr>
      </w:pPr>
      <w:r w:rsidRPr="00A65F60">
        <w:rPr>
          <w:color w:val="000000" w:themeColor="text1"/>
        </w:rPr>
        <w:t>Government of the Republic of Zambia, Ministry of Lands and Natural Resources, 2015. National Strategy to Reduce Emissions from Deforestation and Forest Degradation (REDD+).</w:t>
      </w:r>
    </w:p>
    <w:p w14:paraId="6BAD91AC" w14:textId="77777777" w:rsidR="00CB079C" w:rsidRPr="00A65F60" w:rsidRDefault="00CB079C" w:rsidP="00A65F60">
      <w:pPr>
        <w:pStyle w:val="ListParagraph"/>
        <w:numPr>
          <w:ilvl w:val="0"/>
          <w:numId w:val="42"/>
        </w:numPr>
        <w:ind w:hanging="630"/>
        <w:jc w:val="both"/>
        <w:rPr>
          <w:color w:val="000000" w:themeColor="text1"/>
          <w:lang w:eastAsia="x-none"/>
        </w:rPr>
      </w:pPr>
      <w:r w:rsidRPr="00A65F60">
        <w:rPr>
          <w:color w:val="000000" w:themeColor="text1"/>
        </w:rPr>
        <w:t>Government of the Republic of Zambia,</w:t>
      </w:r>
      <w:r w:rsidRPr="00A65F60">
        <w:rPr>
          <w:color w:val="000000" w:themeColor="text1"/>
          <w:lang w:eastAsia="x-none"/>
        </w:rPr>
        <w:t xml:space="preserve"> 2018. National Investment Plan to Reduce Deforestation and Forest Degradation 2018 -2022.  </w:t>
      </w:r>
    </w:p>
    <w:p w14:paraId="1326B00A" w14:textId="77777777" w:rsidR="00CB079C" w:rsidRPr="00A65F60" w:rsidRDefault="00CB079C" w:rsidP="00A65F60">
      <w:pPr>
        <w:pStyle w:val="ListParagraph"/>
        <w:numPr>
          <w:ilvl w:val="0"/>
          <w:numId w:val="42"/>
        </w:numPr>
        <w:ind w:hanging="630"/>
        <w:jc w:val="both"/>
        <w:rPr>
          <w:color w:val="000000" w:themeColor="text1"/>
          <w:lang w:eastAsia="x-none"/>
        </w:rPr>
      </w:pPr>
      <w:r w:rsidRPr="00A65F60">
        <w:rPr>
          <w:color w:val="000000" w:themeColor="text1"/>
          <w:lang w:eastAsia="x-none"/>
        </w:rPr>
        <w:t>Integrated Land Use Assessment Phase II, 2016.  Report for Zambia. The Food and Agriculture Organization of the United Nations and the Forestry Department, Ministry of Lands and Natural Resources, Lusaka, Zambia.</w:t>
      </w:r>
    </w:p>
    <w:p w14:paraId="74F63103" w14:textId="77777777" w:rsidR="00CB079C" w:rsidRPr="00A65F60" w:rsidRDefault="00CB079C" w:rsidP="00A65F60">
      <w:pPr>
        <w:pStyle w:val="ListParagraph"/>
        <w:numPr>
          <w:ilvl w:val="0"/>
          <w:numId w:val="42"/>
        </w:numPr>
        <w:ind w:hanging="630"/>
        <w:jc w:val="both"/>
        <w:rPr>
          <w:color w:val="000000" w:themeColor="text1"/>
          <w:lang w:eastAsia="x-none"/>
        </w:rPr>
      </w:pPr>
      <w:r w:rsidRPr="00A65F60">
        <w:rPr>
          <w:color w:val="000000" w:themeColor="text1"/>
          <w:lang w:eastAsia="x-none"/>
        </w:rPr>
        <w:t xml:space="preserve">IRENA, 2019. https://www.irena.org/costs/Charts/Hydropower  </w:t>
      </w:r>
    </w:p>
    <w:p w14:paraId="13839AA3" w14:textId="77777777" w:rsidR="00CB079C" w:rsidRPr="00A65F60" w:rsidRDefault="00CB079C" w:rsidP="00A65F60">
      <w:pPr>
        <w:pStyle w:val="ListParagraph"/>
        <w:numPr>
          <w:ilvl w:val="0"/>
          <w:numId w:val="42"/>
        </w:numPr>
        <w:tabs>
          <w:tab w:val="left" w:pos="1701"/>
        </w:tabs>
        <w:suppressAutoHyphens/>
        <w:spacing w:after="120"/>
        <w:ind w:right="1134" w:hanging="630"/>
        <w:jc w:val="both"/>
        <w:rPr>
          <w:rFonts w:eastAsia="SimSun"/>
          <w:color w:val="000000" w:themeColor="text1"/>
          <w:lang w:val="en-GB" w:eastAsia="zh-CN"/>
        </w:rPr>
      </w:pPr>
      <w:r w:rsidRPr="00A65F60">
        <w:rPr>
          <w:rFonts w:eastAsia="SimSun"/>
          <w:color w:val="000000" w:themeColor="text1"/>
          <w:lang w:val="en-GB" w:eastAsia="zh-CN"/>
        </w:rPr>
        <w:t>Lusaka City Council, Ministry of Local Government and Housing and Japan International Cooperation Agency (2009). Comprehensive Urban Development Plan for the City of Lusaka. Summary.</w:t>
      </w:r>
    </w:p>
    <w:p w14:paraId="5A7B4CB5" w14:textId="77777777" w:rsidR="00CB079C" w:rsidRPr="00A65F60" w:rsidRDefault="00CB079C" w:rsidP="00A65F60">
      <w:pPr>
        <w:pStyle w:val="ListParagraph"/>
        <w:numPr>
          <w:ilvl w:val="0"/>
          <w:numId w:val="42"/>
        </w:numPr>
        <w:tabs>
          <w:tab w:val="left" w:pos="1701"/>
        </w:tabs>
        <w:suppressAutoHyphens/>
        <w:spacing w:after="120"/>
        <w:ind w:right="1134" w:hanging="630"/>
        <w:jc w:val="both"/>
        <w:rPr>
          <w:rFonts w:eastAsia="SimSun"/>
          <w:color w:val="000000" w:themeColor="text1"/>
          <w:lang w:val="en-GB" w:eastAsia="zh-CN"/>
        </w:rPr>
      </w:pPr>
      <w:r w:rsidRPr="00A65F60">
        <w:rPr>
          <w:rFonts w:eastAsia="SimSun"/>
          <w:color w:val="000000" w:themeColor="text1"/>
          <w:lang w:val="en-GB" w:eastAsia="zh-CN"/>
        </w:rPr>
        <w:t>Ministry of Commerce Trade and Industry. (MCTI), 2014. 2011-2012 Manufacturing Sector Study Report. Lusaka, Zambia.</w:t>
      </w:r>
    </w:p>
    <w:p w14:paraId="2CFCE03B" w14:textId="77777777" w:rsidR="00CB079C" w:rsidRPr="00A65F60" w:rsidRDefault="00CB079C" w:rsidP="00A65F60">
      <w:pPr>
        <w:pStyle w:val="ListParagraph"/>
        <w:numPr>
          <w:ilvl w:val="0"/>
          <w:numId w:val="42"/>
        </w:numPr>
        <w:tabs>
          <w:tab w:val="left" w:pos="1701"/>
        </w:tabs>
        <w:suppressAutoHyphens/>
        <w:spacing w:after="120"/>
        <w:ind w:right="1134" w:hanging="630"/>
        <w:jc w:val="both"/>
        <w:rPr>
          <w:rFonts w:eastAsia="SimSun"/>
          <w:color w:val="000000" w:themeColor="text1"/>
          <w:lang w:val="en-GB" w:eastAsia="zh-CN"/>
        </w:rPr>
      </w:pPr>
      <w:r w:rsidRPr="00A65F60">
        <w:rPr>
          <w:rFonts w:eastAsia="SimSun"/>
          <w:color w:val="000000" w:themeColor="text1"/>
          <w:lang w:val="en-GB" w:eastAsia="zh-CN"/>
        </w:rPr>
        <w:t>Ministry of Commerce Trade and Industry (MCTI, 2019). Statistical Bulletin First Half of 2019, Volume 5. Ministry of Commerce Trade and Industry, Department of Planning and Information.</w:t>
      </w:r>
    </w:p>
    <w:p w14:paraId="49DD8DA2"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Ministry of Energy, 2018. Scaling-Up Renewable Energy Programmes (SREP) Investment Plan for Zambia.</w:t>
      </w:r>
    </w:p>
    <w:p w14:paraId="3E34242E"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Ministry of Energy: 2018 Annual Progress Report, Lusaka, Zambia</w:t>
      </w:r>
    </w:p>
    <w:p w14:paraId="0F3491D9"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Ministry of Tourism and Arts (MOTA), 2018. National Parks and Wildlife Policy. Republic of Zambia, Lusaka, Zambia.</w:t>
      </w:r>
    </w:p>
    <w:p w14:paraId="2167BF82" w14:textId="77777777" w:rsidR="00CB079C" w:rsidRPr="00A65F60" w:rsidRDefault="00CB079C" w:rsidP="00A65F60">
      <w:pPr>
        <w:pStyle w:val="ListParagraph"/>
        <w:numPr>
          <w:ilvl w:val="0"/>
          <w:numId w:val="42"/>
        </w:numPr>
        <w:tabs>
          <w:tab w:val="left" w:pos="1701"/>
        </w:tabs>
        <w:suppressAutoHyphens/>
        <w:spacing w:after="120"/>
        <w:ind w:right="1134" w:hanging="630"/>
        <w:jc w:val="both"/>
        <w:rPr>
          <w:rFonts w:eastAsia="SimSun"/>
          <w:color w:val="000000" w:themeColor="text1"/>
          <w:lang w:val="en-GB" w:eastAsia="zh-CN"/>
        </w:rPr>
      </w:pPr>
      <w:r w:rsidRPr="00A65F60">
        <w:rPr>
          <w:rFonts w:eastAsia="SimSun"/>
          <w:color w:val="000000" w:themeColor="text1"/>
          <w:lang w:val="en-GB" w:eastAsia="zh-CN"/>
        </w:rPr>
        <w:t>Ministry of Tourism, Environment and Natural Resources (MTENR).  2007.  Formulation of the National Adaptation Plan of Action (NAPA)   on Climate Change.  Final Report.  MTENR, 58 pp</w:t>
      </w:r>
    </w:p>
    <w:p w14:paraId="130FD671"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lastRenderedPageBreak/>
        <w:t>Ministry of Transport and Communication (MTC), 2019. National Transport Policy 2019.</w:t>
      </w:r>
    </w:p>
    <w:p w14:paraId="2DB428D6" w14:textId="59386A90" w:rsidR="00CB079C" w:rsidRPr="00A65F60" w:rsidRDefault="00E221A2"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MLNR, 2015</w:t>
      </w:r>
      <w:r w:rsidR="00CB079C" w:rsidRPr="00A65F60">
        <w:rPr>
          <w:rFonts w:eastAsia="SimSun"/>
          <w:color w:val="000000" w:themeColor="text1"/>
          <w:lang w:val="en-GB" w:eastAsia="zh-CN"/>
        </w:rPr>
        <w:t xml:space="preserve">; National Strategy for Reducing Emissions from Deforestation and Forest Degradation (REDD+)  </w:t>
      </w:r>
    </w:p>
    <w:p w14:paraId="5FF8FC51" w14:textId="77777777" w:rsidR="00CB079C" w:rsidRPr="00A65F60" w:rsidRDefault="00CB079C" w:rsidP="00A65F60">
      <w:pPr>
        <w:pStyle w:val="ListParagraph"/>
        <w:numPr>
          <w:ilvl w:val="0"/>
          <w:numId w:val="42"/>
        </w:numPr>
        <w:tabs>
          <w:tab w:val="left" w:pos="1701"/>
        </w:tabs>
        <w:suppressAutoHyphens/>
        <w:spacing w:after="120"/>
        <w:ind w:right="1134" w:hanging="630"/>
        <w:jc w:val="both"/>
        <w:rPr>
          <w:rFonts w:eastAsia="SimSun"/>
          <w:color w:val="000000" w:themeColor="text1"/>
          <w:lang w:val="en-GB" w:eastAsia="zh-CN"/>
        </w:rPr>
      </w:pPr>
      <w:r w:rsidRPr="00A65F60">
        <w:rPr>
          <w:rFonts w:eastAsia="SimSun"/>
          <w:color w:val="000000" w:themeColor="text1"/>
          <w:lang w:val="en-GB" w:eastAsia="zh-CN"/>
        </w:rPr>
        <w:t>MLNREP, 2017. Ministry of Lands Natural Resources and Environmental Protection Zambia’s Intended Nationally Determined Contribution (INDC) To The 2015 Agreement On Climate Change.</w:t>
      </w:r>
    </w:p>
    <w:p w14:paraId="5E560CEB"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MoTA, 2018. Tourism and Diversification: New Opportunities for Economic Growth and Diversification. Ministry of Tourism and Arts (MoTA). A presentation made at the Copperbelt Investment EXPO 25/06/2019.</w:t>
      </w:r>
    </w:p>
    <w:p w14:paraId="2D006552"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 xml:space="preserve">MoTA, 2017. Zambia Tourism Master Plan, 2018 to 2038. </w:t>
      </w:r>
    </w:p>
    <w:p w14:paraId="033BD1C9"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MTENR, 2011. National Climate Change Communication and Advocacy Strategy. Government of the Republic of Zambia, Ministry of Tourism, Environment and Natural Resources.</w:t>
      </w:r>
    </w:p>
    <w:p w14:paraId="7674A470"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 xml:space="preserve">NAMAs, 2014; Nationally Appropriate Mitigation Actions </w:t>
      </w:r>
    </w:p>
    <w:p w14:paraId="5AEC2D7D" w14:textId="662B2ED5"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Government of the Republic of Zambia, 2016</w:t>
      </w:r>
      <w:r w:rsidRPr="001F1576">
        <w:rPr>
          <w:rFonts w:eastAsia="SimSun"/>
          <w:color w:val="000000" w:themeColor="text1"/>
          <w:vertAlign w:val="superscript"/>
          <w:lang w:val="en-GB" w:eastAsia="zh-CN"/>
        </w:rPr>
        <w:t>b</w:t>
      </w:r>
      <w:r w:rsidRPr="00A65F60">
        <w:rPr>
          <w:rFonts w:eastAsia="SimSun"/>
          <w:color w:val="000000" w:themeColor="text1"/>
          <w:lang w:val="en-GB" w:eastAsia="zh-CN"/>
        </w:rPr>
        <w:t xml:space="preserve">. Transport Nationally Appropriate Mitigation Actions </w:t>
      </w:r>
      <w:r w:rsidR="001F1576">
        <w:rPr>
          <w:rFonts w:eastAsia="SimSun"/>
          <w:color w:val="000000" w:themeColor="text1"/>
          <w:lang w:val="en-GB" w:eastAsia="zh-CN"/>
        </w:rPr>
        <w:t>(</w:t>
      </w:r>
      <w:r w:rsidRPr="00A65F60">
        <w:rPr>
          <w:rFonts w:eastAsia="SimSun"/>
          <w:color w:val="000000" w:themeColor="text1"/>
          <w:lang w:val="en-GB" w:eastAsia="zh-CN"/>
        </w:rPr>
        <w:t>NAMA)</w:t>
      </w:r>
    </w:p>
    <w:p w14:paraId="7ACB8E1B"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 xml:space="preserve">NAP, 2014: The National Agriculture Policy of 2014 </w:t>
      </w:r>
    </w:p>
    <w:p w14:paraId="1BD19D4A"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 xml:space="preserve">National Strategy for Reducing Emissions from Deforestation and Forest Degradation (REDD+, 2015); </w:t>
      </w:r>
    </w:p>
    <w:p w14:paraId="4ECB9AAB"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NEP, 2019. National Energy Policy 2019. Ministry of Energy, Republic of Zambia.</w:t>
      </w:r>
    </w:p>
    <w:p w14:paraId="435366AB" w14:textId="75AF58D2"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 xml:space="preserve">NPCC, </w:t>
      </w:r>
      <w:r w:rsidR="00E221A2" w:rsidRPr="00A65F60">
        <w:rPr>
          <w:rFonts w:eastAsia="SimSun"/>
          <w:color w:val="000000" w:themeColor="text1"/>
          <w:lang w:val="en-GB" w:eastAsia="zh-CN"/>
        </w:rPr>
        <w:t>2016: National</w:t>
      </w:r>
      <w:r w:rsidRPr="00A65F60">
        <w:rPr>
          <w:rFonts w:eastAsia="SimSun"/>
          <w:color w:val="000000" w:themeColor="text1"/>
          <w:lang w:val="en-GB" w:eastAsia="zh-CN"/>
        </w:rPr>
        <w:t xml:space="preserve"> Policy on Climate Change </w:t>
      </w:r>
    </w:p>
    <w:p w14:paraId="362742D6"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 xml:space="preserve">NPE, 2007: National Policy on Environment </w:t>
      </w:r>
    </w:p>
    <w:p w14:paraId="5FD8855B"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Oghaiki Asaah Ndambi, David Everett Pelster, Jesse Omondi Owino, Fridtjof de Buisonjé and Theun Vellinga, 2019. Manure Management Practices and Policies in Sub-Saharan Africa: Implications on Manure Quality as a Fertilizer.</w:t>
      </w:r>
    </w:p>
    <w:p w14:paraId="3C335684"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Phillimon Ng’andwe; Jacob Mwitwa; Ambayeba Muimba-Kankolongo; Mathew K. Banda, 2015. Forest Policy, Economics and Markets in Zambia.</w:t>
      </w:r>
    </w:p>
    <w:p w14:paraId="20E0D5A1"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PMRC, 2018. Housing Development in Zambia within the framework of achieving Sustainable Development Goal (SDG) 11. Housing Briefing Document. Policy Monitoring and Research Centre (PMRC).</w:t>
      </w:r>
    </w:p>
    <w:p w14:paraId="2B27D150"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 xml:space="preserve">REA, 2019: </w:t>
      </w:r>
      <w:hyperlink r:id="rId92" w:history="1">
        <w:r w:rsidRPr="00A65F60">
          <w:rPr>
            <w:rFonts w:eastAsia="SimSun"/>
            <w:color w:val="000000" w:themeColor="text1"/>
            <w:lang w:val="en-GB" w:eastAsia="zh-CN"/>
          </w:rPr>
          <w:t>http://www.rea.org.zm/our-projects/solar-projects.html</w:t>
        </w:r>
      </w:hyperlink>
      <w:r w:rsidRPr="00A65F60">
        <w:rPr>
          <w:rFonts w:eastAsia="SimSun"/>
          <w:color w:val="000000" w:themeColor="text1"/>
          <w:lang w:val="en-GB" w:eastAsia="zh-CN"/>
        </w:rPr>
        <w:t xml:space="preserve"> </w:t>
      </w:r>
    </w:p>
    <w:p w14:paraId="57BD5B48"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Renouf, 2017. Water &amp; Sanitation for the Urban Poor. Public-Private Partnerships explained: Urban sanitation service delivery in Zambia. Funded by Bill &amp; Melinda Gates Foundation, the Stone Family Foundation, and Comic Relief</w:t>
      </w:r>
    </w:p>
    <w:p w14:paraId="1663B9BE"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 xml:space="preserve">Royd Vinya; Jacob Mwitwa; Exhilda Kasumu; Stephen Syampungani; Concilia Monde and Robby Kasubika, 2011. Preliminary Study on the drivers of Deforestation and Potential for REDD+ in Zambia. </w:t>
      </w:r>
    </w:p>
    <w:p w14:paraId="5144943F" w14:textId="21B08111"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 xml:space="preserve">Shakacite O.; Chungu, D; Ng’andwe,P; Chendauka, B; Siampale, A; Tavani, R; Roberts, W; Vesa, L, 2016. Integrated Land Use Assessment Phase II- Report for Zambia. The Food and Agriculture Organisation of the United Nations (FAO) and the Forestry Department, Ministry of Lands and Natural Resources, Lusaka, Zambia  </w:t>
      </w:r>
    </w:p>
    <w:p w14:paraId="20A9C118"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UNDP, 2013. Millennium Development Goals, Progress Report for Zambia.</w:t>
      </w:r>
    </w:p>
    <w:p w14:paraId="54C5410C"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 xml:space="preserve">UNDP, 2019. </w:t>
      </w:r>
      <w:hyperlink r:id="rId93" w:history="1">
        <w:r w:rsidRPr="00A65F60">
          <w:rPr>
            <w:rStyle w:val="Hyperlink"/>
            <w:rFonts w:eastAsia="SimSun"/>
            <w:lang w:val="en-GB" w:eastAsia="zh-CN"/>
          </w:rPr>
          <w:t>https://www.adaptation-undp.org/zambia-stepping-efforts-climate-resilient-future.  Accessed on 09/07/2019</w:t>
        </w:r>
      </w:hyperlink>
    </w:p>
    <w:p w14:paraId="4E154899"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UNDP, 2019. Human Development Report 2019. Inequalities in Human Development in the 21st Century. Briefing note for countries on the 2019 Human Development Report.</w:t>
      </w:r>
    </w:p>
    <w:p w14:paraId="06E50CFC"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lastRenderedPageBreak/>
        <w:t>UNFCCC, 2009. CDM Lusaka Sustainable Energy Project. Project Design Document Form (CDM-SSC-PDD), CDM – Executive Board.</w:t>
      </w:r>
    </w:p>
    <w:p w14:paraId="6FC295BD"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UNFCCC, 2013. Rural Electrification by Mujila Falls Lower Zambia Mini-hydropower station. Project Design Document Form (CDM-SSC-PDD), CDM – Executive Board.</w:t>
      </w:r>
    </w:p>
    <w:p w14:paraId="3FD21849"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UNFCCC, 2017. Improved Cookstoves Program for Zambia. Monitoring report form for CDM programme of activities (version 01.0). UNFCCC reference number of the PoA 8060. C-Quest Capital Malaysia Global Stoves Limited (CQC).</w:t>
      </w:r>
    </w:p>
    <w:p w14:paraId="18B8A87F"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UNFCCC, 2019. ACM0002 CDM methodology. Grid emission factor for SAPP</w:t>
      </w:r>
    </w:p>
    <w:p w14:paraId="4106A8FB"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Vinya, R, Syampungani, S, Kasumu, E.C, Monde, C. &amp; Kasubika, R, 2011. Preliminary Study on the Drivers of Deforestation and Potential for REDD+ in Zambia. A consultancy report prepared for Forestry Department and FAO under the national UN-REDD+ Programme Ministry of Lands and Natural Resources.</w:t>
      </w:r>
    </w:p>
    <w:p w14:paraId="4CA4BFF4"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 xml:space="preserve">World Bank, 2009. Carbon Finance Guide for Communities. Coordinated by Haddy J. Sey Task Team Leader, World Bank. Written by Maryanne Grieg-Gran, IIED Muyeye Chambwera, IIED Barry Kantor, </w:t>
      </w:r>
    </w:p>
    <w:p w14:paraId="6764BFD7"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 xml:space="preserve">World Bank 2019. Zambia Climate-Smart Agriculture Investment Plan: Analyses to Support the Climate-Smart Development of Zambia’s Agriculture Sector (English). Washington, D.C.: World Bank Group. </w:t>
      </w:r>
      <w:hyperlink r:id="rId94">
        <w:r w:rsidRPr="00A65F60">
          <w:rPr>
            <w:rFonts w:eastAsia="SimSun"/>
            <w:color w:val="000000" w:themeColor="text1"/>
            <w:lang w:val="en-GB" w:eastAsia="zh-CN"/>
          </w:rPr>
          <w:t>http://documents.worldbank.org/curated/en/358291552021231101/Zambia-Climate-Smart-Agriculture-Investment-Plan-Analyses-to-Support-the-Climate-Smart-Development-of-Zambia-s-Agriculture-Sector</w:t>
        </w:r>
      </w:hyperlink>
      <w:r w:rsidRPr="00A65F60">
        <w:rPr>
          <w:rFonts w:eastAsia="SimSun"/>
          <w:color w:val="000000" w:themeColor="text1"/>
          <w:lang w:val="en-GB" w:eastAsia="zh-CN"/>
        </w:rPr>
        <w:t>.</w:t>
      </w:r>
    </w:p>
    <w:p w14:paraId="3F636959"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Zambia Extractive Industries Transparancy Initiative (EITI), 2020. Zambia Extractive Industries Transparency Initiative 11th Zambia EITI Report.</w:t>
      </w:r>
    </w:p>
    <w:p w14:paraId="56D36FF5" w14:textId="77777777"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Zambia National Assembly, 2015. Ministerial Statement on the Road Development Programme in Zambia Vis-à-vis the Link Zambia 8000 and the benefits the country is so far experiencing. Statement made by Honorable Yamfwa Mukanga.</w:t>
      </w:r>
    </w:p>
    <w:p w14:paraId="6FC56D25" w14:textId="62EF67A6" w:rsidR="00CB079C" w:rsidRPr="00A65F60" w:rsidRDefault="00CB079C" w:rsidP="00A65F60">
      <w:pPr>
        <w:pStyle w:val="ListParagraph"/>
        <w:numPr>
          <w:ilvl w:val="0"/>
          <w:numId w:val="42"/>
        </w:numPr>
        <w:ind w:hanging="630"/>
        <w:jc w:val="both"/>
        <w:rPr>
          <w:rFonts w:eastAsia="SimSun"/>
          <w:color w:val="000000" w:themeColor="text1"/>
          <w:lang w:val="en-GB" w:eastAsia="zh-CN"/>
        </w:rPr>
      </w:pPr>
      <w:r w:rsidRPr="00A65F60">
        <w:rPr>
          <w:rFonts w:eastAsia="SimSun"/>
          <w:color w:val="000000" w:themeColor="text1"/>
          <w:lang w:val="en-GB" w:eastAsia="zh-CN"/>
        </w:rPr>
        <w:t>ZESCO, 2017. ZESCO Integrated Report 2017 page 20, Managing Director’s report item 4-social and relationship</w:t>
      </w:r>
    </w:p>
    <w:p w14:paraId="156832C9" w14:textId="4FFAE23A" w:rsidR="00E221A2" w:rsidRDefault="00E221A2" w:rsidP="00E221A2">
      <w:pPr>
        <w:pStyle w:val="ListParagraph"/>
        <w:spacing w:line="240" w:lineRule="auto"/>
        <w:jc w:val="both"/>
        <w:rPr>
          <w:rFonts w:ascii="Arial" w:eastAsia="SimSun" w:hAnsi="Arial" w:cs="Arial"/>
          <w:color w:val="000000" w:themeColor="text1"/>
          <w:lang w:val="en-GB" w:eastAsia="zh-CN"/>
        </w:rPr>
      </w:pPr>
    </w:p>
    <w:p w14:paraId="7AC9B7E5" w14:textId="77777777" w:rsidR="00E221A2" w:rsidRDefault="00E221A2" w:rsidP="00E221A2">
      <w:pPr>
        <w:pStyle w:val="ListParagraph"/>
        <w:spacing w:line="240" w:lineRule="auto"/>
        <w:jc w:val="both"/>
        <w:rPr>
          <w:rFonts w:ascii="Arial" w:eastAsia="SimSun" w:hAnsi="Arial" w:cs="Arial"/>
          <w:color w:val="000000" w:themeColor="text1"/>
          <w:lang w:val="en-GB" w:eastAsia="zh-CN"/>
        </w:rPr>
        <w:sectPr w:rsidR="00E221A2" w:rsidSect="00D326BE">
          <w:pgSz w:w="11909" w:h="16834" w:code="9"/>
          <w:pgMar w:top="862" w:right="720" w:bottom="862" w:left="1440" w:header="708" w:footer="708" w:gutter="0"/>
          <w:cols w:space="708"/>
          <w:docGrid w:linePitch="360"/>
        </w:sectPr>
      </w:pPr>
    </w:p>
    <w:p w14:paraId="66C5A20F" w14:textId="1B969473" w:rsidR="00E221A2" w:rsidRPr="003F4E51" w:rsidRDefault="00E221A2" w:rsidP="00E221A2">
      <w:pPr>
        <w:pStyle w:val="ListParagraph"/>
        <w:spacing w:line="240" w:lineRule="auto"/>
        <w:jc w:val="both"/>
        <w:rPr>
          <w:rFonts w:ascii="Arial" w:eastAsia="SimSun" w:hAnsi="Arial" w:cs="Arial"/>
          <w:color w:val="000000" w:themeColor="text1"/>
          <w:lang w:val="en-GB" w:eastAsia="zh-CN"/>
        </w:rPr>
      </w:pPr>
    </w:p>
    <w:p w14:paraId="75DE0E6C" w14:textId="2489DD62" w:rsidR="009D75A5" w:rsidRPr="00191ACB" w:rsidRDefault="009D75A5" w:rsidP="009D75A5">
      <w:pPr>
        <w:pStyle w:val="Heading1"/>
        <w:rPr>
          <w:rFonts w:ascii="Times New Roman" w:eastAsia="Times New Roman" w:hAnsi="Times New Roman" w:cs="Times New Roman"/>
          <w:b/>
          <w:color w:val="000000" w:themeColor="text1"/>
          <w:sz w:val="24"/>
          <w:szCs w:val="24"/>
        </w:rPr>
      </w:pPr>
      <w:bookmarkStart w:id="536" w:name="_Toc57902907"/>
      <w:r w:rsidRPr="00191ACB">
        <w:rPr>
          <w:rFonts w:ascii="Times New Roman" w:eastAsia="Times New Roman" w:hAnsi="Times New Roman" w:cs="Times New Roman"/>
          <w:b/>
          <w:color w:val="000000" w:themeColor="text1"/>
          <w:sz w:val="24"/>
          <w:szCs w:val="24"/>
        </w:rPr>
        <w:t>ANNEX</w:t>
      </w:r>
      <w:bookmarkEnd w:id="536"/>
      <w:r w:rsidRPr="00191ACB">
        <w:rPr>
          <w:rFonts w:ascii="Times New Roman" w:eastAsia="Times New Roman" w:hAnsi="Times New Roman" w:cs="Times New Roman"/>
          <w:b/>
          <w:color w:val="000000" w:themeColor="text1"/>
          <w:sz w:val="24"/>
          <w:szCs w:val="24"/>
        </w:rPr>
        <w:t xml:space="preserve"> </w:t>
      </w:r>
    </w:p>
    <w:p w14:paraId="4C5BACC1" w14:textId="77777777" w:rsidR="009F4EBD" w:rsidRPr="00191ACB" w:rsidRDefault="009F4EBD" w:rsidP="009F4EBD">
      <w:pPr>
        <w:rPr>
          <w:rFonts w:ascii="Times New Roman" w:hAnsi="Times New Roman" w:cs="Times New Roman"/>
          <w:color w:val="000000" w:themeColor="text1"/>
          <w:sz w:val="24"/>
          <w:szCs w:val="24"/>
        </w:rPr>
      </w:pPr>
    </w:p>
    <w:p w14:paraId="73FF4073" w14:textId="3052D2B6" w:rsidR="009F4EBD" w:rsidRPr="00191ACB" w:rsidRDefault="009F4EBD" w:rsidP="009F4EBD">
      <w:pPr>
        <w:pStyle w:val="Heading2"/>
        <w:rPr>
          <w:rFonts w:ascii="Times New Roman" w:hAnsi="Times New Roman" w:cs="Times New Roman"/>
          <w:color w:val="000000" w:themeColor="text1"/>
          <w:sz w:val="24"/>
          <w:szCs w:val="24"/>
        </w:rPr>
      </w:pPr>
      <w:bookmarkStart w:id="537" w:name="_Toc57902908"/>
      <w:r w:rsidRPr="00191ACB">
        <w:rPr>
          <w:rFonts w:ascii="Times New Roman" w:hAnsi="Times New Roman" w:cs="Times New Roman"/>
          <w:b/>
          <w:color w:val="000000" w:themeColor="text1"/>
          <w:sz w:val="24"/>
          <w:szCs w:val="24"/>
        </w:rPr>
        <w:t>Annex I</w:t>
      </w:r>
      <w:r w:rsidRPr="00191ACB">
        <w:rPr>
          <w:rFonts w:ascii="Times New Roman" w:hAnsi="Times New Roman" w:cs="Times New Roman"/>
          <w:color w:val="000000" w:themeColor="text1"/>
          <w:sz w:val="24"/>
          <w:szCs w:val="24"/>
        </w:rPr>
        <w:t xml:space="preserve"> List of stakeholders consulted</w:t>
      </w:r>
      <w:bookmarkEnd w:id="537"/>
      <w:r w:rsidRPr="00191ACB">
        <w:rPr>
          <w:rFonts w:ascii="Times New Roman" w:hAnsi="Times New Roman" w:cs="Times New Roman"/>
          <w:color w:val="000000" w:themeColor="text1"/>
          <w:sz w:val="24"/>
          <w:szCs w:val="24"/>
        </w:rPr>
        <w:t xml:space="preserve"> </w:t>
      </w:r>
    </w:p>
    <w:tbl>
      <w:tblPr>
        <w:tblW w:w="508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237"/>
        <w:gridCol w:w="3502"/>
        <w:gridCol w:w="3618"/>
      </w:tblGrid>
      <w:tr w:rsidR="009C6FD7" w:rsidRPr="00191ACB" w14:paraId="07FF18BC" w14:textId="77777777" w:rsidTr="00D10127">
        <w:trPr>
          <w:tblHeader/>
        </w:trPr>
        <w:tc>
          <w:tcPr>
            <w:tcW w:w="273" w:type="pct"/>
            <w:shd w:val="clear" w:color="auto" w:fill="auto"/>
          </w:tcPr>
          <w:p w14:paraId="2F288A11" w14:textId="77777777" w:rsidR="009C6FD7" w:rsidRPr="00191ACB" w:rsidRDefault="009C6FD7" w:rsidP="009C6FD7">
            <w:pPr>
              <w:spacing w:after="0" w:line="240" w:lineRule="auto"/>
              <w:rPr>
                <w:rFonts w:ascii="Times New Roman" w:eastAsia="Calibri" w:hAnsi="Times New Roman" w:cs="Times New Roman"/>
                <w:b/>
                <w:sz w:val="24"/>
                <w:szCs w:val="24"/>
              </w:rPr>
            </w:pPr>
          </w:p>
        </w:tc>
        <w:tc>
          <w:tcPr>
            <w:tcW w:w="1130" w:type="pct"/>
            <w:shd w:val="clear" w:color="auto" w:fill="auto"/>
          </w:tcPr>
          <w:p w14:paraId="414583F8" w14:textId="77777777" w:rsidR="009C6FD7" w:rsidRPr="00191ACB" w:rsidRDefault="009C6FD7" w:rsidP="009C6FD7">
            <w:pPr>
              <w:spacing w:after="0" w:line="240" w:lineRule="auto"/>
              <w:rPr>
                <w:rFonts w:ascii="Times New Roman" w:eastAsia="Calibri" w:hAnsi="Times New Roman" w:cs="Times New Roman"/>
                <w:b/>
                <w:sz w:val="24"/>
                <w:szCs w:val="24"/>
              </w:rPr>
            </w:pPr>
            <w:r w:rsidRPr="00191ACB">
              <w:rPr>
                <w:rFonts w:ascii="Times New Roman" w:eastAsia="Calibri" w:hAnsi="Times New Roman" w:cs="Times New Roman"/>
                <w:b/>
                <w:sz w:val="24"/>
                <w:szCs w:val="24"/>
              </w:rPr>
              <w:t xml:space="preserve">Institution </w:t>
            </w:r>
          </w:p>
        </w:tc>
        <w:tc>
          <w:tcPr>
            <w:tcW w:w="1769" w:type="pct"/>
            <w:shd w:val="clear" w:color="auto" w:fill="auto"/>
          </w:tcPr>
          <w:p w14:paraId="22E49A1C" w14:textId="77777777" w:rsidR="009C6FD7" w:rsidRPr="00191ACB" w:rsidRDefault="009C6FD7" w:rsidP="009C6FD7">
            <w:pPr>
              <w:spacing w:after="0" w:line="240" w:lineRule="auto"/>
              <w:rPr>
                <w:rFonts w:ascii="Times New Roman" w:eastAsia="Calibri" w:hAnsi="Times New Roman" w:cs="Times New Roman"/>
                <w:b/>
                <w:sz w:val="24"/>
                <w:szCs w:val="24"/>
              </w:rPr>
            </w:pPr>
            <w:r w:rsidRPr="00191ACB">
              <w:rPr>
                <w:rFonts w:ascii="Times New Roman" w:eastAsia="Calibri" w:hAnsi="Times New Roman" w:cs="Times New Roman"/>
                <w:b/>
                <w:sz w:val="24"/>
                <w:szCs w:val="24"/>
              </w:rPr>
              <w:t xml:space="preserve">Person(s) Interviewed </w:t>
            </w:r>
          </w:p>
        </w:tc>
        <w:tc>
          <w:tcPr>
            <w:tcW w:w="1828" w:type="pct"/>
            <w:shd w:val="clear" w:color="auto" w:fill="auto"/>
          </w:tcPr>
          <w:p w14:paraId="36F8F5EB" w14:textId="77777777" w:rsidR="009C6FD7" w:rsidRPr="00191ACB" w:rsidRDefault="009C6FD7" w:rsidP="009C6FD7">
            <w:pPr>
              <w:spacing w:after="0" w:line="240" w:lineRule="auto"/>
              <w:rPr>
                <w:rFonts w:ascii="Times New Roman" w:eastAsia="Calibri" w:hAnsi="Times New Roman" w:cs="Times New Roman"/>
                <w:b/>
                <w:sz w:val="24"/>
                <w:szCs w:val="24"/>
              </w:rPr>
            </w:pPr>
            <w:r w:rsidRPr="00191ACB">
              <w:rPr>
                <w:rFonts w:ascii="Times New Roman" w:eastAsia="Calibri" w:hAnsi="Times New Roman" w:cs="Times New Roman"/>
                <w:b/>
                <w:sz w:val="24"/>
                <w:szCs w:val="24"/>
              </w:rPr>
              <w:t xml:space="preserve">Contact </w:t>
            </w:r>
          </w:p>
        </w:tc>
      </w:tr>
      <w:tr w:rsidR="009C6FD7" w:rsidRPr="00191ACB" w14:paraId="47543602" w14:textId="77777777" w:rsidTr="00D10127">
        <w:tc>
          <w:tcPr>
            <w:tcW w:w="273" w:type="pct"/>
            <w:shd w:val="clear" w:color="auto" w:fill="auto"/>
          </w:tcPr>
          <w:p w14:paraId="60648809"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1</w:t>
            </w:r>
          </w:p>
        </w:tc>
        <w:tc>
          <w:tcPr>
            <w:tcW w:w="1130" w:type="pct"/>
            <w:shd w:val="clear" w:color="auto" w:fill="auto"/>
          </w:tcPr>
          <w:p w14:paraId="0BC3B3C3"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GIZ </w:t>
            </w:r>
          </w:p>
        </w:tc>
        <w:tc>
          <w:tcPr>
            <w:tcW w:w="1769" w:type="pct"/>
            <w:shd w:val="clear" w:color="auto" w:fill="auto"/>
          </w:tcPr>
          <w:p w14:paraId="6DD4084B" w14:textId="3499E751"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Martin Lyambai (Advisor-Renewable energy &amp; Private Sector Development)  </w:t>
            </w:r>
          </w:p>
        </w:tc>
        <w:tc>
          <w:tcPr>
            <w:tcW w:w="1828" w:type="pct"/>
            <w:shd w:val="clear" w:color="auto" w:fill="auto"/>
          </w:tcPr>
          <w:p w14:paraId="7A4F17E2" w14:textId="77777777" w:rsidR="009C6FD7" w:rsidRPr="00191ACB" w:rsidRDefault="00317BA0" w:rsidP="009C6FD7">
            <w:pPr>
              <w:spacing w:after="0" w:line="240" w:lineRule="auto"/>
              <w:rPr>
                <w:rFonts w:ascii="Times New Roman" w:eastAsia="Calibri" w:hAnsi="Times New Roman" w:cs="Times New Roman"/>
                <w:sz w:val="24"/>
                <w:szCs w:val="24"/>
              </w:rPr>
            </w:pPr>
            <w:hyperlink r:id="rId95" w:history="1">
              <w:r w:rsidR="009C6FD7" w:rsidRPr="00191ACB">
                <w:rPr>
                  <w:rFonts w:ascii="Times New Roman" w:eastAsia="Calibri" w:hAnsi="Times New Roman" w:cs="Times New Roman"/>
                  <w:sz w:val="24"/>
                  <w:szCs w:val="24"/>
                </w:rPr>
                <w:t>martin.lyambai@giz.de</w:t>
              </w:r>
            </w:hyperlink>
            <w:r w:rsidR="009C6FD7" w:rsidRPr="00191ACB">
              <w:rPr>
                <w:rFonts w:ascii="Times New Roman" w:eastAsia="Calibri" w:hAnsi="Times New Roman" w:cs="Times New Roman"/>
                <w:sz w:val="24"/>
                <w:szCs w:val="24"/>
              </w:rPr>
              <w:t xml:space="preserve"> 0971122459</w:t>
            </w:r>
          </w:p>
        </w:tc>
      </w:tr>
      <w:tr w:rsidR="009C6FD7" w:rsidRPr="00191ACB" w14:paraId="167BA1B4" w14:textId="77777777" w:rsidTr="00D10127">
        <w:tc>
          <w:tcPr>
            <w:tcW w:w="273" w:type="pct"/>
            <w:shd w:val="clear" w:color="auto" w:fill="auto"/>
          </w:tcPr>
          <w:p w14:paraId="04A8BCC7"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2</w:t>
            </w:r>
          </w:p>
        </w:tc>
        <w:tc>
          <w:tcPr>
            <w:tcW w:w="1130" w:type="pct"/>
            <w:shd w:val="clear" w:color="auto" w:fill="auto"/>
          </w:tcPr>
          <w:p w14:paraId="585ECDCC"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AfDB </w:t>
            </w:r>
          </w:p>
        </w:tc>
        <w:tc>
          <w:tcPr>
            <w:tcW w:w="1769" w:type="pct"/>
            <w:shd w:val="clear" w:color="auto" w:fill="auto"/>
          </w:tcPr>
          <w:p w14:paraId="4809EB18" w14:textId="0F4BD383"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Lewis M. Bangwe (Senior Agriculture Officer)</w:t>
            </w:r>
          </w:p>
        </w:tc>
        <w:tc>
          <w:tcPr>
            <w:tcW w:w="1828" w:type="pct"/>
            <w:shd w:val="clear" w:color="auto" w:fill="auto"/>
          </w:tcPr>
          <w:p w14:paraId="4A60A2E4" w14:textId="77777777" w:rsidR="004732B0"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l.bangwe@afdb .org  </w:t>
            </w:r>
          </w:p>
          <w:p w14:paraId="3F8CC558" w14:textId="4081B099"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0977718602</w:t>
            </w:r>
          </w:p>
        </w:tc>
      </w:tr>
      <w:tr w:rsidR="009C6FD7" w:rsidRPr="00191ACB" w14:paraId="3FEC5609" w14:textId="77777777" w:rsidTr="00D10127">
        <w:tc>
          <w:tcPr>
            <w:tcW w:w="273" w:type="pct"/>
            <w:shd w:val="clear" w:color="auto" w:fill="auto"/>
          </w:tcPr>
          <w:p w14:paraId="1FF73CFA"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3</w:t>
            </w:r>
          </w:p>
        </w:tc>
        <w:tc>
          <w:tcPr>
            <w:tcW w:w="1130" w:type="pct"/>
            <w:shd w:val="clear" w:color="auto" w:fill="auto"/>
          </w:tcPr>
          <w:p w14:paraId="6AEAFA57"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Ashfield Resources Ltd </w:t>
            </w:r>
          </w:p>
        </w:tc>
        <w:tc>
          <w:tcPr>
            <w:tcW w:w="1769" w:type="pct"/>
            <w:shd w:val="clear" w:color="auto" w:fill="auto"/>
          </w:tcPr>
          <w:p w14:paraId="5392CC4C" w14:textId="6AFE0E32"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George K. Kayawe (UPP- Chief analyst)</w:t>
            </w:r>
          </w:p>
        </w:tc>
        <w:tc>
          <w:tcPr>
            <w:tcW w:w="1828" w:type="pct"/>
            <w:shd w:val="clear" w:color="auto" w:fill="auto"/>
          </w:tcPr>
          <w:p w14:paraId="41B460A4" w14:textId="77777777" w:rsidR="009C6FD7" w:rsidRPr="00191ACB" w:rsidRDefault="00317BA0" w:rsidP="009C6FD7">
            <w:pPr>
              <w:spacing w:after="0" w:line="240" w:lineRule="auto"/>
              <w:rPr>
                <w:rFonts w:ascii="Times New Roman" w:eastAsia="Calibri" w:hAnsi="Times New Roman" w:cs="Times New Roman"/>
                <w:sz w:val="24"/>
                <w:szCs w:val="24"/>
              </w:rPr>
            </w:pPr>
            <w:hyperlink r:id="rId96" w:history="1">
              <w:r w:rsidR="009C6FD7" w:rsidRPr="00191ACB">
                <w:rPr>
                  <w:rFonts w:ascii="Times New Roman" w:eastAsia="Calibri" w:hAnsi="Times New Roman" w:cs="Times New Roman"/>
                  <w:sz w:val="24"/>
                  <w:szCs w:val="24"/>
                </w:rPr>
                <w:t>g.kayawe@ashfield.co.zm</w:t>
              </w:r>
            </w:hyperlink>
            <w:r w:rsidR="009C6FD7" w:rsidRPr="00191ACB">
              <w:rPr>
                <w:rFonts w:ascii="Times New Roman" w:eastAsia="Calibri" w:hAnsi="Times New Roman" w:cs="Times New Roman"/>
                <w:sz w:val="24"/>
                <w:szCs w:val="24"/>
              </w:rPr>
              <w:t xml:space="preserve"> 0976/965 317107</w:t>
            </w:r>
          </w:p>
        </w:tc>
      </w:tr>
      <w:tr w:rsidR="009C6FD7" w:rsidRPr="00191ACB" w14:paraId="63A4434E" w14:textId="77777777" w:rsidTr="00D10127">
        <w:tc>
          <w:tcPr>
            <w:tcW w:w="273" w:type="pct"/>
            <w:shd w:val="clear" w:color="auto" w:fill="auto"/>
          </w:tcPr>
          <w:p w14:paraId="68AD64AB"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4</w:t>
            </w:r>
          </w:p>
        </w:tc>
        <w:tc>
          <w:tcPr>
            <w:tcW w:w="1130" w:type="pct"/>
            <w:shd w:val="clear" w:color="auto" w:fill="auto"/>
          </w:tcPr>
          <w:p w14:paraId="5EFBE64F"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SNV</w:t>
            </w:r>
          </w:p>
        </w:tc>
        <w:tc>
          <w:tcPr>
            <w:tcW w:w="1769" w:type="pct"/>
            <w:shd w:val="clear" w:color="auto" w:fill="auto"/>
          </w:tcPr>
          <w:p w14:paraId="00BF5E03" w14:textId="06374101"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Arend Van Der Goes (Sector Leader)</w:t>
            </w:r>
          </w:p>
        </w:tc>
        <w:tc>
          <w:tcPr>
            <w:tcW w:w="1828" w:type="pct"/>
            <w:shd w:val="clear" w:color="auto" w:fill="auto"/>
          </w:tcPr>
          <w:p w14:paraId="1165F6A2" w14:textId="77777777" w:rsidR="004732B0" w:rsidRDefault="00317BA0" w:rsidP="009C6FD7">
            <w:pPr>
              <w:spacing w:after="0" w:line="240" w:lineRule="auto"/>
              <w:rPr>
                <w:rFonts w:ascii="Times New Roman" w:eastAsia="Calibri" w:hAnsi="Times New Roman" w:cs="Times New Roman"/>
                <w:sz w:val="24"/>
                <w:szCs w:val="24"/>
              </w:rPr>
            </w:pPr>
            <w:hyperlink r:id="rId97" w:history="1">
              <w:r w:rsidR="009C6FD7" w:rsidRPr="00191ACB">
                <w:rPr>
                  <w:rFonts w:ascii="Times New Roman" w:eastAsia="Calibri" w:hAnsi="Times New Roman" w:cs="Times New Roman"/>
                  <w:sz w:val="24"/>
                  <w:szCs w:val="24"/>
                </w:rPr>
                <w:t>avandergoes@snv.org</w:t>
              </w:r>
            </w:hyperlink>
            <w:r w:rsidR="009C6FD7" w:rsidRPr="00191ACB">
              <w:rPr>
                <w:rFonts w:ascii="Times New Roman" w:eastAsia="Calibri" w:hAnsi="Times New Roman" w:cs="Times New Roman"/>
                <w:sz w:val="24"/>
                <w:szCs w:val="24"/>
              </w:rPr>
              <w:t xml:space="preserve"> </w:t>
            </w:r>
          </w:p>
          <w:p w14:paraId="48864F7D" w14:textId="7855DF5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0966770986</w:t>
            </w:r>
          </w:p>
        </w:tc>
      </w:tr>
      <w:tr w:rsidR="009C6FD7" w:rsidRPr="00191ACB" w14:paraId="68C54FE2" w14:textId="77777777" w:rsidTr="00D10127">
        <w:tc>
          <w:tcPr>
            <w:tcW w:w="273" w:type="pct"/>
            <w:shd w:val="clear" w:color="auto" w:fill="auto"/>
          </w:tcPr>
          <w:p w14:paraId="2FB6E4EC"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5</w:t>
            </w:r>
          </w:p>
        </w:tc>
        <w:tc>
          <w:tcPr>
            <w:tcW w:w="1130" w:type="pct"/>
            <w:shd w:val="clear" w:color="auto" w:fill="auto"/>
          </w:tcPr>
          <w:p w14:paraId="1679068E"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Swedish Embassy</w:t>
            </w:r>
          </w:p>
        </w:tc>
        <w:tc>
          <w:tcPr>
            <w:tcW w:w="1769" w:type="pct"/>
            <w:shd w:val="clear" w:color="auto" w:fill="auto"/>
          </w:tcPr>
          <w:p w14:paraId="3BFD40BD"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Magdalena Svensson (Program Manager – Development Cooperation Environment, Climate, Renewable energy)</w:t>
            </w:r>
          </w:p>
        </w:tc>
        <w:tc>
          <w:tcPr>
            <w:tcW w:w="1828" w:type="pct"/>
            <w:shd w:val="clear" w:color="auto" w:fill="auto"/>
          </w:tcPr>
          <w:p w14:paraId="7DA9739D" w14:textId="7E971CC2" w:rsidR="009C6FD7" w:rsidRPr="00191ACB" w:rsidRDefault="00317BA0" w:rsidP="009C6FD7">
            <w:pPr>
              <w:spacing w:after="0" w:line="240" w:lineRule="auto"/>
              <w:rPr>
                <w:rFonts w:ascii="Times New Roman" w:eastAsia="Calibri" w:hAnsi="Times New Roman" w:cs="Times New Roman"/>
                <w:sz w:val="24"/>
                <w:szCs w:val="24"/>
              </w:rPr>
            </w:pPr>
            <w:hyperlink r:id="rId98" w:history="1">
              <w:r w:rsidR="009C6FD7" w:rsidRPr="00191ACB">
                <w:rPr>
                  <w:rFonts w:ascii="Times New Roman" w:eastAsia="Calibri" w:hAnsi="Times New Roman" w:cs="Times New Roman"/>
                  <w:sz w:val="24"/>
                  <w:szCs w:val="24"/>
                </w:rPr>
                <w:t>magdalena.svensson@gov</w:t>
              </w:r>
            </w:hyperlink>
            <w:r w:rsidR="009C6FD7" w:rsidRPr="00191ACB">
              <w:rPr>
                <w:rFonts w:ascii="Times New Roman" w:eastAsia="Calibri" w:hAnsi="Times New Roman" w:cs="Times New Roman"/>
                <w:sz w:val="24"/>
                <w:szCs w:val="24"/>
              </w:rPr>
              <w:t>.se 0977771241</w:t>
            </w:r>
          </w:p>
        </w:tc>
      </w:tr>
      <w:tr w:rsidR="009C6FD7" w:rsidRPr="00191ACB" w14:paraId="2B5AC6CA" w14:textId="77777777" w:rsidTr="00D10127">
        <w:tc>
          <w:tcPr>
            <w:tcW w:w="273" w:type="pct"/>
            <w:shd w:val="clear" w:color="auto" w:fill="auto"/>
          </w:tcPr>
          <w:p w14:paraId="7496890F"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6</w:t>
            </w:r>
          </w:p>
        </w:tc>
        <w:tc>
          <w:tcPr>
            <w:tcW w:w="1130" w:type="pct"/>
            <w:shd w:val="clear" w:color="auto" w:fill="auto"/>
          </w:tcPr>
          <w:p w14:paraId="4E14FD3C" w14:textId="10C5870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Ministry of Agriculture (Dept of Agric)</w:t>
            </w:r>
          </w:p>
        </w:tc>
        <w:tc>
          <w:tcPr>
            <w:tcW w:w="1769" w:type="pct"/>
            <w:shd w:val="clear" w:color="auto" w:fill="auto"/>
          </w:tcPr>
          <w:p w14:paraId="1643B925"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Joy Sinyangwe (Principle Agric Specialist –Land Husbandry)</w:t>
            </w:r>
          </w:p>
        </w:tc>
        <w:tc>
          <w:tcPr>
            <w:tcW w:w="1828" w:type="pct"/>
            <w:shd w:val="clear" w:color="auto" w:fill="auto"/>
          </w:tcPr>
          <w:p w14:paraId="3F228BD2" w14:textId="77777777" w:rsidR="009C6FD7" w:rsidRPr="00191ACB" w:rsidRDefault="00317BA0" w:rsidP="009C6FD7">
            <w:pPr>
              <w:spacing w:after="0" w:line="240" w:lineRule="auto"/>
              <w:rPr>
                <w:rFonts w:ascii="Times New Roman" w:eastAsia="Calibri" w:hAnsi="Times New Roman" w:cs="Times New Roman"/>
                <w:sz w:val="24"/>
                <w:szCs w:val="24"/>
              </w:rPr>
            </w:pPr>
            <w:hyperlink r:id="rId99" w:history="1">
              <w:r w:rsidR="009C6FD7" w:rsidRPr="00191ACB">
                <w:rPr>
                  <w:rFonts w:ascii="Times New Roman" w:eastAsia="Calibri" w:hAnsi="Times New Roman" w:cs="Times New Roman"/>
                  <w:sz w:val="24"/>
                  <w:szCs w:val="24"/>
                </w:rPr>
                <w:t>joysinyangwe@gmail.com</w:t>
              </w:r>
            </w:hyperlink>
            <w:r w:rsidR="009C6FD7" w:rsidRPr="00191ACB">
              <w:rPr>
                <w:rFonts w:ascii="Times New Roman" w:eastAsia="Calibri" w:hAnsi="Times New Roman" w:cs="Times New Roman"/>
                <w:sz w:val="24"/>
                <w:szCs w:val="24"/>
              </w:rPr>
              <w:t xml:space="preserve"> 0963446199 or 0974038671</w:t>
            </w:r>
          </w:p>
        </w:tc>
      </w:tr>
      <w:tr w:rsidR="009C6FD7" w:rsidRPr="00191ACB" w14:paraId="4A91AF27" w14:textId="77777777" w:rsidTr="00D10127">
        <w:tc>
          <w:tcPr>
            <w:tcW w:w="273" w:type="pct"/>
            <w:shd w:val="clear" w:color="auto" w:fill="auto"/>
          </w:tcPr>
          <w:p w14:paraId="54890282"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7</w:t>
            </w:r>
          </w:p>
        </w:tc>
        <w:tc>
          <w:tcPr>
            <w:tcW w:w="1130" w:type="pct"/>
            <w:shd w:val="clear" w:color="auto" w:fill="auto"/>
          </w:tcPr>
          <w:p w14:paraId="273207E0" w14:textId="04D9CBD9"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Ministry of Commerce, Trade and Industry (Dept of Industry)</w:t>
            </w:r>
          </w:p>
        </w:tc>
        <w:tc>
          <w:tcPr>
            <w:tcW w:w="1769" w:type="pct"/>
            <w:shd w:val="clear" w:color="auto" w:fill="auto"/>
          </w:tcPr>
          <w:p w14:paraId="4564DD43" w14:textId="326DEF11"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John A. Mulongoti (Director Industry)/ Charity Banda (Senior Economist)</w:t>
            </w:r>
          </w:p>
        </w:tc>
        <w:tc>
          <w:tcPr>
            <w:tcW w:w="1828" w:type="pct"/>
            <w:shd w:val="clear" w:color="auto" w:fill="auto"/>
          </w:tcPr>
          <w:p w14:paraId="498938B8" w14:textId="77777777" w:rsidR="009C6FD7" w:rsidRPr="00191ACB" w:rsidRDefault="00317BA0" w:rsidP="009C6FD7">
            <w:pPr>
              <w:spacing w:after="0" w:line="240" w:lineRule="auto"/>
              <w:rPr>
                <w:rFonts w:ascii="Times New Roman" w:eastAsia="Calibri" w:hAnsi="Times New Roman" w:cs="Times New Roman"/>
                <w:sz w:val="24"/>
                <w:szCs w:val="24"/>
              </w:rPr>
            </w:pPr>
            <w:hyperlink r:id="rId100" w:history="1">
              <w:r w:rsidR="009C6FD7" w:rsidRPr="00191ACB">
                <w:rPr>
                  <w:rFonts w:ascii="Times New Roman" w:eastAsia="Calibri" w:hAnsi="Times New Roman" w:cs="Times New Roman"/>
                  <w:sz w:val="24"/>
                  <w:szCs w:val="24"/>
                </w:rPr>
                <w:t>John.Mulongoti@mcti.gov.zm</w:t>
              </w:r>
            </w:hyperlink>
            <w:r w:rsidR="009C6FD7" w:rsidRPr="00191ACB">
              <w:rPr>
                <w:rFonts w:ascii="Times New Roman" w:eastAsia="Calibri" w:hAnsi="Times New Roman" w:cs="Times New Roman"/>
                <w:sz w:val="24"/>
                <w:szCs w:val="24"/>
              </w:rPr>
              <w:t xml:space="preserve"> 0211230096/226454</w:t>
            </w:r>
          </w:p>
          <w:p w14:paraId="3051BB78"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charity.banda@mcti.gov.zm </w:t>
            </w:r>
          </w:p>
        </w:tc>
      </w:tr>
      <w:tr w:rsidR="009C6FD7" w:rsidRPr="00191ACB" w14:paraId="53901A56" w14:textId="77777777" w:rsidTr="00D10127">
        <w:tc>
          <w:tcPr>
            <w:tcW w:w="273" w:type="pct"/>
            <w:shd w:val="clear" w:color="auto" w:fill="auto"/>
          </w:tcPr>
          <w:p w14:paraId="51F94CB9"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8</w:t>
            </w:r>
          </w:p>
        </w:tc>
        <w:tc>
          <w:tcPr>
            <w:tcW w:w="1130" w:type="pct"/>
            <w:shd w:val="clear" w:color="auto" w:fill="auto"/>
          </w:tcPr>
          <w:p w14:paraId="64014213"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COMACO</w:t>
            </w:r>
          </w:p>
        </w:tc>
        <w:tc>
          <w:tcPr>
            <w:tcW w:w="1769" w:type="pct"/>
            <w:shd w:val="clear" w:color="auto" w:fill="auto"/>
          </w:tcPr>
          <w:p w14:paraId="1F50D02F" w14:textId="4A708CEE"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Richard Mumba (Chief Agric Officer) Edward Zulu (Senior M&amp;E officer) Japhet Seulu </w:t>
            </w:r>
          </w:p>
        </w:tc>
        <w:tc>
          <w:tcPr>
            <w:tcW w:w="1828" w:type="pct"/>
            <w:shd w:val="clear" w:color="auto" w:fill="auto"/>
          </w:tcPr>
          <w:p w14:paraId="6E72DEA2" w14:textId="77777777" w:rsidR="004732B0" w:rsidRDefault="00317BA0" w:rsidP="009C6FD7">
            <w:pPr>
              <w:spacing w:after="0" w:line="240" w:lineRule="auto"/>
              <w:rPr>
                <w:rFonts w:ascii="Times New Roman" w:eastAsia="Calibri" w:hAnsi="Times New Roman" w:cs="Times New Roman"/>
                <w:sz w:val="24"/>
                <w:szCs w:val="24"/>
              </w:rPr>
            </w:pPr>
            <w:hyperlink r:id="rId101" w:history="1">
              <w:r w:rsidR="009C6FD7" w:rsidRPr="00191ACB">
                <w:rPr>
                  <w:rFonts w:ascii="Times New Roman" w:eastAsia="Calibri" w:hAnsi="Times New Roman" w:cs="Times New Roman"/>
                  <w:sz w:val="24"/>
                  <w:szCs w:val="24"/>
                </w:rPr>
                <w:t>crmumba@itswild.org</w:t>
              </w:r>
            </w:hyperlink>
            <w:r w:rsidR="009C6FD7" w:rsidRPr="00191ACB">
              <w:rPr>
                <w:rFonts w:ascii="Times New Roman" w:eastAsia="Calibri" w:hAnsi="Times New Roman" w:cs="Times New Roman"/>
                <w:sz w:val="24"/>
                <w:szCs w:val="24"/>
              </w:rPr>
              <w:t xml:space="preserve"> ,0976918300, </w:t>
            </w:r>
          </w:p>
          <w:p w14:paraId="6B412D55" w14:textId="77777777" w:rsidR="004732B0" w:rsidRDefault="00317BA0" w:rsidP="009C6FD7">
            <w:pPr>
              <w:spacing w:after="0" w:line="240" w:lineRule="auto"/>
              <w:rPr>
                <w:rFonts w:ascii="Times New Roman" w:eastAsia="Calibri" w:hAnsi="Times New Roman" w:cs="Times New Roman"/>
                <w:sz w:val="24"/>
                <w:szCs w:val="24"/>
              </w:rPr>
            </w:pPr>
            <w:hyperlink r:id="rId102" w:history="1">
              <w:r w:rsidR="004732B0" w:rsidRPr="00CC4A21">
                <w:rPr>
                  <w:rStyle w:val="Hyperlink"/>
                  <w:rFonts w:ascii="Times New Roman" w:eastAsia="Calibri" w:hAnsi="Times New Roman" w:cs="Times New Roman"/>
                  <w:sz w:val="24"/>
                  <w:szCs w:val="24"/>
                </w:rPr>
                <w:t>ezulu@itswild.org</w:t>
              </w:r>
            </w:hyperlink>
            <w:r w:rsidR="009C6FD7" w:rsidRPr="00191ACB">
              <w:rPr>
                <w:rFonts w:ascii="Times New Roman" w:eastAsia="Calibri" w:hAnsi="Times New Roman" w:cs="Times New Roman"/>
                <w:sz w:val="24"/>
                <w:szCs w:val="24"/>
              </w:rPr>
              <w:t xml:space="preserve">    </w:t>
            </w:r>
          </w:p>
          <w:p w14:paraId="29E61785" w14:textId="77777777" w:rsidR="004732B0"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0977716534, </w:t>
            </w:r>
          </w:p>
          <w:p w14:paraId="43168405" w14:textId="77777777" w:rsidR="004732B0" w:rsidRDefault="00317BA0" w:rsidP="009C6FD7">
            <w:pPr>
              <w:spacing w:after="0" w:line="240" w:lineRule="auto"/>
              <w:rPr>
                <w:rFonts w:ascii="Times New Roman" w:eastAsia="Calibri" w:hAnsi="Times New Roman" w:cs="Times New Roman"/>
                <w:sz w:val="24"/>
                <w:szCs w:val="24"/>
              </w:rPr>
            </w:pPr>
            <w:hyperlink r:id="rId103" w:history="1">
              <w:r w:rsidR="004732B0" w:rsidRPr="00CC4A21">
                <w:rPr>
                  <w:rStyle w:val="Hyperlink"/>
                  <w:rFonts w:ascii="Times New Roman" w:eastAsia="Calibri" w:hAnsi="Times New Roman" w:cs="Times New Roman"/>
                  <w:sz w:val="24"/>
                  <w:szCs w:val="24"/>
                </w:rPr>
                <w:t>jseulu@itswild.org</w:t>
              </w:r>
            </w:hyperlink>
            <w:r w:rsidR="009C6FD7" w:rsidRPr="00191ACB">
              <w:rPr>
                <w:rFonts w:ascii="Times New Roman" w:eastAsia="Calibri" w:hAnsi="Times New Roman" w:cs="Times New Roman"/>
                <w:sz w:val="24"/>
                <w:szCs w:val="24"/>
              </w:rPr>
              <w:t xml:space="preserve"> </w:t>
            </w:r>
          </w:p>
          <w:p w14:paraId="7A4F6985" w14:textId="6D17BF65"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0955265499</w:t>
            </w:r>
          </w:p>
        </w:tc>
      </w:tr>
      <w:tr w:rsidR="009C6FD7" w:rsidRPr="00191ACB" w14:paraId="5B152A5B" w14:textId="77777777" w:rsidTr="00D10127">
        <w:tc>
          <w:tcPr>
            <w:tcW w:w="273" w:type="pct"/>
            <w:shd w:val="clear" w:color="auto" w:fill="auto"/>
          </w:tcPr>
          <w:p w14:paraId="5A4F3B5E"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9</w:t>
            </w:r>
          </w:p>
        </w:tc>
        <w:tc>
          <w:tcPr>
            <w:tcW w:w="1130" w:type="pct"/>
            <w:shd w:val="clear" w:color="auto" w:fill="auto"/>
          </w:tcPr>
          <w:p w14:paraId="2CA57518"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NGOCC</w:t>
            </w:r>
          </w:p>
        </w:tc>
        <w:tc>
          <w:tcPr>
            <w:tcW w:w="1769" w:type="pct"/>
            <w:shd w:val="clear" w:color="auto" w:fill="auto"/>
          </w:tcPr>
          <w:p w14:paraId="6289DB6E"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Emelda M Banda ( Cordinator –Climate Change Mitigation and Resilience)</w:t>
            </w:r>
          </w:p>
        </w:tc>
        <w:tc>
          <w:tcPr>
            <w:tcW w:w="1828" w:type="pct"/>
            <w:shd w:val="clear" w:color="auto" w:fill="auto"/>
          </w:tcPr>
          <w:p w14:paraId="5DB3F043" w14:textId="77777777" w:rsidR="009C6FD7" w:rsidRPr="00191ACB" w:rsidRDefault="00317BA0" w:rsidP="009C6FD7">
            <w:pPr>
              <w:spacing w:after="0" w:line="240" w:lineRule="auto"/>
              <w:rPr>
                <w:rFonts w:ascii="Times New Roman" w:eastAsia="Calibri" w:hAnsi="Times New Roman" w:cs="Times New Roman"/>
                <w:sz w:val="24"/>
                <w:szCs w:val="24"/>
              </w:rPr>
            </w:pPr>
            <w:hyperlink r:id="rId104" w:history="1">
              <w:r w:rsidR="009C6FD7" w:rsidRPr="00191ACB">
                <w:rPr>
                  <w:rFonts w:ascii="Times New Roman" w:eastAsia="Calibri" w:hAnsi="Times New Roman" w:cs="Times New Roman"/>
                  <w:sz w:val="24"/>
                  <w:szCs w:val="24"/>
                </w:rPr>
                <w:t>emeldabanda4@gmail.com</w:t>
              </w:r>
            </w:hyperlink>
            <w:r w:rsidR="009C6FD7" w:rsidRPr="00191ACB">
              <w:rPr>
                <w:rFonts w:ascii="Times New Roman" w:eastAsia="Calibri" w:hAnsi="Times New Roman" w:cs="Times New Roman"/>
                <w:sz w:val="24"/>
                <w:szCs w:val="24"/>
              </w:rPr>
              <w:t xml:space="preserve"> 0977407556 or 0965970151</w:t>
            </w:r>
          </w:p>
        </w:tc>
      </w:tr>
      <w:tr w:rsidR="009C6FD7" w:rsidRPr="00191ACB" w14:paraId="1304F86C" w14:textId="77777777" w:rsidTr="00D10127">
        <w:tc>
          <w:tcPr>
            <w:tcW w:w="273" w:type="pct"/>
            <w:shd w:val="clear" w:color="auto" w:fill="auto"/>
          </w:tcPr>
          <w:p w14:paraId="5606D41A"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10</w:t>
            </w:r>
          </w:p>
        </w:tc>
        <w:tc>
          <w:tcPr>
            <w:tcW w:w="1130" w:type="pct"/>
            <w:shd w:val="clear" w:color="auto" w:fill="auto"/>
          </w:tcPr>
          <w:p w14:paraId="5F03CAA0"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UNZA </w:t>
            </w:r>
          </w:p>
        </w:tc>
        <w:tc>
          <w:tcPr>
            <w:tcW w:w="1769" w:type="pct"/>
            <w:shd w:val="clear" w:color="auto" w:fill="auto"/>
          </w:tcPr>
          <w:p w14:paraId="2F814C85"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Dr Munyinda </w:t>
            </w:r>
          </w:p>
          <w:p w14:paraId="0E614F7B"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Dr Phiri</w:t>
            </w:r>
          </w:p>
        </w:tc>
        <w:tc>
          <w:tcPr>
            <w:tcW w:w="1828" w:type="pct"/>
            <w:shd w:val="clear" w:color="auto" w:fill="auto"/>
          </w:tcPr>
          <w:p w14:paraId="4632C7E6" w14:textId="77777777" w:rsidR="009C6FD7" w:rsidRPr="00191ACB" w:rsidRDefault="00317BA0" w:rsidP="009C6FD7">
            <w:pPr>
              <w:spacing w:after="0" w:line="240" w:lineRule="auto"/>
              <w:rPr>
                <w:rFonts w:ascii="Times New Roman" w:eastAsia="Calibri" w:hAnsi="Times New Roman" w:cs="Times New Roman"/>
                <w:sz w:val="24"/>
                <w:szCs w:val="24"/>
              </w:rPr>
            </w:pPr>
            <w:hyperlink r:id="rId105" w:history="1">
              <w:r w:rsidR="009C6FD7" w:rsidRPr="00191ACB">
                <w:rPr>
                  <w:rFonts w:ascii="Times New Roman" w:eastAsia="Calibri" w:hAnsi="Times New Roman" w:cs="Times New Roman"/>
                  <w:sz w:val="24"/>
                  <w:szCs w:val="24"/>
                </w:rPr>
                <w:t>kalalukamunyinda@yahoo.com</w:t>
              </w:r>
            </w:hyperlink>
            <w:r w:rsidR="009C6FD7" w:rsidRPr="00191ACB">
              <w:rPr>
                <w:rFonts w:ascii="Times New Roman" w:eastAsia="Calibri" w:hAnsi="Times New Roman" w:cs="Times New Roman"/>
                <w:sz w:val="24"/>
                <w:szCs w:val="24"/>
              </w:rPr>
              <w:t xml:space="preserve">; </w:t>
            </w:r>
            <w:hyperlink r:id="rId106" w:history="1">
              <w:r w:rsidR="009C6FD7" w:rsidRPr="00191ACB">
                <w:rPr>
                  <w:rFonts w:ascii="Times New Roman" w:eastAsia="Calibri" w:hAnsi="Times New Roman" w:cs="Times New Roman"/>
                  <w:sz w:val="24"/>
                  <w:szCs w:val="24"/>
                </w:rPr>
                <w:t>phacosia@yahoo.com</w:t>
              </w:r>
            </w:hyperlink>
          </w:p>
          <w:p w14:paraId="252B8E76" w14:textId="77777777" w:rsidR="009C6FD7" w:rsidRPr="00191ACB" w:rsidRDefault="00317BA0" w:rsidP="009C6FD7">
            <w:pPr>
              <w:spacing w:after="0" w:line="240" w:lineRule="auto"/>
              <w:rPr>
                <w:rFonts w:ascii="Times New Roman" w:eastAsia="Calibri" w:hAnsi="Times New Roman" w:cs="Times New Roman"/>
                <w:sz w:val="24"/>
                <w:szCs w:val="24"/>
              </w:rPr>
            </w:pPr>
            <w:hyperlink r:id="rId107" w:history="1">
              <w:r w:rsidR="009C6FD7" w:rsidRPr="00191ACB">
                <w:rPr>
                  <w:rFonts w:ascii="Times New Roman" w:eastAsia="Calibri" w:hAnsi="Times New Roman" w:cs="Times New Roman"/>
                  <w:sz w:val="24"/>
                  <w:szCs w:val="24"/>
                </w:rPr>
                <w:t>ephiri@unza.zm</w:t>
              </w:r>
            </w:hyperlink>
            <w:r w:rsidR="009C6FD7" w:rsidRPr="00191ACB">
              <w:rPr>
                <w:rFonts w:ascii="Times New Roman" w:eastAsia="Calibri" w:hAnsi="Times New Roman" w:cs="Times New Roman"/>
                <w:sz w:val="24"/>
                <w:szCs w:val="24"/>
              </w:rPr>
              <w:t xml:space="preserve"> </w:t>
            </w:r>
          </w:p>
        </w:tc>
      </w:tr>
      <w:tr w:rsidR="009C6FD7" w:rsidRPr="00191ACB" w14:paraId="31E388FF" w14:textId="77777777" w:rsidTr="00D10127">
        <w:tc>
          <w:tcPr>
            <w:tcW w:w="273" w:type="pct"/>
            <w:shd w:val="clear" w:color="auto" w:fill="auto"/>
          </w:tcPr>
          <w:p w14:paraId="40BAF983"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11</w:t>
            </w:r>
          </w:p>
        </w:tc>
        <w:tc>
          <w:tcPr>
            <w:tcW w:w="1130" w:type="pct"/>
            <w:shd w:val="clear" w:color="auto" w:fill="auto"/>
          </w:tcPr>
          <w:p w14:paraId="6002EBDB" w14:textId="44AD9CDD"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Ministry of Lands &amp; Natural Resources (FD) –</w:t>
            </w:r>
            <w:r w:rsidR="00FE7105">
              <w:rPr>
                <w:rFonts w:ascii="Times New Roman" w:eastAsia="Calibri" w:hAnsi="Times New Roman" w:cs="Times New Roman"/>
                <w:sz w:val="24"/>
                <w:szCs w:val="24"/>
              </w:rPr>
              <w:t xml:space="preserve"> Assisted Natural </w:t>
            </w:r>
            <w:r w:rsidRPr="00191ACB">
              <w:rPr>
                <w:rFonts w:ascii="Times New Roman" w:eastAsia="Calibri" w:hAnsi="Times New Roman" w:cs="Times New Roman"/>
                <w:sz w:val="24"/>
                <w:szCs w:val="24"/>
              </w:rPr>
              <w:t xml:space="preserve">Regeneration Project </w:t>
            </w:r>
          </w:p>
        </w:tc>
        <w:tc>
          <w:tcPr>
            <w:tcW w:w="1769" w:type="pct"/>
            <w:shd w:val="clear" w:color="auto" w:fill="auto"/>
          </w:tcPr>
          <w:p w14:paraId="6B1F2585" w14:textId="5ADB51D6"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Biston Mbewe (Project Manager) </w:t>
            </w:r>
          </w:p>
        </w:tc>
        <w:tc>
          <w:tcPr>
            <w:tcW w:w="1828" w:type="pct"/>
            <w:shd w:val="clear" w:color="auto" w:fill="auto"/>
          </w:tcPr>
          <w:p w14:paraId="24EF4DEA" w14:textId="77777777" w:rsidR="009C6FD7" w:rsidRPr="00191ACB" w:rsidRDefault="00317BA0" w:rsidP="009C6FD7">
            <w:pPr>
              <w:spacing w:after="0" w:line="240" w:lineRule="auto"/>
              <w:rPr>
                <w:rFonts w:ascii="Times New Roman" w:eastAsia="Calibri" w:hAnsi="Times New Roman" w:cs="Times New Roman"/>
                <w:sz w:val="24"/>
                <w:szCs w:val="24"/>
              </w:rPr>
            </w:pPr>
            <w:hyperlink r:id="rId108" w:history="1">
              <w:r w:rsidR="009C6FD7" w:rsidRPr="00191ACB">
                <w:rPr>
                  <w:rFonts w:ascii="Times New Roman" w:eastAsia="Calibri" w:hAnsi="Times New Roman" w:cs="Times New Roman"/>
                  <w:sz w:val="24"/>
                  <w:szCs w:val="24"/>
                </w:rPr>
                <w:t>biston.mbewe@undp.org</w:t>
              </w:r>
            </w:hyperlink>
            <w:r w:rsidR="009C6FD7" w:rsidRPr="00191ACB">
              <w:rPr>
                <w:rFonts w:ascii="Times New Roman" w:eastAsia="Calibri" w:hAnsi="Times New Roman" w:cs="Times New Roman"/>
                <w:sz w:val="24"/>
                <w:szCs w:val="24"/>
              </w:rPr>
              <w:t xml:space="preserve">  0978887399</w:t>
            </w:r>
          </w:p>
          <w:p w14:paraId="0B8CC162" w14:textId="77777777" w:rsidR="009C6FD7" w:rsidRPr="00191ACB" w:rsidRDefault="009C6FD7" w:rsidP="009C6FD7">
            <w:pPr>
              <w:spacing w:after="0" w:line="240" w:lineRule="auto"/>
              <w:rPr>
                <w:rFonts w:ascii="Times New Roman" w:eastAsia="Calibri" w:hAnsi="Times New Roman" w:cs="Times New Roman"/>
                <w:sz w:val="24"/>
                <w:szCs w:val="24"/>
              </w:rPr>
            </w:pPr>
          </w:p>
        </w:tc>
      </w:tr>
      <w:tr w:rsidR="009C6FD7" w:rsidRPr="00191ACB" w14:paraId="69E28D88" w14:textId="77777777" w:rsidTr="00D10127">
        <w:tc>
          <w:tcPr>
            <w:tcW w:w="273" w:type="pct"/>
            <w:shd w:val="clear" w:color="auto" w:fill="auto"/>
          </w:tcPr>
          <w:p w14:paraId="010B618D"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12</w:t>
            </w:r>
          </w:p>
        </w:tc>
        <w:tc>
          <w:tcPr>
            <w:tcW w:w="1130" w:type="pct"/>
            <w:shd w:val="clear" w:color="auto" w:fill="auto"/>
          </w:tcPr>
          <w:p w14:paraId="2CAA1991"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ZEMA </w:t>
            </w:r>
          </w:p>
        </w:tc>
        <w:tc>
          <w:tcPr>
            <w:tcW w:w="1769" w:type="pct"/>
            <w:shd w:val="clear" w:color="auto" w:fill="auto"/>
          </w:tcPr>
          <w:p w14:paraId="3D5E2726" w14:textId="61F89097" w:rsidR="004732B0"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Micha</w:t>
            </w:r>
            <w:r w:rsidR="0016406A">
              <w:rPr>
                <w:rFonts w:ascii="Times New Roman" w:eastAsia="Calibri" w:hAnsi="Times New Roman" w:cs="Times New Roman"/>
                <w:sz w:val="24"/>
                <w:szCs w:val="24"/>
              </w:rPr>
              <w:t>e</w:t>
            </w:r>
            <w:r w:rsidRPr="00191ACB">
              <w:rPr>
                <w:rFonts w:ascii="Times New Roman" w:eastAsia="Calibri" w:hAnsi="Times New Roman" w:cs="Times New Roman"/>
                <w:sz w:val="24"/>
                <w:szCs w:val="24"/>
              </w:rPr>
              <w:t xml:space="preserve">l Annel Phiri (Manager-Natural Resources &amp;Climate Change) </w:t>
            </w:r>
          </w:p>
          <w:p w14:paraId="14A3A420" w14:textId="6010BFC9"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Chrispin Simwanza (Principal Inspector-Air &amp;Noise) </w:t>
            </w:r>
          </w:p>
        </w:tc>
        <w:tc>
          <w:tcPr>
            <w:tcW w:w="1828" w:type="pct"/>
            <w:shd w:val="clear" w:color="auto" w:fill="auto"/>
          </w:tcPr>
          <w:p w14:paraId="1D8EEDA3" w14:textId="77777777" w:rsidR="004732B0" w:rsidRDefault="00317BA0" w:rsidP="009C6FD7">
            <w:pPr>
              <w:spacing w:after="0" w:line="240" w:lineRule="auto"/>
              <w:rPr>
                <w:rFonts w:ascii="Times New Roman" w:eastAsia="Calibri" w:hAnsi="Times New Roman" w:cs="Times New Roman"/>
                <w:sz w:val="24"/>
                <w:szCs w:val="24"/>
              </w:rPr>
            </w:pPr>
            <w:hyperlink r:id="rId109" w:history="1">
              <w:r w:rsidR="009C6FD7" w:rsidRPr="00191ACB">
                <w:rPr>
                  <w:rFonts w:ascii="Times New Roman" w:eastAsia="Calibri" w:hAnsi="Times New Roman" w:cs="Times New Roman"/>
                  <w:sz w:val="24"/>
                  <w:szCs w:val="24"/>
                </w:rPr>
                <w:t>aphiri@zema.org.zm</w:t>
              </w:r>
            </w:hyperlink>
            <w:r w:rsidR="009C6FD7" w:rsidRPr="00191ACB">
              <w:rPr>
                <w:rFonts w:ascii="Times New Roman" w:eastAsia="Calibri" w:hAnsi="Times New Roman" w:cs="Times New Roman"/>
                <w:sz w:val="24"/>
                <w:szCs w:val="24"/>
              </w:rPr>
              <w:t xml:space="preserve"> 0977510864 or 0211254130   </w:t>
            </w:r>
          </w:p>
          <w:p w14:paraId="0B1E843D" w14:textId="77777777" w:rsidR="004732B0" w:rsidRDefault="004732B0" w:rsidP="009C6FD7">
            <w:pPr>
              <w:spacing w:after="0" w:line="240" w:lineRule="auto"/>
            </w:pPr>
          </w:p>
          <w:p w14:paraId="64DC1370" w14:textId="149CBDBC" w:rsidR="009C6FD7" w:rsidRPr="00191ACB" w:rsidRDefault="00317BA0" w:rsidP="009C6FD7">
            <w:pPr>
              <w:spacing w:after="0" w:line="240" w:lineRule="auto"/>
              <w:rPr>
                <w:rFonts w:ascii="Times New Roman" w:eastAsia="Calibri" w:hAnsi="Times New Roman" w:cs="Times New Roman"/>
                <w:sz w:val="24"/>
                <w:szCs w:val="24"/>
              </w:rPr>
            </w:pPr>
            <w:hyperlink r:id="rId110" w:history="1">
              <w:r w:rsidR="004732B0" w:rsidRPr="00CC4A21">
                <w:rPr>
                  <w:rStyle w:val="Hyperlink"/>
                  <w:rFonts w:ascii="Times New Roman" w:eastAsia="Calibri" w:hAnsi="Times New Roman" w:cs="Times New Roman"/>
                  <w:sz w:val="24"/>
                  <w:szCs w:val="24"/>
                </w:rPr>
                <w:t>csimwanza@zema.org.zm</w:t>
              </w:r>
            </w:hyperlink>
            <w:r w:rsidR="009C6FD7" w:rsidRPr="00191ACB">
              <w:rPr>
                <w:rFonts w:ascii="Times New Roman" w:eastAsia="Calibri" w:hAnsi="Times New Roman" w:cs="Times New Roman"/>
                <w:sz w:val="24"/>
                <w:szCs w:val="24"/>
              </w:rPr>
              <w:t xml:space="preserve"> 0966668843  </w:t>
            </w:r>
          </w:p>
        </w:tc>
      </w:tr>
      <w:tr w:rsidR="009C6FD7" w:rsidRPr="00191ACB" w14:paraId="7A4EE884" w14:textId="77777777" w:rsidTr="00D10127">
        <w:tc>
          <w:tcPr>
            <w:tcW w:w="273" w:type="pct"/>
            <w:shd w:val="clear" w:color="auto" w:fill="auto"/>
          </w:tcPr>
          <w:p w14:paraId="335C9AD6"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13</w:t>
            </w:r>
          </w:p>
        </w:tc>
        <w:tc>
          <w:tcPr>
            <w:tcW w:w="1130" w:type="pct"/>
            <w:shd w:val="clear" w:color="auto" w:fill="auto"/>
          </w:tcPr>
          <w:p w14:paraId="02ACC3F6"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ZIFLP </w:t>
            </w:r>
          </w:p>
        </w:tc>
        <w:tc>
          <w:tcPr>
            <w:tcW w:w="1769" w:type="pct"/>
            <w:shd w:val="clear" w:color="auto" w:fill="auto"/>
          </w:tcPr>
          <w:p w14:paraId="38E65B08" w14:textId="2ADF749B"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Tasila Banda (National Project Coordinator)  </w:t>
            </w:r>
          </w:p>
        </w:tc>
        <w:tc>
          <w:tcPr>
            <w:tcW w:w="1828" w:type="pct"/>
            <w:shd w:val="clear" w:color="auto" w:fill="auto"/>
          </w:tcPr>
          <w:p w14:paraId="783F1141" w14:textId="77777777" w:rsidR="009C6FD7" w:rsidRPr="00191ACB" w:rsidRDefault="00317BA0" w:rsidP="009C6FD7">
            <w:pPr>
              <w:spacing w:after="0" w:line="240" w:lineRule="auto"/>
              <w:rPr>
                <w:rFonts w:ascii="Times New Roman" w:eastAsia="Calibri" w:hAnsi="Times New Roman" w:cs="Times New Roman"/>
                <w:sz w:val="24"/>
                <w:szCs w:val="24"/>
              </w:rPr>
            </w:pPr>
            <w:hyperlink r:id="rId111" w:history="1">
              <w:r w:rsidR="009C6FD7" w:rsidRPr="00191ACB">
                <w:rPr>
                  <w:rFonts w:ascii="Times New Roman" w:eastAsia="Calibri" w:hAnsi="Times New Roman" w:cs="Times New Roman"/>
                  <w:sz w:val="24"/>
                  <w:szCs w:val="24"/>
                </w:rPr>
                <w:t>tasilabanda@ziflp.org.zm</w:t>
              </w:r>
            </w:hyperlink>
          </w:p>
          <w:p w14:paraId="2685E92B" w14:textId="77777777" w:rsidR="009C6FD7" w:rsidRPr="00191ACB" w:rsidRDefault="00317BA0" w:rsidP="009C6FD7">
            <w:pPr>
              <w:spacing w:after="0" w:line="240" w:lineRule="auto"/>
              <w:rPr>
                <w:rFonts w:ascii="Times New Roman" w:eastAsia="Calibri" w:hAnsi="Times New Roman" w:cs="Times New Roman"/>
                <w:sz w:val="24"/>
                <w:szCs w:val="24"/>
              </w:rPr>
            </w:pPr>
            <w:hyperlink r:id="rId112" w:history="1">
              <w:r w:rsidR="009C6FD7" w:rsidRPr="00191ACB">
                <w:rPr>
                  <w:rFonts w:ascii="Times New Roman" w:eastAsia="Calibri" w:hAnsi="Times New Roman" w:cs="Times New Roman"/>
                  <w:sz w:val="24"/>
                  <w:szCs w:val="24"/>
                </w:rPr>
                <w:t>tasilabanda.ziflp@gmail.com</w:t>
              </w:r>
            </w:hyperlink>
            <w:r w:rsidR="009C6FD7" w:rsidRPr="00191ACB">
              <w:rPr>
                <w:rFonts w:ascii="Times New Roman" w:eastAsia="Calibri" w:hAnsi="Times New Roman" w:cs="Times New Roman"/>
                <w:sz w:val="24"/>
                <w:szCs w:val="24"/>
              </w:rPr>
              <w:t xml:space="preserve"> 0976204139 or 0976244170</w:t>
            </w:r>
          </w:p>
        </w:tc>
      </w:tr>
      <w:tr w:rsidR="009C6FD7" w:rsidRPr="00191ACB" w14:paraId="7CE38629" w14:textId="77777777" w:rsidTr="00D10127">
        <w:tc>
          <w:tcPr>
            <w:tcW w:w="273" w:type="pct"/>
            <w:shd w:val="clear" w:color="auto" w:fill="auto"/>
          </w:tcPr>
          <w:p w14:paraId="403AFE3F"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lastRenderedPageBreak/>
              <w:t>14</w:t>
            </w:r>
          </w:p>
        </w:tc>
        <w:tc>
          <w:tcPr>
            <w:tcW w:w="1130" w:type="pct"/>
            <w:shd w:val="clear" w:color="auto" w:fill="auto"/>
          </w:tcPr>
          <w:p w14:paraId="32389F1D"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NISIR</w:t>
            </w:r>
          </w:p>
        </w:tc>
        <w:tc>
          <w:tcPr>
            <w:tcW w:w="1769" w:type="pct"/>
            <w:shd w:val="clear" w:color="auto" w:fill="auto"/>
          </w:tcPr>
          <w:p w14:paraId="413CE869" w14:textId="7EA0CDF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Dr Alick B Muvundika (Acting Deputy Director) </w:t>
            </w:r>
          </w:p>
        </w:tc>
        <w:tc>
          <w:tcPr>
            <w:tcW w:w="1828" w:type="pct"/>
            <w:shd w:val="clear" w:color="auto" w:fill="auto"/>
          </w:tcPr>
          <w:p w14:paraId="4394B786" w14:textId="77777777" w:rsidR="004732B0" w:rsidRDefault="00317BA0" w:rsidP="009C6FD7">
            <w:pPr>
              <w:spacing w:after="0" w:line="240" w:lineRule="auto"/>
              <w:rPr>
                <w:rFonts w:ascii="Times New Roman" w:eastAsia="Calibri" w:hAnsi="Times New Roman" w:cs="Times New Roman"/>
                <w:sz w:val="24"/>
                <w:szCs w:val="24"/>
              </w:rPr>
            </w:pPr>
            <w:hyperlink r:id="rId113" w:history="1">
              <w:r w:rsidR="009C6FD7" w:rsidRPr="00191ACB">
                <w:rPr>
                  <w:rFonts w:ascii="Times New Roman" w:eastAsia="Calibri" w:hAnsi="Times New Roman" w:cs="Times New Roman"/>
                  <w:sz w:val="24"/>
                  <w:szCs w:val="24"/>
                </w:rPr>
                <w:t>muvun@yahoo.com</w:t>
              </w:r>
            </w:hyperlink>
            <w:r w:rsidR="009C6FD7" w:rsidRPr="00191ACB">
              <w:rPr>
                <w:rFonts w:ascii="Times New Roman" w:eastAsia="Calibri" w:hAnsi="Times New Roman" w:cs="Times New Roman"/>
                <w:sz w:val="24"/>
                <w:szCs w:val="24"/>
              </w:rPr>
              <w:t xml:space="preserve"> </w:t>
            </w:r>
          </w:p>
          <w:p w14:paraId="58ACEBEB" w14:textId="29913B1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0971173209 or 0211281013</w:t>
            </w:r>
          </w:p>
        </w:tc>
      </w:tr>
      <w:tr w:rsidR="009C6FD7" w:rsidRPr="00191ACB" w14:paraId="5D5D62C9" w14:textId="77777777" w:rsidTr="00D10127">
        <w:tc>
          <w:tcPr>
            <w:tcW w:w="273" w:type="pct"/>
            <w:shd w:val="clear" w:color="auto" w:fill="auto"/>
          </w:tcPr>
          <w:p w14:paraId="3F9ED366"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15</w:t>
            </w:r>
          </w:p>
        </w:tc>
        <w:tc>
          <w:tcPr>
            <w:tcW w:w="1130" w:type="pct"/>
            <w:shd w:val="clear" w:color="auto" w:fill="auto"/>
          </w:tcPr>
          <w:p w14:paraId="4B20B750"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TEVETA</w:t>
            </w:r>
          </w:p>
        </w:tc>
        <w:tc>
          <w:tcPr>
            <w:tcW w:w="1769" w:type="pct"/>
            <w:shd w:val="clear" w:color="auto" w:fill="auto"/>
          </w:tcPr>
          <w:p w14:paraId="412547F0" w14:textId="62DFE1C5"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Kennedy Bowa (Manager –Curriculum Development)</w:t>
            </w:r>
          </w:p>
        </w:tc>
        <w:tc>
          <w:tcPr>
            <w:tcW w:w="1828" w:type="pct"/>
            <w:shd w:val="clear" w:color="auto" w:fill="auto"/>
          </w:tcPr>
          <w:p w14:paraId="4E458DCA" w14:textId="77777777" w:rsidR="009C6FD7" w:rsidRPr="00191ACB" w:rsidRDefault="00317BA0" w:rsidP="009C6FD7">
            <w:pPr>
              <w:spacing w:after="0" w:line="240" w:lineRule="auto"/>
              <w:rPr>
                <w:rFonts w:ascii="Times New Roman" w:eastAsia="Calibri" w:hAnsi="Times New Roman" w:cs="Times New Roman"/>
                <w:sz w:val="24"/>
                <w:szCs w:val="24"/>
              </w:rPr>
            </w:pPr>
            <w:hyperlink r:id="rId114" w:history="1">
              <w:r w:rsidR="009C6FD7" w:rsidRPr="00191ACB">
                <w:rPr>
                  <w:rFonts w:ascii="Times New Roman" w:eastAsia="Calibri" w:hAnsi="Times New Roman" w:cs="Times New Roman"/>
                  <w:sz w:val="24"/>
                  <w:szCs w:val="24"/>
                </w:rPr>
                <w:t>kbowa@teveta.org.zm</w:t>
              </w:r>
            </w:hyperlink>
            <w:r w:rsidR="009C6FD7" w:rsidRPr="00191ACB">
              <w:rPr>
                <w:rFonts w:ascii="Times New Roman" w:eastAsia="Calibri" w:hAnsi="Times New Roman" w:cs="Times New Roman"/>
                <w:sz w:val="24"/>
                <w:szCs w:val="24"/>
              </w:rPr>
              <w:t xml:space="preserve"> 0977199539 or 0961876403</w:t>
            </w:r>
          </w:p>
        </w:tc>
      </w:tr>
      <w:tr w:rsidR="009C6FD7" w:rsidRPr="00191ACB" w14:paraId="29A15796" w14:textId="77777777" w:rsidTr="00D10127">
        <w:tc>
          <w:tcPr>
            <w:tcW w:w="273" w:type="pct"/>
            <w:shd w:val="clear" w:color="auto" w:fill="auto"/>
          </w:tcPr>
          <w:p w14:paraId="62A3A224"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16</w:t>
            </w:r>
          </w:p>
        </w:tc>
        <w:tc>
          <w:tcPr>
            <w:tcW w:w="1130" w:type="pct"/>
            <w:shd w:val="clear" w:color="auto" w:fill="auto"/>
          </w:tcPr>
          <w:p w14:paraId="3A903936"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MUHANYA SOLAR </w:t>
            </w:r>
          </w:p>
        </w:tc>
        <w:tc>
          <w:tcPr>
            <w:tcW w:w="1769" w:type="pct"/>
            <w:shd w:val="clear" w:color="auto" w:fill="auto"/>
          </w:tcPr>
          <w:p w14:paraId="49EFA94E" w14:textId="41E52C3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Geoffrey Kaila (Managing Director) </w:t>
            </w:r>
          </w:p>
        </w:tc>
        <w:tc>
          <w:tcPr>
            <w:tcW w:w="1828" w:type="pct"/>
            <w:shd w:val="clear" w:color="auto" w:fill="auto"/>
          </w:tcPr>
          <w:p w14:paraId="0A3EE344" w14:textId="77777777" w:rsidR="009C6FD7" w:rsidRPr="00191ACB" w:rsidRDefault="00317BA0" w:rsidP="009C6FD7">
            <w:pPr>
              <w:spacing w:after="0" w:line="240" w:lineRule="auto"/>
              <w:rPr>
                <w:rFonts w:ascii="Times New Roman" w:eastAsia="Calibri" w:hAnsi="Times New Roman" w:cs="Times New Roman"/>
                <w:sz w:val="24"/>
                <w:szCs w:val="24"/>
              </w:rPr>
            </w:pPr>
            <w:hyperlink r:id="rId115" w:history="1">
              <w:r w:rsidR="009C6FD7" w:rsidRPr="00191ACB">
                <w:rPr>
                  <w:rFonts w:ascii="Times New Roman" w:eastAsia="Calibri" w:hAnsi="Times New Roman" w:cs="Times New Roman"/>
                  <w:sz w:val="24"/>
                  <w:szCs w:val="24"/>
                </w:rPr>
                <w:t>geoffreykaila@gmail.com</w:t>
              </w:r>
            </w:hyperlink>
            <w:r w:rsidR="009C6FD7" w:rsidRPr="00191ACB">
              <w:rPr>
                <w:rFonts w:ascii="Times New Roman" w:eastAsia="Calibri" w:hAnsi="Times New Roman" w:cs="Times New Roman"/>
                <w:sz w:val="24"/>
                <w:szCs w:val="24"/>
              </w:rPr>
              <w:t xml:space="preserve"> </w:t>
            </w:r>
            <w:hyperlink r:id="rId116" w:history="1">
              <w:r w:rsidR="009C6FD7" w:rsidRPr="00191ACB">
                <w:rPr>
                  <w:rFonts w:ascii="Times New Roman" w:eastAsia="Calibri" w:hAnsi="Times New Roman" w:cs="Times New Roman"/>
                  <w:sz w:val="24"/>
                  <w:szCs w:val="24"/>
                </w:rPr>
                <w:t>muhanyasolar@zamnet.zm</w:t>
              </w:r>
            </w:hyperlink>
            <w:r w:rsidR="009C6FD7" w:rsidRPr="00191ACB">
              <w:rPr>
                <w:rFonts w:ascii="Times New Roman" w:eastAsia="Calibri" w:hAnsi="Times New Roman" w:cs="Times New Roman"/>
                <w:sz w:val="24"/>
                <w:szCs w:val="24"/>
              </w:rPr>
              <w:t xml:space="preserve">  0975998340 or 0955882152</w:t>
            </w:r>
          </w:p>
        </w:tc>
      </w:tr>
      <w:tr w:rsidR="009C6FD7" w:rsidRPr="00191ACB" w14:paraId="7ACA9B14" w14:textId="77777777" w:rsidTr="00D10127">
        <w:tc>
          <w:tcPr>
            <w:tcW w:w="273" w:type="pct"/>
            <w:shd w:val="clear" w:color="auto" w:fill="auto"/>
          </w:tcPr>
          <w:p w14:paraId="2DA9CB98"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17</w:t>
            </w:r>
          </w:p>
        </w:tc>
        <w:tc>
          <w:tcPr>
            <w:tcW w:w="1130" w:type="pct"/>
            <w:shd w:val="clear" w:color="auto" w:fill="auto"/>
          </w:tcPr>
          <w:p w14:paraId="65F43F3D" w14:textId="016A3780"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Ministry of Finance Economic Management dept) </w:t>
            </w:r>
          </w:p>
        </w:tc>
        <w:tc>
          <w:tcPr>
            <w:tcW w:w="1769" w:type="pct"/>
            <w:shd w:val="clear" w:color="auto" w:fill="auto"/>
          </w:tcPr>
          <w:p w14:paraId="662AE9C4" w14:textId="0FDE23A2"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Tebuho Suuya (Economist-Real Sector)</w:t>
            </w:r>
          </w:p>
        </w:tc>
        <w:tc>
          <w:tcPr>
            <w:tcW w:w="1828" w:type="pct"/>
            <w:shd w:val="clear" w:color="auto" w:fill="auto"/>
          </w:tcPr>
          <w:p w14:paraId="1756DF8B" w14:textId="77777777" w:rsidR="009C6FD7" w:rsidRPr="00191ACB" w:rsidRDefault="00317BA0" w:rsidP="009C6FD7">
            <w:pPr>
              <w:spacing w:after="0" w:line="240" w:lineRule="auto"/>
              <w:rPr>
                <w:rFonts w:ascii="Times New Roman" w:eastAsia="Calibri" w:hAnsi="Times New Roman" w:cs="Times New Roman"/>
                <w:sz w:val="24"/>
                <w:szCs w:val="24"/>
              </w:rPr>
            </w:pPr>
            <w:hyperlink r:id="rId117" w:history="1">
              <w:r w:rsidR="009C6FD7" w:rsidRPr="00191ACB">
                <w:rPr>
                  <w:rFonts w:ascii="Times New Roman" w:eastAsia="Calibri" w:hAnsi="Times New Roman" w:cs="Times New Roman"/>
                  <w:sz w:val="24"/>
                  <w:szCs w:val="24"/>
                </w:rPr>
                <w:t>TebuhoSuuya@mof.gov.com</w:t>
              </w:r>
            </w:hyperlink>
            <w:r w:rsidR="009C6FD7" w:rsidRPr="00191ACB">
              <w:rPr>
                <w:rFonts w:ascii="Times New Roman" w:eastAsia="Calibri" w:hAnsi="Times New Roman" w:cs="Times New Roman"/>
                <w:sz w:val="24"/>
                <w:szCs w:val="24"/>
              </w:rPr>
              <w:t xml:space="preserve"> or </w:t>
            </w:r>
            <w:hyperlink r:id="rId118" w:history="1">
              <w:r w:rsidR="009C6FD7" w:rsidRPr="00191ACB">
                <w:rPr>
                  <w:rFonts w:ascii="Times New Roman" w:eastAsia="Calibri" w:hAnsi="Times New Roman" w:cs="Times New Roman"/>
                  <w:sz w:val="24"/>
                  <w:szCs w:val="24"/>
                </w:rPr>
                <w:t>tebuhosuuya@gmail.com</w:t>
              </w:r>
            </w:hyperlink>
            <w:r w:rsidR="009C6FD7" w:rsidRPr="00191ACB">
              <w:rPr>
                <w:rFonts w:ascii="Times New Roman" w:eastAsia="Calibri" w:hAnsi="Times New Roman" w:cs="Times New Roman"/>
                <w:sz w:val="24"/>
                <w:szCs w:val="24"/>
              </w:rPr>
              <w:t xml:space="preserve"> </w:t>
            </w:r>
          </w:p>
        </w:tc>
      </w:tr>
      <w:tr w:rsidR="009C6FD7" w:rsidRPr="00191ACB" w14:paraId="4859FAB0" w14:textId="77777777" w:rsidTr="00D10127">
        <w:tc>
          <w:tcPr>
            <w:tcW w:w="273" w:type="pct"/>
            <w:shd w:val="clear" w:color="auto" w:fill="auto"/>
          </w:tcPr>
          <w:p w14:paraId="49AC4853"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18</w:t>
            </w:r>
          </w:p>
        </w:tc>
        <w:tc>
          <w:tcPr>
            <w:tcW w:w="1130" w:type="pct"/>
            <w:shd w:val="clear" w:color="auto" w:fill="auto"/>
          </w:tcPr>
          <w:p w14:paraId="715F6DF1" w14:textId="3C4E69A8" w:rsidR="009C6FD7" w:rsidRPr="00191ACB" w:rsidRDefault="000F44A6"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ZAMSTATS</w:t>
            </w:r>
            <w:r w:rsidR="009C6FD7" w:rsidRPr="00191ACB">
              <w:rPr>
                <w:rFonts w:ascii="Times New Roman" w:eastAsia="Calibri" w:hAnsi="Times New Roman" w:cs="Times New Roman"/>
                <w:sz w:val="24"/>
                <w:szCs w:val="24"/>
              </w:rPr>
              <w:t xml:space="preserve"> </w:t>
            </w:r>
          </w:p>
        </w:tc>
        <w:tc>
          <w:tcPr>
            <w:tcW w:w="1769" w:type="pct"/>
            <w:shd w:val="clear" w:color="auto" w:fill="auto"/>
          </w:tcPr>
          <w:p w14:paraId="7509B5ED" w14:textId="5809B5AC"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Masiliso Sooka (Senior Statistician – Agriculture Statistics Branch)</w:t>
            </w:r>
          </w:p>
        </w:tc>
        <w:tc>
          <w:tcPr>
            <w:tcW w:w="1828" w:type="pct"/>
            <w:shd w:val="clear" w:color="auto" w:fill="auto"/>
          </w:tcPr>
          <w:p w14:paraId="10953D36" w14:textId="2D770409" w:rsidR="009C6FD7" w:rsidRPr="00191ACB" w:rsidRDefault="00317BA0" w:rsidP="009C6FD7">
            <w:pPr>
              <w:spacing w:after="0" w:line="240" w:lineRule="auto"/>
              <w:rPr>
                <w:rFonts w:ascii="Times New Roman" w:eastAsia="Calibri" w:hAnsi="Times New Roman" w:cs="Times New Roman"/>
                <w:sz w:val="24"/>
                <w:szCs w:val="24"/>
              </w:rPr>
            </w:pPr>
            <w:hyperlink r:id="rId119" w:history="1">
              <w:r w:rsidR="009C6FD7" w:rsidRPr="00191ACB">
                <w:rPr>
                  <w:rFonts w:ascii="Times New Roman" w:eastAsia="Calibri" w:hAnsi="Times New Roman" w:cs="Times New Roman"/>
                  <w:sz w:val="24"/>
                  <w:szCs w:val="24"/>
                </w:rPr>
                <w:t>msooka@</w:t>
              </w:r>
              <w:r w:rsidR="000F44A6" w:rsidRPr="00191ACB">
                <w:rPr>
                  <w:rFonts w:ascii="Times New Roman" w:eastAsia="Calibri" w:hAnsi="Times New Roman" w:cs="Times New Roman"/>
                  <w:sz w:val="24"/>
                  <w:szCs w:val="24"/>
                </w:rPr>
                <w:t>Zamstats</w:t>
              </w:r>
              <w:r w:rsidR="009C6FD7" w:rsidRPr="00191ACB">
                <w:rPr>
                  <w:rFonts w:ascii="Times New Roman" w:eastAsia="Calibri" w:hAnsi="Times New Roman" w:cs="Times New Roman"/>
                  <w:sz w:val="24"/>
                  <w:szCs w:val="24"/>
                </w:rPr>
                <w:t>.gov.zm</w:t>
              </w:r>
            </w:hyperlink>
            <w:r w:rsidR="009C6FD7" w:rsidRPr="00191ACB">
              <w:rPr>
                <w:rFonts w:ascii="Times New Roman" w:eastAsia="Calibri" w:hAnsi="Times New Roman" w:cs="Times New Roman"/>
                <w:sz w:val="24"/>
                <w:szCs w:val="24"/>
              </w:rPr>
              <w:t xml:space="preserve"> </w:t>
            </w:r>
            <w:hyperlink r:id="rId120" w:history="1">
              <w:r w:rsidR="009C6FD7" w:rsidRPr="00191ACB">
                <w:rPr>
                  <w:rFonts w:ascii="Times New Roman" w:eastAsia="Calibri" w:hAnsi="Times New Roman" w:cs="Times New Roman"/>
                  <w:sz w:val="24"/>
                  <w:szCs w:val="24"/>
                </w:rPr>
                <w:t>msooka@live.com</w:t>
              </w:r>
            </w:hyperlink>
            <w:r w:rsidR="009C6FD7" w:rsidRPr="00191ACB">
              <w:rPr>
                <w:rFonts w:ascii="Times New Roman" w:eastAsia="Calibri" w:hAnsi="Times New Roman" w:cs="Times New Roman"/>
                <w:sz w:val="24"/>
                <w:szCs w:val="24"/>
              </w:rPr>
              <w:t xml:space="preserve">  0977871175  or 0211251377/85</w:t>
            </w:r>
          </w:p>
        </w:tc>
      </w:tr>
      <w:tr w:rsidR="009C6FD7" w:rsidRPr="00191ACB" w14:paraId="128C4C21" w14:textId="77777777" w:rsidTr="00D10127">
        <w:tc>
          <w:tcPr>
            <w:tcW w:w="273" w:type="pct"/>
            <w:shd w:val="clear" w:color="auto" w:fill="auto"/>
          </w:tcPr>
          <w:p w14:paraId="3EF30303"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19 </w:t>
            </w:r>
          </w:p>
        </w:tc>
        <w:tc>
          <w:tcPr>
            <w:tcW w:w="1130" w:type="pct"/>
            <w:shd w:val="clear" w:color="auto" w:fill="auto"/>
          </w:tcPr>
          <w:p w14:paraId="0BC75219"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NWASCO</w:t>
            </w:r>
          </w:p>
        </w:tc>
        <w:tc>
          <w:tcPr>
            <w:tcW w:w="1769" w:type="pct"/>
            <w:shd w:val="clear" w:color="auto" w:fill="auto"/>
          </w:tcPr>
          <w:p w14:paraId="78A551E9" w14:textId="0AFBC97D"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Peter Mutale (Chief Inspector) </w:t>
            </w:r>
          </w:p>
          <w:p w14:paraId="794446C3"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Kasenga Hara </w:t>
            </w:r>
          </w:p>
        </w:tc>
        <w:tc>
          <w:tcPr>
            <w:tcW w:w="1828" w:type="pct"/>
            <w:shd w:val="clear" w:color="auto" w:fill="auto"/>
          </w:tcPr>
          <w:p w14:paraId="4B5B8F11" w14:textId="77777777" w:rsidR="009C6FD7" w:rsidRPr="00191ACB" w:rsidRDefault="00317BA0" w:rsidP="009C6FD7">
            <w:pPr>
              <w:spacing w:after="0" w:line="240" w:lineRule="auto"/>
              <w:rPr>
                <w:rFonts w:ascii="Times New Roman" w:eastAsia="Calibri" w:hAnsi="Times New Roman" w:cs="Times New Roman"/>
                <w:sz w:val="24"/>
                <w:szCs w:val="24"/>
              </w:rPr>
            </w:pPr>
            <w:hyperlink r:id="rId121" w:history="1">
              <w:r w:rsidR="009C6FD7" w:rsidRPr="00191ACB">
                <w:rPr>
                  <w:rFonts w:ascii="Times New Roman" w:eastAsia="Calibri" w:hAnsi="Times New Roman" w:cs="Times New Roman"/>
                  <w:sz w:val="24"/>
                  <w:szCs w:val="24"/>
                </w:rPr>
                <w:t>pmutale@nwasco.org.zm</w:t>
              </w:r>
            </w:hyperlink>
            <w:r w:rsidR="009C6FD7" w:rsidRPr="00191ACB">
              <w:rPr>
                <w:rFonts w:ascii="Times New Roman" w:eastAsia="Calibri" w:hAnsi="Times New Roman" w:cs="Times New Roman"/>
                <w:sz w:val="24"/>
                <w:szCs w:val="24"/>
              </w:rPr>
              <w:t xml:space="preserve"> 0977702013 0r 0211238438/226941</w:t>
            </w:r>
          </w:p>
        </w:tc>
      </w:tr>
      <w:tr w:rsidR="009C6FD7" w:rsidRPr="00191ACB" w14:paraId="7AAC59CC" w14:textId="77777777" w:rsidTr="00D10127">
        <w:tc>
          <w:tcPr>
            <w:tcW w:w="273" w:type="pct"/>
            <w:shd w:val="clear" w:color="auto" w:fill="auto"/>
          </w:tcPr>
          <w:p w14:paraId="2B51565F"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20</w:t>
            </w:r>
          </w:p>
        </w:tc>
        <w:tc>
          <w:tcPr>
            <w:tcW w:w="1130" w:type="pct"/>
            <w:shd w:val="clear" w:color="auto" w:fill="auto"/>
          </w:tcPr>
          <w:p w14:paraId="6A6B3FD1"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RTSA</w:t>
            </w:r>
          </w:p>
        </w:tc>
        <w:tc>
          <w:tcPr>
            <w:tcW w:w="1769" w:type="pct"/>
            <w:shd w:val="clear" w:color="auto" w:fill="auto"/>
          </w:tcPr>
          <w:p w14:paraId="2F7C35CE" w14:textId="786D7E00"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Moses Mwale (Statistical Officer)</w:t>
            </w:r>
          </w:p>
        </w:tc>
        <w:tc>
          <w:tcPr>
            <w:tcW w:w="1828" w:type="pct"/>
            <w:shd w:val="clear" w:color="auto" w:fill="auto"/>
          </w:tcPr>
          <w:p w14:paraId="4B28E37F" w14:textId="77777777" w:rsidR="009C6FD7" w:rsidRPr="00191ACB" w:rsidRDefault="00317BA0" w:rsidP="009C6FD7">
            <w:pPr>
              <w:spacing w:after="0" w:line="240" w:lineRule="auto"/>
              <w:rPr>
                <w:rFonts w:ascii="Times New Roman" w:eastAsia="Calibri" w:hAnsi="Times New Roman" w:cs="Times New Roman"/>
                <w:sz w:val="24"/>
                <w:szCs w:val="24"/>
              </w:rPr>
            </w:pPr>
            <w:hyperlink r:id="rId122" w:history="1">
              <w:r w:rsidR="009C6FD7" w:rsidRPr="00191ACB">
                <w:rPr>
                  <w:rFonts w:ascii="Times New Roman" w:eastAsia="Calibri" w:hAnsi="Times New Roman" w:cs="Times New Roman"/>
                  <w:sz w:val="24"/>
                  <w:szCs w:val="24"/>
                </w:rPr>
                <w:t>mmwale@rtsa.org.zm</w:t>
              </w:r>
            </w:hyperlink>
            <w:r w:rsidR="009C6FD7" w:rsidRPr="00191ACB">
              <w:rPr>
                <w:rFonts w:ascii="Times New Roman" w:eastAsia="Calibri" w:hAnsi="Times New Roman" w:cs="Times New Roman"/>
                <w:sz w:val="24"/>
                <w:szCs w:val="24"/>
              </w:rPr>
              <w:t xml:space="preserve"> 0977466624</w:t>
            </w:r>
          </w:p>
        </w:tc>
      </w:tr>
      <w:tr w:rsidR="009C6FD7" w:rsidRPr="00191ACB" w14:paraId="7159F1BA" w14:textId="77777777" w:rsidTr="00D10127">
        <w:tc>
          <w:tcPr>
            <w:tcW w:w="273" w:type="pct"/>
            <w:shd w:val="clear" w:color="auto" w:fill="auto"/>
          </w:tcPr>
          <w:p w14:paraId="40FDDF12"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21</w:t>
            </w:r>
          </w:p>
        </w:tc>
        <w:tc>
          <w:tcPr>
            <w:tcW w:w="1130" w:type="pct"/>
            <w:shd w:val="clear" w:color="auto" w:fill="auto"/>
          </w:tcPr>
          <w:p w14:paraId="66638808"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National Remote Sensing Centre</w:t>
            </w:r>
          </w:p>
        </w:tc>
        <w:tc>
          <w:tcPr>
            <w:tcW w:w="1769" w:type="pct"/>
            <w:shd w:val="clear" w:color="auto" w:fill="auto"/>
          </w:tcPr>
          <w:p w14:paraId="13669A96"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Elizabeth M Zulu (Executive Assistant – HR)</w:t>
            </w:r>
          </w:p>
        </w:tc>
        <w:tc>
          <w:tcPr>
            <w:tcW w:w="1828" w:type="pct"/>
            <w:shd w:val="clear" w:color="auto" w:fill="auto"/>
          </w:tcPr>
          <w:p w14:paraId="624533BF" w14:textId="77777777" w:rsidR="009C6FD7" w:rsidRPr="00191ACB" w:rsidRDefault="00317BA0" w:rsidP="009C6FD7">
            <w:pPr>
              <w:spacing w:after="0" w:line="240" w:lineRule="auto"/>
              <w:rPr>
                <w:rFonts w:ascii="Times New Roman" w:eastAsia="Calibri" w:hAnsi="Times New Roman" w:cs="Times New Roman"/>
                <w:sz w:val="24"/>
                <w:szCs w:val="24"/>
              </w:rPr>
            </w:pPr>
            <w:hyperlink r:id="rId123" w:history="1">
              <w:r w:rsidR="009C6FD7" w:rsidRPr="00191ACB">
                <w:rPr>
                  <w:rFonts w:ascii="Times New Roman" w:eastAsia="Calibri" w:hAnsi="Times New Roman" w:cs="Times New Roman"/>
                  <w:sz w:val="24"/>
                  <w:szCs w:val="24"/>
                </w:rPr>
                <w:t>ezulu@nrsc.org.zm</w:t>
              </w:r>
            </w:hyperlink>
            <w:r w:rsidR="009C6FD7" w:rsidRPr="00191ACB">
              <w:rPr>
                <w:rFonts w:ascii="Times New Roman" w:eastAsia="Calibri" w:hAnsi="Times New Roman" w:cs="Times New Roman"/>
                <w:sz w:val="24"/>
                <w:szCs w:val="24"/>
              </w:rPr>
              <w:t xml:space="preserve">; </w:t>
            </w:r>
            <w:hyperlink r:id="rId124" w:history="1">
              <w:r w:rsidR="009C6FD7" w:rsidRPr="00191ACB">
                <w:rPr>
                  <w:rFonts w:ascii="Times New Roman" w:eastAsia="Calibri" w:hAnsi="Times New Roman" w:cs="Times New Roman"/>
                  <w:sz w:val="24"/>
                  <w:szCs w:val="24"/>
                </w:rPr>
                <w:t>zuluemumba@yahoo.com</w:t>
              </w:r>
            </w:hyperlink>
          </w:p>
          <w:p w14:paraId="13DF1CA0"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0977/0955 842523   0211 282432</w:t>
            </w:r>
          </w:p>
        </w:tc>
      </w:tr>
      <w:tr w:rsidR="009C6FD7" w:rsidRPr="00191ACB" w14:paraId="5384F9E4" w14:textId="77777777" w:rsidTr="00D10127">
        <w:tc>
          <w:tcPr>
            <w:tcW w:w="273" w:type="pct"/>
            <w:shd w:val="clear" w:color="auto" w:fill="auto"/>
          </w:tcPr>
          <w:p w14:paraId="229B50FA"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22</w:t>
            </w:r>
          </w:p>
        </w:tc>
        <w:tc>
          <w:tcPr>
            <w:tcW w:w="1130" w:type="pct"/>
            <w:shd w:val="clear" w:color="auto" w:fill="auto"/>
          </w:tcPr>
          <w:p w14:paraId="3B7E4995"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ZCCN </w:t>
            </w:r>
          </w:p>
        </w:tc>
        <w:tc>
          <w:tcPr>
            <w:tcW w:w="1769" w:type="pct"/>
            <w:shd w:val="clear" w:color="auto" w:fill="auto"/>
          </w:tcPr>
          <w:p w14:paraId="76D9ACE5"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Patrick Kapanda Kabanda</w:t>
            </w:r>
          </w:p>
        </w:tc>
        <w:tc>
          <w:tcPr>
            <w:tcW w:w="1828" w:type="pct"/>
            <w:shd w:val="clear" w:color="auto" w:fill="auto"/>
          </w:tcPr>
          <w:p w14:paraId="17CAD03E" w14:textId="77777777" w:rsidR="009C6FD7" w:rsidRPr="00191ACB" w:rsidRDefault="00317BA0" w:rsidP="009C6FD7">
            <w:pPr>
              <w:spacing w:after="0" w:line="240" w:lineRule="auto"/>
              <w:rPr>
                <w:rFonts w:ascii="Times New Roman" w:eastAsia="Calibri" w:hAnsi="Times New Roman" w:cs="Times New Roman"/>
                <w:sz w:val="24"/>
                <w:szCs w:val="24"/>
              </w:rPr>
            </w:pPr>
            <w:hyperlink r:id="rId125" w:history="1">
              <w:r w:rsidR="009C6FD7" w:rsidRPr="00191ACB">
                <w:rPr>
                  <w:rFonts w:ascii="Times New Roman" w:eastAsia="Calibri" w:hAnsi="Times New Roman" w:cs="Times New Roman"/>
                  <w:sz w:val="24"/>
                  <w:szCs w:val="24"/>
                </w:rPr>
                <w:t>kabandapk@gmail.com</w:t>
              </w:r>
            </w:hyperlink>
          </w:p>
          <w:p w14:paraId="5AA3A886" w14:textId="77777777" w:rsidR="009C6FD7" w:rsidRPr="00191ACB" w:rsidRDefault="00317BA0" w:rsidP="009C6FD7">
            <w:pPr>
              <w:spacing w:after="0" w:line="240" w:lineRule="auto"/>
              <w:rPr>
                <w:rFonts w:ascii="Times New Roman" w:eastAsia="Calibri" w:hAnsi="Times New Roman" w:cs="Times New Roman"/>
                <w:sz w:val="24"/>
                <w:szCs w:val="24"/>
              </w:rPr>
            </w:pPr>
            <w:hyperlink r:id="rId126" w:history="1">
              <w:r w:rsidR="009C6FD7" w:rsidRPr="00191ACB">
                <w:rPr>
                  <w:rFonts w:ascii="Times New Roman" w:eastAsia="Calibri" w:hAnsi="Times New Roman" w:cs="Times New Roman"/>
                  <w:sz w:val="24"/>
                  <w:szCs w:val="24"/>
                </w:rPr>
                <w:t>kabandapk@zccn.org</w:t>
              </w:r>
            </w:hyperlink>
            <w:r w:rsidR="009C6FD7" w:rsidRPr="00191ACB">
              <w:rPr>
                <w:rFonts w:ascii="Times New Roman" w:eastAsia="Calibri" w:hAnsi="Times New Roman" w:cs="Times New Roman"/>
                <w:sz w:val="24"/>
                <w:szCs w:val="24"/>
              </w:rPr>
              <w:t xml:space="preserve"> 0978574924</w:t>
            </w:r>
          </w:p>
        </w:tc>
      </w:tr>
      <w:tr w:rsidR="009C6FD7" w:rsidRPr="00191ACB" w14:paraId="61E07CCB" w14:textId="77777777" w:rsidTr="00D10127">
        <w:tc>
          <w:tcPr>
            <w:tcW w:w="273" w:type="pct"/>
            <w:shd w:val="clear" w:color="auto" w:fill="auto"/>
          </w:tcPr>
          <w:p w14:paraId="2F73782B"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23</w:t>
            </w:r>
          </w:p>
        </w:tc>
        <w:tc>
          <w:tcPr>
            <w:tcW w:w="1130" w:type="pct"/>
            <w:shd w:val="clear" w:color="auto" w:fill="auto"/>
          </w:tcPr>
          <w:p w14:paraId="7BD5E960"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OPPPI</w:t>
            </w:r>
          </w:p>
        </w:tc>
        <w:tc>
          <w:tcPr>
            <w:tcW w:w="1769" w:type="pct"/>
            <w:shd w:val="clear" w:color="auto" w:fill="auto"/>
          </w:tcPr>
          <w:p w14:paraId="58670D52" w14:textId="1B87ABAE"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Clement Chiwele (Chief Engineer)</w:t>
            </w:r>
          </w:p>
        </w:tc>
        <w:tc>
          <w:tcPr>
            <w:tcW w:w="1828" w:type="pct"/>
            <w:shd w:val="clear" w:color="auto" w:fill="auto"/>
          </w:tcPr>
          <w:p w14:paraId="0476EFF7" w14:textId="77777777" w:rsidR="009C6FD7" w:rsidRPr="00191ACB" w:rsidRDefault="009C6FD7" w:rsidP="009C6FD7">
            <w:pPr>
              <w:spacing w:after="0" w:line="240" w:lineRule="auto"/>
              <w:rPr>
                <w:rFonts w:ascii="Times New Roman" w:eastAsia="Calibri" w:hAnsi="Times New Roman" w:cs="Times New Roman"/>
                <w:sz w:val="24"/>
                <w:szCs w:val="24"/>
              </w:rPr>
            </w:pPr>
          </w:p>
        </w:tc>
      </w:tr>
      <w:tr w:rsidR="009C6FD7" w:rsidRPr="00191ACB" w14:paraId="01CCEB11" w14:textId="77777777" w:rsidTr="00D10127">
        <w:tc>
          <w:tcPr>
            <w:tcW w:w="273" w:type="pct"/>
            <w:shd w:val="clear" w:color="auto" w:fill="auto"/>
          </w:tcPr>
          <w:p w14:paraId="7C205C12"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24</w:t>
            </w:r>
          </w:p>
        </w:tc>
        <w:tc>
          <w:tcPr>
            <w:tcW w:w="1130" w:type="pct"/>
            <w:shd w:val="clear" w:color="auto" w:fill="auto"/>
          </w:tcPr>
          <w:p w14:paraId="00792710"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Ministry of Transport </w:t>
            </w:r>
          </w:p>
        </w:tc>
        <w:tc>
          <w:tcPr>
            <w:tcW w:w="1769" w:type="pct"/>
            <w:shd w:val="clear" w:color="auto" w:fill="auto"/>
          </w:tcPr>
          <w:p w14:paraId="42DC427D" w14:textId="18340248"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John C Chiluwe</w:t>
            </w:r>
            <w:r w:rsidR="001F1576">
              <w:rPr>
                <w:rFonts w:ascii="Times New Roman" w:eastAsia="Calibri" w:hAnsi="Times New Roman" w:cs="Times New Roman"/>
                <w:sz w:val="24"/>
                <w:szCs w:val="24"/>
              </w:rPr>
              <w:t xml:space="preserve"> </w:t>
            </w:r>
            <w:r w:rsidRPr="00191ACB">
              <w:rPr>
                <w:rFonts w:ascii="Times New Roman" w:eastAsia="Calibri" w:hAnsi="Times New Roman" w:cs="Times New Roman"/>
                <w:sz w:val="24"/>
                <w:szCs w:val="24"/>
              </w:rPr>
              <w:t>(Assistant Director Transport – Road and Railway)</w:t>
            </w:r>
          </w:p>
        </w:tc>
        <w:tc>
          <w:tcPr>
            <w:tcW w:w="1828" w:type="pct"/>
            <w:shd w:val="clear" w:color="auto" w:fill="auto"/>
          </w:tcPr>
          <w:p w14:paraId="16EF9FAA" w14:textId="77777777" w:rsidR="009C6FD7" w:rsidRPr="00191ACB" w:rsidRDefault="00317BA0" w:rsidP="009C6FD7">
            <w:pPr>
              <w:spacing w:after="0" w:line="240" w:lineRule="auto"/>
              <w:rPr>
                <w:rFonts w:ascii="Times New Roman" w:eastAsia="Calibri" w:hAnsi="Times New Roman" w:cs="Times New Roman"/>
                <w:sz w:val="24"/>
                <w:szCs w:val="24"/>
              </w:rPr>
            </w:pPr>
            <w:hyperlink r:id="rId127" w:history="1">
              <w:r w:rsidR="009C6FD7" w:rsidRPr="00191ACB">
                <w:rPr>
                  <w:rFonts w:ascii="Times New Roman" w:eastAsia="Calibri" w:hAnsi="Times New Roman" w:cs="Times New Roman"/>
                  <w:sz w:val="24"/>
                  <w:szCs w:val="24"/>
                </w:rPr>
                <w:t>johnchiluwe@yahoo.co.uk</w:t>
              </w:r>
            </w:hyperlink>
            <w:r w:rsidR="009C6FD7" w:rsidRPr="00191ACB">
              <w:rPr>
                <w:rFonts w:ascii="Times New Roman" w:eastAsia="Calibri" w:hAnsi="Times New Roman" w:cs="Times New Roman"/>
                <w:sz w:val="24"/>
                <w:szCs w:val="24"/>
              </w:rPr>
              <w:t xml:space="preserve"> 0955113006 0977400594</w:t>
            </w:r>
          </w:p>
        </w:tc>
      </w:tr>
      <w:tr w:rsidR="009C6FD7" w:rsidRPr="00191ACB" w14:paraId="482B6071" w14:textId="77777777" w:rsidTr="00D10127">
        <w:tc>
          <w:tcPr>
            <w:tcW w:w="273" w:type="pct"/>
            <w:shd w:val="clear" w:color="auto" w:fill="auto"/>
          </w:tcPr>
          <w:p w14:paraId="2D62A865"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25</w:t>
            </w:r>
          </w:p>
        </w:tc>
        <w:tc>
          <w:tcPr>
            <w:tcW w:w="1130" w:type="pct"/>
            <w:shd w:val="clear" w:color="auto" w:fill="auto"/>
          </w:tcPr>
          <w:p w14:paraId="3CE2ED88"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Ministry of Local Government and Housing </w:t>
            </w:r>
          </w:p>
        </w:tc>
        <w:tc>
          <w:tcPr>
            <w:tcW w:w="1769" w:type="pct"/>
            <w:shd w:val="clear" w:color="auto" w:fill="auto"/>
          </w:tcPr>
          <w:p w14:paraId="68BF45C8" w14:textId="1E483CBB"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Hartman Ngwale (Senior Solid Waste Management Officer)</w:t>
            </w:r>
          </w:p>
        </w:tc>
        <w:tc>
          <w:tcPr>
            <w:tcW w:w="1828" w:type="pct"/>
            <w:shd w:val="clear" w:color="auto" w:fill="auto"/>
          </w:tcPr>
          <w:p w14:paraId="0CE4FF86" w14:textId="77777777" w:rsidR="009C6FD7" w:rsidRPr="00191ACB" w:rsidRDefault="00317BA0" w:rsidP="009C6FD7">
            <w:pPr>
              <w:spacing w:after="0" w:line="240" w:lineRule="auto"/>
              <w:rPr>
                <w:rFonts w:ascii="Times New Roman" w:eastAsia="Calibri" w:hAnsi="Times New Roman" w:cs="Times New Roman"/>
                <w:sz w:val="24"/>
                <w:szCs w:val="24"/>
              </w:rPr>
            </w:pPr>
            <w:hyperlink r:id="rId128" w:history="1">
              <w:r w:rsidR="009C6FD7" w:rsidRPr="00191ACB">
                <w:rPr>
                  <w:rFonts w:ascii="Times New Roman" w:eastAsia="Calibri" w:hAnsi="Times New Roman" w:cs="Times New Roman"/>
                  <w:sz w:val="24"/>
                  <w:szCs w:val="24"/>
                </w:rPr>
                <w:t>hkngwale@yahoo.com</w:t>
              </w:r>
            </w:hyperlink>
            <w:r w:rsidR="009C6FD7" w:rsidRPr="00191ACB">
              <w:rPr>
                <w:rFonts w:ascii="Times New Roman" w:eastAsia="Calibri" w:hAnsi="Times New Roman" w:cs="Times New Roman"/>
                <w:sz w:val="24"/>
                <w:szCs w:val="24"/>
              </w:rPr>
              <w:t xml:space="preserve"> 0966697919</w:t>
            </w:r>
          </w:p>
        </w:tc>
      </w:tr>
      <w:tr w:rsidR="009C6FD7" w:rsidRPr="00191ACB" w14:paraId="39CFB7AF" w14:textId="77777777" w:rsidTr="00D10127">
        <w:tc>
          <w:tcPr>
            <w:tcW w:w="273" w:type="pct"/>
            <w:shd w:val="clear" w:color="auto" w:fill="auto"/>
          </w:tcPr>
          <w:p w14:paraId="431FA1B2"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27</w:t>
            </w:r>
          </w:p>
        </w:tc>
        <w:tc>
          <w:tcPr>
            <w:tcW w:w="1130" w:type="pct"/>
            <w:shd w:val="clear" w:color="auto" w:fill="auto"/>
          </w:tcPr>
          <w:p w14:paraId="2F8B10EB"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Ministry of Energy - Petroleum</w:t>
            </w:r>
          </w:p>
        </w:tc>
        <w:tc>
          <w:tcPr>
            <w:tcW w:w="1769" w:type="pct"/>
            <w:shd w:val="clear" w:color="auto" w:fill="auto"/>
          </w:tcPr>
          <w:p w14:paraId="0514C664"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Ilitongo Kaywala</w:t>
            </w:r>
          </w:p>
        </w:tc>
        <w:tc>
          <w:tcPr>
            <w:tcW w:w="1828" w:type="pct"/>
            <w:shd w:val="clear" w:color="auto" w:fill="auto"/>
          </w:tcPr>
          <w:p w14:paraId="090B9497" w14:textId="77777777" w:rsidR="009C6FD7" w:rsidRPr="00191ACB" w:rsidRDefault="00317BA0" w:rsidP="009C6FD7">
            <w:pPr>
              <w:spacing w:after="0" w:line="240" w:lineRule="auto"/>
              <w:rPr>
                <w:rFonts w:ascii="Times New Roman" w:eastAsia="Calibri" w:hAnsi="Times New Roman" w:cs="Times New Roman"/>
                <w:sz w:val="24"/>
                <w:szCs w:val="24"/>
              </w:rPr>
            </w:pPr>
            <w:hyperlink r:id="rId129" w:history="1">
              <w:r w:rsidR="009C6FD7" w:rsidRPr="00191ACB">
                <w:rPr>
                  <w:rFonts w:ascii="Times New Roman" w:eastAsia="Calibri" w:hAnsi="Times New Roman" w:cs="Times New Roman"/>
                  <w:sz w:val="24"/>
                  <w:szCs w:val="24"/>
                </w:rPr>
                <w:t>ilitongokaywala@moe.gov.zm</w:t>
              </w:r>
            </w:hyperlink>
          </w:p>
          <w:p w14:paraId="1C50296B" w14:textId="77777777" w:rsidR="009C6FD7" w:rsidRPr="00191ACB" w:rsidRDefault="00317BA0" w:rsidP="009C6FD7">
            <w:pPr>
              <w:spacing w:after="0" w:line="240" w:lineRule="auto"/>
              <w:rPr>
                <w:rFonts w:ascii="Times New Roman" w:eastAsia="Calibri" w:hAnsi="Times New Roman" w:cs="Times New Roman"/>
                <w:sz w:val="24"/>
                <w:szCs w:val="24"/>
              </w:rPr>
            </w:pPr>
            <w:hyperlink r:id="rId130" w:history="1">
              <w:r w:rsidR="009C6FD7" w:rsidRPr="00191ACB">
                <w:rPr>
                  <w:rFonts w:ascii="Times New Roman" w:eastAsia="Calibri" w:hAnsi="Times New Roman" w:cs="Times New Roman"/>
                  <w:sz w:val="24"/>
                  <w:szCs w:val="24"/>
                </w:rPr>
                <w:t>kaywala.ilitongo@gmail.com</w:t>
              </w:r>
            </w:hyperlink>
          </w:p>
          <w:p w14:paraId="4A51A910"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0969462549 </w:t>
            </w:r>
          </w:p>
        </w:tc>
      </w:tr>
      <w:tr w:rsidR="009C6FD7" w:rsidRPr="00191ACB" w14:paraId="1B038CCE" w14:textId="77777777" w:rsidTr="00D10127">
        <w:tc>
          <w:tcPr>
            <w:tcW w:w="273" w:type="pct"/>
            <w:shd w:val="clear" w:color="auto" w:fill="auto"/>
          </w:tcPr>
          <w:p w14:paraId="70C68B7D"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28</w:t>
            </w:r>
          </w:p>
        </w:tc>
        <w:tc>
          <w:tcPr>
            <w:tcW w:w="1130" w:type="pct"/>
            <w:shd w:val="clear" w:color="auto" w:fill="auto"/>
          </w:tcPr>
          <w:p w14:paraId="0BE22F3A"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Ministry of Mines </w:t>
            </w:r>
          </w:p>
        </w:tc>
        <w:tc>
          <w:tcPr>
            <w:tcW w:w="1769" w:type="pct"/>
            <w:shd w:val="clear" w:color="auto" w:fill="auto"/>
          </w:tcPr>
          <w:p w14:paraId="7F3A7E70"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George Milongo</w:t>
            </w:r>
          </w:p>
          <w:p w14:paraId="02117BA3"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Billy Chewe</w:t>
            </w:r>
          </w:p>
        </w:tc>
        <w:tc>
          <w:tcPr>
            <w:tcW w:w="1828" w:type="pct"/>
            <w:shd w:val="clear" w:color="auto" w:fill="auto"/>
          </w:tcPr>
          <w:p w14:paraId="73C0D3E2" w14:textId="77777777" w:rsidR="009C6FD7" w:rsidRPr="00191ACB" w:rsidRDefault="00317BA0" w:rsidP="009C6FD7">
            <w:pPr>
              <w:spacing w:after="0" w:line="240" w:lineRule="auto"/>
              <w:rPr>
                <w:rFonts w:ascii="Times New Roman" w:eastAsia="Calibri" w:hAnsi="Times New Roman" w:cs="Times New Roman"/>
                <w:sz w:val="24"/>
                <w:szCs w:val="24"/>
              </w:rPr>
            </w:pPr>
            <w:hyperlink r:id="rId131" w:history="1">
              <w:r w:rsidR="009C6FD7" w:rsidRPr="00191ACB">
                <w:rPr>
                  <w:rFonts w:ascii="Times New Roman" w:eastAsia="Calibri" w:hAnsi="Times New Roman" w:cs="Times New Roman"/>
                  <w:sz w:val="24"/>
                  <w:szCs w:val="24"/>
                </w:rPr>
                <w:t>georgemilongo@gmail.com</w:t>
              </w:r>
            </w:hyperlink>
          </w:p>
          <w:p w14:paraId="478D83BC"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billychewe@gmail.com</w:t>
            </w:r>
          </w:p>
        </w:tc>
      </w:tr>
      <w:tr w:rsidR="009C6FD7" w:rsidRPr="00191ACB" w14:paraId="7F1592B1" w14:textId="77777777" w:rsidTr="00D10127">
        <w:tc>
          <w:tcPr>
            <w:tcW w:w="273" w:type="pct"/>
            <w:shd w:val="clear" w:color="auto" w:fill="auto"/>
          </w:tcPr>
          <w:p w14:paraId="723D7594"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29</w:t>
            </w:r>
          </w:p>
        </w:tc>
        <w:tc>
          <w:tcPr>
            <w:tcW w:w="1130" w:type="pct"/>
            <w:shd w:val="clear" w:color="auto" w:fill="auto"/>
          </w:tcPr>
          <w:p w14:paraId="3AD49831"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ZESCO – Renewable Energy</w:t>
            </w:r>
          </w:p>
        </w:tc>
        <w:tc>
          <w:tcPr>
            <w:tcW w:w="1769" w:type="pct"/>
            <w:shd w:val="clear" w:color="auto" w:fill="auto"/>
          </w:tcPr>
          <w:p w14:paraId="08DF5929"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Mr Simainga (Manager Renewable Energy)</w:t>
            </w:r>
          </w:p>
        </w:tc>
        <w:tc>
          <w:tcPr>
            <w:tcW w:w="1828" w:type="pct"/>
            <w:shd w:val="clear" w:color="auto" w:fill="auto"/>
          </w:tcPr>
          <w:p w14:paraId="7B6C26B3"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w:t>
            </w:r>
          </w:p>
        </w:tc>
      </w:tr>
      <w:tr w:rsidR="009C6FD7" w:rsidRPr="00191ACB" w14:paraId="6F7EBBCB" w14:textId="77777777" w:rsidTr="00D10127">
        <w:tc>
          <w:tcPr>
            <w:tcW w:w="273" w:type="pct"/>
            <w:shd w:val="clear" w:color="auto" w:fill="auto"/>
          </w:tcPr>
          <w:p w14:paraId="79A97F44"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30</w:t>
            </w:r>
          </w:p>
        </w:tc>
        <w:tc>
          <w:tcPr>
            <w:tcW w:w="1130" w:type="pct"/>
            <w:shd w:val="clear" w:color="auto" w:fill="auto"/>
          </w:tcPr>
          <w:p w14:paraId="7684545A"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Ministry of Energy -Planning</w:t>
            </w:r>
          </w:p>
        </w:tc>
        <w:tc>
          <w:tcPr>
            <w:tcW w:w="1769" w:type="pct"/>
            <w:shd w:val="clear" w:color="auto" w:fill="auto"/>
          </w:tcPr>
          <w:p w14:paraId="4DA4FC40" w14:textId="544E8ABA"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Rachel Tetamashimba (Senior Researcher)</w:t>
            </w:r>
          </w:p>
        </w:tc>
        <w:tc>
          <w:tcPr>
            <w:tcW w:w="1828" w:type="pct"/>
            <w:shd w:val="clear" w:color="auto" w:fill="auto"/>
          </w:tcPr>
          <w:p w14:paraId="4D6E1152" w14:textId="77777777" w:rsidR="009C6FD7" w:rsidRPr="00191ACB" w:rsidRDefault="00317BA0" w:rsidP="009C6FD7">
            <w:pPr>
              <w:spacing w:after="0" w:line="240" w:lineRule="auto"/>
              <w:rPr>
                <w:rFonts w:ascii="Times New Roman" w:eastAsia="Calibri" w:hAnsi="Times New Roman" w:cs="Times New Roman"/>
                <w:sz w:val="24"/>
                <w:szCs w:val="24"/>
              </w:rPr>
            </w:pPr>
            <w:hyperlink r:id="rId132" w:history="1">
              <w:r w:rsidR="009C6FD7" w:rsidRPr="00191ACB">
                <w:rPr>
                  <w:rFonts w:ascii="Times New Roman" w:eastAsia="Calibri" w:hAnsi="Times New Roman" w:cs="Times New Roman"/>
                  <w:sz w:val="24"/>
                  <w:szCs w:val="24"/>
                </w:rPr>
                <w:t>rtetamashimba@gmail.com</w:t>
              </w:r>
            </w:hyperlink>
          </w:p>
          <w:p w14:paraId="129B4A1D" w14:textId="77777777" w:rsidR="009C6FD7" w:rsidRPr="00191ACB" w:rsidRDefault="00317BA0" w:rsidP="009C6FD7">
            <w:pPr>
              <w:spacing w:after="0" w:line="240" w:lineRule="auto"/>
              <w:rPr>
                <w:rFonts w:ascii="Times New Roman" w:eastAsia="Calibri" w:hAnsi="Times New Roman" w:cs="Times New Roman"/>
                <w:sz w:val="24"/>
                <w:szCs w:val="24"/>
              </w:rPr>
            </w:pPr>
            <w:hyperlink r:id="rId133" w:history="1">
              <w:r w:rsidR="009C6FD7" w:rsidRPr="00191ACB">
                <w:rPr>
                  <w:rFonts w:ascii="Times New Roman" w:eastAsia="Calibri" w:hAnsi="Times New Roman" w:cs="Times New Roman"/>
                  <w:sz w:val="24"/>
                  <w:szCs w:val="24"/>
                </w:rPr>
                <w:t>rachel.tetamashimba@moe.gov.zm</w:t>
              </w:r>
            </w:hyperlink>
          </w:p>
          <w:p w14:paraId="6A76ED69" w14:textId="77777777" w:rsidR="009C6FD7" w:rsidRPr="00191ACB" w:rsidRDefault="009C6FD7" w:rsidP="009C6FD7">
            <w:pPr>
              <w:spacing w:after="0" w:line="240" w:lineRule="auto"/>
              <w:rPr>
                <w:rFonts w:ascii="Times New Roman" w:eastAsia="Calibri" w:hAnsi="Times New Roman" w:cs="Times New Roman"/>
                <w:sz w:val="24"/>
                <w:szCs w:val="24"/>
              </w:rPr>
            </w:pPr>
          </w:p>
        </w:tc>
      </w:tr>
      <w:tr w:rsidR="009C6FD7" w:rsidRPr="00191ACB" w14:paraId="574E6F65" w14:textId="77777777" w:rsidTr="00D10127">
        <w:tc>
          <w:tcPr>
            <w:tcW w:w="273" w:type="pct"/>
            <w:shd w:val="clear" w:color="auto" w:fill="auto"/>
          </w:tcPr>
          <w:p w14:paraId="6BF7551A"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31</w:t>
            </w:r>
          </w:p>
        </w:tc>
        <w:tc>
          <w:tcPr>
            <w:tcW w:w="1130" w:type="pct"/>
            <w:shd w:val="clear" w:color="auto" w:fill="auto"/>
          </w:tcPr>
          <w:p w14:paraId="0A88B81D"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ZESCO – Environmental unit </w:t>
            </w:r>
          </w:p>
        </w:tc>
        <w:tc>
          <w:tcPr>
            <w:tcW w:w="1769" w:type="pct"/>
            <w:shd w:val="clear" w:color="auto" w:fill="auto"/>
          </w:tcPr>
          <w:p w14:paraId="3A0BF924"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Dr Elenestina M Mwelwa (Chief Environmental and Social Analyst</w:t>
            </w:r>
          </w:p>
        </w:tc>
        <w:tc>
          <w:tcPr>
            <w:tcW w:w="1828" w:type="pct"/>
            <w:shd w:val="clear" w:color="auto" w:fill="auto"/>
          </w:tcPr>
          <w:p w14:paraId="7861B44A" w14:textId="77777777" w:rsidR="009C6FD7" w:rsidRPr="00191ACB" w:rsidRDefault="00317BA0" w:rsidP="009C6FD7">
            <w:pPr>
              <w:spacing w:after="0" w:line="240" w:lineRule="auto"/>
              <w:rPr>
                <w:rFonts w:ascii="Times New Roman" w:eastAsia="Calibri" w:hAnsi="Times New Roman" w:cs="Times New Roman"/>
                <w:sz w:val="24"/>
                <w:szCs w:val="24"/>
              </w:rPr>
            </w:pPr>
            <w:hyperlink r:id="rId134" w:history="1">
              <w:r w:rsidR="009C6FD7" w:rsidRPr="00191ACB">
                <w:rPr>
                  <w:rFonts w:ascii="Times New Roman" w:eastAsia="Calibri" w:hAnsi="Times New Roman" w:cs="Times New Roman"/>
                  <w:sz w:val="24"/>
                  <w:szCs w:val="24"/>
                </w:rPr>
                <w:t>emmwelwa@ZESCO.co.zm</w:t>
              </w:r>
            </w:hyperlink>
            <w:r w:rsidR="009C6FD7" w:rsidRPr="00191ACB">
              <w:rPr>
                <w:rFonts w:ascii="Times New Roman" w:eastAsia="Calibri" w:hAnsi="Times New Roman" w:cs="Times New Roman"/>
                <w:sz w:val="24"/>
                <w:szCs w:val="24"/>
              </w:rPr>
              <w:t xml:space="preserve"> 0968/0955 849340</w:t>
            </w:r>
          </w:p>
        </w:tc>
      </w:tr>
      <w:tr w:rsidR="009C6FD7" w:rsidRPr="00191ACB" w14:paraId="5738F61E" w14:textId="77777777" w:rsidTr="00D10127">
        <w:tc>
          <w:tcPr>
            <w:tcW w:w="273" w:type="pct"/>
            <w:shd w:val="clear" w:color="auto" w:fill="auto"/>
          </w:tcPr>
          <w:p w14:paraId="771460E9"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32</w:t>
            </w:r>
          </w:p>
        </w:tc>
        <w:tc>
          <w:tcPr>
            <w:tcW w:w="1130" w:type="pct"/>
            <w:shd w:val="clear" w:color="auto" w:fill="auto"/>
          </w:tcPr>
          <w:p w14:paraId="63D6C813"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REA</w:t>
            </w:r>
          </w:p>
        </w:tc>
        <w:tc>
          <w:tcPr>
            <w:tcW w:w="1769" w:type="pct"/>
            <w:shd w:val="clear" w:color="auto" w:fill="auto"/>
          </w:tcPr>
          <w:p w14:paraId="41C65D70" w14:textId="77777777" w:rsidR="009C6FD7" w:rsidRPr="00191ACB" w:rsidRDefault="009C6FD7" w:rsidP="009C6FD7">
            <w:pPr>
              <w:spacing w:after="0" w:line="240"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Charity Chinkusu Simwiinga</w:t>
            </w:r>
          </w:p>
        </w:tc>
        <w:tc>
          <w:tcPr>
            <w:tcW w:w="1828" w:type="pct"/>
            <w:shd w:val="clear" w:color="auto" w:fill="auto"/>
          </w:tcPr>
          <w:p w14:paraId="71FB7809" w14:textId="77777777" w:rsidR="009C6FD7" w:rsidRPr="00191ACB" w:rsidRDefault="00317BA0" w:rsidP="009C6FD7">
            <w:pPr>
              <w:spacing w:after="0" w:line="240" w:lineRule="auto"/>
              <w:rPr>
                <w:rFonts w:ascii="Times New Roman" w:eastAsia="Calibri" w:hAnsi="Times New Roman" w:cs="Times New Roman"/>
                <w:color w:val="000000" w:themeColor="text1"/>
                <w:sz w:val="24"/>
                <w:szCs w:val="24"/>
              </w:rPr>
            </w:pPr>
            <w:hyperlink r:id="rId135" w:tgtFrame="_blank" w:history="1">
              <w:r w:rsidR="009C6FD7" w:rsidRPr="00191ACB">
                <w:rPr>
                  <w:rFonts w:ascii="Times New Roman" w:eastAsia="Calibri" w:hAnsi="Times New Roman" w:cs="Times New Roman"/>
                  <w:color w:val="000000" w:themeColor="text1"/>
                  <w:sz w:val="24"/>
                  <w:szCs w:val="24"/>
                  <w:u w:val="single"/>
                  <w:shd w:val="clear" w:color="auto" w:fill="FFFFFF"/>
                </w:rPr>
                <w:t>charitychinkusu@yahoo.com</w:t>
              </w:r>
            </w:hyperlink>
          </w:p>
        </w:tc>
      </w:tr>
      <w:tr w:rsidR="009C6FD7" w:rsidRPr="00191ACB" w14:paraId="551C0EA4" w14:textId="77777777" w:rsidTr="00D10127">
        <w:tc>
          <w:tcPr>
            <w:tcW w:w="273" w:type="pct"/>
            <w:shd w:val="clear" w:color="auto" w:fill="auto"/>
          </w:tcPr>
          <w:p w14:paraId="3F46B8B0"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33</w:t>
            </w:r>
          </w:p>
        </w:tc>
        <w:tc>
          <w:tcPr>
            <w:tcW w:w="1130" w:type="pct"/>
            <w:shd w:val="clear" w:color="auto" w:fill="auto"/>
          </w:tcPr>
          <w:p w14:paraId="1727FEF9"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Kalahari GeoEnergy Ltd </w:t>
            </w:r>
          </w:p>
        </w:tc>
        <w:tc>
          <w:tcPr>
            <w:tcW w:w="1769" w:type="pct"/>
            <w:shd w:val="clear" w:color="auto" w:fill="auto"/>
          </w:tcPr>
          <w:p w14:paraId="746D516C" w14:textId="77777777" w:rsidR="009C6FD7" w:rsidRPr="00191ACB" w:rsidRDefault="009C6FD7" w:rsidP="009C6FD7">
            <w:pPr>
              <w:shd w:val="clear" w:color="auto" w:fill="FFFFFF"/>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Peter Vivian-Neal (CEO)</w:t>
            </w:r>
          </w:p>
          <w:p w14:paraId="20D99A91" w14:textId="77777777" w:rsidR="009C6FD7" w:rsidRPr="00191ACB" w:rsidRDefault="009C6FD7" w:rsidP="009C6FD7">
            <w:pPr>
              <w:shd w:val="clear" w:color="auto" w:fill="FFFFFF"/>
              <w:spacing w:after="0" w:line="240" w:lineRule="auto"/>
              <w:rPr>
                <w:rFonts w:ascii="Times New Roman" w:eastAsia="Calibri" w:hAnsi="Times New Roman" w:cs="Times New Roman"/>
                <w:color w:val="000000" w:themeColor="text1"/>
                <w:sz w:val="24"/>
                <w:szCs w:val="24"/>
              </w:rPr>
            </w:pPr>
          </w:p>
          <w:p w14:paraId="570B69BE" w14:textId="77777777" w:rsidR="009C6FD7" w:rsidRPr="00191ACB" w:rsidRDefault="009C6FD7" w:rsidP="009C6FD7">
            <w:pPr>
              <w:shd w:val="clear" w:color="auto" w:fill="FFFFFF"/>
              <w:spacing w:after="0" w:line="240" w:lineRule="auto"/>
              <w:rPr>
                <w:rFonts w:ascii="Times New Roman" w:eastAsia="Calibri" w:hAnsi="Times New Roman" w:cs="Times New Roman"/>
                <w:color w:val="000000" w:themeColor="text1"/>
                <w:sz w:val="24"/>
                <w:szCs w:val="24"/>
              </w:rPr>
            </w:pPr>
            <w:r w:rsidRPr="00191ACB">
              <w:rPr>
                <w:rFonts w:ascii="Times New Roman" w:eastAsia="Calibri" w:hAnsi="Times New Roman" w:cs="Times New Roman"/>
                <w:color w:val="000000" w:themeColor="text1"/>
                <w:sz w:val="24"/>
                <w:szCs w:val="24"/>
              </w:rPr>
              <w:t>Moses Banda</w:t>
            </w:r>
          </w:p>
        </w:tc>
        <w:tc>
          <w:tcPr>
            <w:tcW w:w="1828" w:type="pct"/>
            <w:shd w:val="clear" w:color="auto" w:fill="auto"/>
          </w:tcPr>
          <w:p w14:paraId="6BE47949" w14:textId="77777777" w:rsidR="009C6FD7" w:rsidRPr="00191ACB" w:rsidRDefault="00317BA0" w:rsidP="009C6FD7">
            <w:pPr>
              <w:shd w:val="clear" w:color="auto" w:fill="FFFFFF"/>
              <w:spacing w:after="0" w:line="240" w:lineRule="auto"/>
              <w:rPr>
                <w:rFonts w:ascii="Times New Roman" w:eastAsia="Times New Roman" w:hAnsi="Times New Roman" w:cs="Times New Roman"/>
                <w:color w:val="000000" w:themeColor="text1"/>
                <w:sz w:val="24"/>
                <w:szCs w:val="24"/>
              </w:rPr>
            </w:pPr>
            <w:hyperlink r:id="rId136" w:tgtFrame="_blank" w:history="1">
              <w:r w:rsidR="009C6FD7" w:rsidRPr="00191ACB">
                <w:rPr>
                  <w:rFonts w:ascii="Times New Roman" w:eastAsia="Times New Roman" w:hAnsi="Times New Roman" w:cs="Times New Roman"/>
                  <w:color w:val="000000" w:themeColor="text1"/>
                  <w:sz w:val="24"/>
                  <w:szCs w:val="24"/>
                  <w:u w:val="single"/>
                </w:rPr>
                <w:t>peter.vivian-neal@kalaharigeoenergy.com</w:t>
              </w:r>
            </w:hyperlink>
          </w:p>
          <w:p w14:paraId="370DC880" w14:textId="77777777" w:rsidR="009C6FD7" w:rsidRPr="00191ACB" w:rsidRDefault="009C6FD7" w:rsidP="009C6FD7">
            <w:pPr>
              <w:shd w:val="clear" w:color="auto" w:fill="FFFFFF"/>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+260 977125767</w:t>
            </w:r>
          </w:p>
          <w:p w14:paraId="26D1AE65" w14:textId="77777777" w:rsidR="009C6FD7" w:rsidRPr="00191ACB" w:rsidRDefault="009C6FD7" w:rsidP="009C6FD7">
            <w:pPr>
              <w:shd w:val="clear" w:color="auto" w:fill="FFFFFF"/>
              <w:spacing w:after="0" w:line="240" w:lineRule="auto"/>
              <w:rPr>
                <w:rFonts w:ascii="Times New Roman" w:eastAsia="Times New Roman" w:hAnsi="Times New Roman" w:cs="Times New Roman"/>
                <w:color w:val="000000" w:themeColor="text1"/>
                <w:sz w:val="24"/>
                <w:szCs w:val="24"/>
              </w:rPr>
            </w:pPr>
            <w:r w:rsidRPr="00191ACB">
              <w:rPr>
                <w:rFonts w:ascii="Times New Roman" w:eastAsia="Times New Roman" w:hAnsi="Times New Roman" w:cs="Times New Roman"/>
                <w:color w:val="000000" w:themeColor="text1"/>
                <w:sz w:val="24"/>
                <w:szCs w:val="24"/>
              </w:rPr>
              <w:t>Moses.banda@kalaharigeoenergy.com</w:t>
            </w:r>
          </w:p>
        </w:tc>
      </w:tr>
      <w:tr w:rsidR="009C6FD7" w:rsidRPr="00191ACB" w14:paraId="46AE4C99" w14:textId="77777777" w:rsidTr="00D10127">
        <w:tc>
          <w:tcPr>
            <w:tcW w:w="273" w:type="pct"/>
            <w:shd w:val="clear" w:color="auto" w:fill="auto"/>
          </w:tcPr>
          <w:p w14:paraId="306A7B07"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lastRenderedPageBreak/>
              <w:t>34</w:t>
            </w:r>
          </w:p>
        </w:tc>
        <w:tc>
          <w:tcPr>
            <w:tcW w:w="1130" w:type="pct"/>
            <w:shd w:val="clear" w:color="auto" w:fill="auto"/>
          </w:tcPr>
          <w:p w14:paraId="7FFE8006"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Ministry of National Development Planning</w:t>
            </w:r>
          </w:p>
        </w:tc>
        <w:tc>
          <w:tcPr>
            <w:tcW w:w="1769" w:type="pct"/>
            <w:shd w:val="clear" w:color="auto" w:fill="auto"/>
          </w:tcPr>
          <w:p w14:paraId="61826721"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Rabecca Lubinda Ndowa </w:t>
            </w:r>
          </w:p>
        </w:tc>
        <w:tc>
          <w:tcPr>
            <w:tcW w:w="1828" w:type="pct"/>
            <w:shd w:val="clear" w:color="auto" w:fill="auto"/>
          </w:tcPr>
          <w:p w14:paraId="62BB4E0E"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0977345177</w:t>
            </w:r>
          </w:p>
        </w:tc>
      </w:tr>
      <w:tr w:rsidR="009C6FD7" w:rsidRPr="00191ACB" w14:paraId="7C327EF5" w14:textId="77777777" w:rsidTr="00D10127">
        <w:tc>
          <w:tcPr>
            <w:tcW w:w="273" w:type="pct"/>
            <w:shd w:val="clear" w:color="auto" w:fill="auto"/>
          </w:tcPr>
          <w:p w14:paraId="27BD576F"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35 </w:t>
            </w:r>
          </w:p>
        </w:tc>
        <w:tc>
          <w:tcPr>
            <w:tcW w:w="1130" w:type="pct"/>
            <w:shd w:val="clear" w:color="auto" w:fill="auto"/>
          </w:tcPr>
          <w:p w14:paraId="25D00C9A"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BioCarbon Partners</w:t>
            </w:r>
          </w:p>
        </w:tc>
        <w:tc>
          <w:tcPr>
            <w:tcW w:w="1769" w:type="pct"/>
            <w:shd w:val="clear" w:color="auto" w:fill="auto"/>
          </w:tcPr>
          <w:p w14:paraId="39802A2A"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Director Operations </w:t>
            </w:r>
          </w:p>
        </w:tc>
        <w:tc>
          <w:tcPr>
            <w:tcW w:w="1828" w:type="pct"/>
            <w:shd w:val="clear" w:color="auto" w:fill="auto"/>
          </w:tcPr>
          <w:p w14:paraId="04DE6C45" w14:textId="77777777" w:rsidR="009C6FD7" w:rsidRPr="00191ACB" w:rsidRDefault="00317BA0" w:rsidP="009C6FD7">
            <w:pPr>
              <w:spacing w:after="0" w:line="240" w:lineRule="auto"/>
              <w:rPr>
                <w:rFonts w:ascii="Times New Roman" w:eastAsia="Calibri" w:hAnsi="Times New Roman" w:cs="Times New Roman"/>
                <w:sz w:val="24"/>
                <w:szCs w:val="24"/>
              </w:rPr>
            </w:pPr>
            <w:hyperlink r:id="rId137" w:history="1">
              <w:r w:rsidR="009C6FD7" w:rsidRPr="00191ACB">
                <w:rPr>
                  <w:rFonts w:ascii="Times New Roman" w:eastAsia="Calibri" w:hAnsi="Times New Roman" w:cs="Times New Roman"/>
                  <w:sz w:val="24"/>
                  <w:szCs w:val="24"/>
                </w:rPr>
                <w:t>aanton@biocarbonpartners.com</w:t>
              </w:r>
            </w:hyperlink>
          </w:p>
          <w:p w14:paraId="63EC52D4"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0964169192</w:t>
            </w:r>
          </w:p>
        </w:tc>
      </w:tr>
      <w:tr w:rsidR="009C6FD7" w:rsidRPr="00191ACB" w14:paraId="2E05455B" w14:textId="77777777" w:rsidTr="00D10127">
        <w:tc>
          <w:tcPr>
            <w:tcW w:w="273" w:type="pct"/>
            <w:shd w:val="clear" w:color="auto" w:fill="auto"/>
          </w:tcPr>
          <w:p w14:paraId="383D6515"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36</w:t>
            </w:r>
          </w:p>
        </w:tc>
        <w:tc>
          <w:tcPr>
            <w:tcW w:w="1130" w:type="pct"/>
            <w:shd w:val="clear" w:color="auto" w:fill="auto"/>
          </w:tcPr>
          <w:p w14:paraId="265B95A5" w14:textId="5B0D0BB2"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ZEMA </w:t>
            </w:r>
          </w:p>
        </w:tc>
        <w:tc>
          <w:tcPr>
            <w:tcW w:w="1769" w:type="pct"/>
            <w:shd w:val="clear" w:color="auto" w:fill="auto"/>
          </w:tcPr>
          <w:p w14:paraId="2288AB91" w14:textId="3CC0E41D"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Josphat Sichula</w:t>
            </w:r>
            <w:r w:rsidR="00FE7105">
              <w:rPr>
                <w:rFonts w:ascii="Times New Roman" w:eastAsia="Calibri" w:hAnsi="Times New Roman" w:cs="Times New Roman"/>
                <w:sz w:val="24"/>
                <w:szCs w:val="24"/>
              </w:rPr>
              <w:t xml:space="preserve"> (Principle Inspector)</w:t>
            </w:r>
          </w:p>
        </w:tc>
        <w:tc>
          <w:tcPr>
            <w:tcW w:w="1828" w:type="pct"/>
            <w:shd w:val="clear" w:color="auto" w:fill="auto"/>
          </w:tcPr>
          <w:p w14:paraId="362E5B4E" w14:textId="3EA2B913" w:rsidR="009C6FD7" w:rsidRDefault="00FE7105" w:rsidP="009C6FD7">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0966114490</w:t>
            </w:r>
          </w:p>
          <w:p w14:paraId="702A9E3C" w14:textId="5DA733CD" w:rsidR="00FE7105" w:rsidRPr="00191ACB" w:rsidRDefault="00FE7105" w:rsidP="009C6FD7">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jsichula@zema.org.zm</w:t>
            </w:r>
          </w:p>
        </w:tc>
      </w:tr>
      <w:tr w:rsidR="009C6FD7" w:rsidRPr="00191ACB" w14:paraId="6C3F52E2" w14:textId="77777777" w:rsidTr="00D10127">
        <w:tc>
          <w:tcPr>
            <w:tcW w:w="273" w:type="pct"/>
            <w:shd w:val="clear" w:color="auto" w:fill="auto"/>
          </w:tcPr>
          <w:p w14:paraId="1B427AB8"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37</w:t>
            </w:r>
          </w:p>
        </w:tc>
        <w:tc>
          <w:tcPr>
            <w:tcW w:w="1130" w:type="pct"/>
            <w:shd w:val="clear" w:color="auto" w:fill="auto"/>
          </w:tcPr>
          <w:p w14:paraId="606AA355"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Lafarge</w:t>
            </w:r>
          </w:p>
        </w:tc>
        <w:tc>
          <w:tcPr>
            <w:tcW w:w="1769" w:type="pct"/>
            <w:shd w:val="clear" w:color="auto" w:fill="auto"/>
          </w:tcPr>
          <w:p w14:paraId="7608E072" w14:textId="1FA51D0D"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Misozi Masaninga (Country Environmental Manager)</w:t>
            </w:r>
          </w:p>
        </w:tc>
        <w:tc>
          <w:tcPr>
            <w:tcW w:w="1828" w:type="pct"/>
            <w:shd w:val="clear" w:color="auto" w:fill="auto"/>
          </w:tcPr>
          <w:p w14:paraId="4D977D2F" w14:textId="77777777" w:rsidR="009C6FD7" w:rsidRPr="00191ACB" w:rsidRDefault="00317BA0" w:rsidP="009C6FD7">
            <w:pPr>
              <w:spacing w:after="0" w:line="240" w:lineRule="auto"/>
              <w:rPr>
                <w:rFonts w:ascii="Times New Roman" w:eastAsia="Calibri" w:hAnsi="Times New Roman" w:cs="Times New Roman"/>
                <w:sz w:val="24"/>
                <w:szCs w:val="24"/>
              </w:rPr>
            </w:pPr>
            <w:hyperlink r:id="rId138" w:history="1">
              <w:r w:rsidR="009C6FD7" w:rsidRPr="00191ACB">
                <w:rPr>
                  <w:rFonts w:ascii="Times New Roman" w:eastAsia="Calibri" w:hAnsi="Times New Roman" w:cs="Times New Roman"/>
                  <w:sz w:val="24"/>
                  <w:szCs w:val="24"/>
                </w:rPr>
                <w:t>misozi.masaninga@lafargeholcim.com</w:t>
              </w:r>
            </w:hyperlink>
          </w:p>
          <w:p w14:paraId="47AA5302"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0974776933</w:t>
            </w:r>
          </w:p>
        </w:tc>
      </w:tr>
      <w:tr w:rsidR="009C6FD7" w:rsidRPr="00191ACB" w14:paraId="5F5081BF" w14:textId="77777777" w:rsidTr="00D10127">
        <w:tc>
          <w:tcPr>
            <w:tcW w:w="273" w:type="pct"/>
            <w:shd w:val="clear" w:color="auto" w:fill="auto"/>
          </w:tcPr>
          <w:p w14:paraId="545B9C2A"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38</w:t>
            </w:r>
          </w:p>
        </w:tc>
        <w:tc>
          <w:tcPr>
            <w:tcW w:w="1130" w:type="pct"/>
            <w:shd w:val="clear" w:color="auto" w:fill="auto"/>
          </w:tcPr>
          <w:p w14:paraId="5982DF08"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Dangote </w:t>
            </w:r>
          </w:p>
        </w:tc>
        <w:tc>
          <w:tcPr>
            <w:tcW w:w="1769" w:type="pct"/>
            <w:shd w:val="clear" w:color="auto" w:fill="auto"/>
          </w:tcPr>
          <w:p w14:paraId="0CB325B4"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Victor Mpundu (Acting Environmental Coordinator)</w:t>
            </w:r>
          </w:p>
        </w:tc>
        <w:tc>
          <w:tcPr>
            <w:tcW w:w="1828" w:type="pct"/>
            <w:shd w:val="clear" w:color="auto" w:fill="auto"/>
          </w:tcPr>
          <w:p w14:paraId="4FBA1E2A" w14:textId="77777777" w:rsidR="009C6FD7" w:rsidRPr="00191ACB" w:rsidRDefault="00317BA0" w:rsidP="009C6FD7">
            <w:pPr>
              <w:spacing w:after="0" w:line="240" w:lineRule="auto"/>
              <w:rPr>
                <w:rFonts w:ascii="Times New Roman" w:eastAsia="Calibri" w:hAnsi="Times New Roman" w:cs="Times New Roman"/>
                <w:sz w:val="24"/>
                <w:szCs w:val="24"/>
              </w:rPr>
            </w:pPr>
            <w:hyperlink r:id="rId139" w:history="1">
              <w:r w:rsidR="009C6FD7" w:rsidRPr="00191ACB">
                <w:rPr>
                  <w:rFonts w:ascii="Times New Roman" w:eastAsia="Calibri" w:hAnsi="Times New Roman" w:cs="Times New Roman"/>
                  <w:sz w:val="24"/>
                  <w:szCs w:val="24"/>
                </w:rPr>
                <w:t>victor.mpundu@dangote.com</w:t>
              </w:r>
            </w:hyperlink>
          </w:p>
          <w:p w14:paraId="32241ECE" w14:textId="77777777" w:rsidR="009C6FD7" w:rsidRPr="00191ACB" w:rsidRDefault="00317BA0" w:rsidP="009C6FD7">
            <w:pPr>
              <w:spacing w:after="0" w:line="240" w:lineRule="auto"/>
              <w:rPr>
                <w:rFonts w:ascii="Times New Roman" w:eastAsia="Calibri" w:hAnsi="Times New Roman" w:cs="Times New Roman"/>
                <w:sz w:val="24"/>
                <w:szCs w:val="24"/>
              </w:rPr>
            </w:pPr>
            <w:hyperlink r:id="rId140" w:history="1">
              <w:r w:rsidR="009C6FD7" w:rsidRPr="00191ACB">
                <w:rPr>
                  <w:rFonts w:ascii="Times New Roman" w:eastAsia="Calibri" w:hAnsi="Times New Roman" w:cs="Times New Roman"/>
                  <w:sz w:val="24"/>
                  <w:szCs w:val="24"/>
                </w:rPr>
                <w:t>victormpundu23@gmail.com</w:t>
              </w:r>
            </w:hyperlink>
          </w:p>
          <w:p w14:paraId="2EBE8DBE" w14:textId="2BD82F8E"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0971260607 </w:t>
            </w:r>
            <w:r w:rsidR="001F1576">
              <w:rPr>
                <w:rFonts w:ascii="Times New Roman" w:eastAsia="Calibri" w:hAnsi="Times New Roman" w:cs="Times New Roman"/>
                <w:sz w:val="24"/>
                <w:szCs w:val="24"/>
              </w:rPr>
              <w:t>/</w:t>
            </w:r>
            <w:r w:rsidRPr="00191ACB">
              <w:rPr>
                <w:rFonts w:ascii="Times New Roman" w:eastAsia="Calibri" w:hAnsi="Times New Roman" w:cs="Times New Roman"/>
                <w:sz w:val="24"/>
                <w:szCs w:val="24"/>
              </w:rPr>
              <w:t>0964710912</w:t>
            </w:r>
          </w:p>
        </w:tc>
      </w:tr>
      <w:tr w:rsidR="009C6FD7" w:rsidRPr="00191ACB" w14:paraId="44F388C9" w14:textId="77777777" w:rsidTr="00D10127">
        <w:tc>
          <w:tcPr>
            <w:tcW w:w="273" w:type="pct"/>
            <w:shd w:val="clear" w:color="auto" w:fill="auto"/>
          </w:tcPr>
          <w:p w14:paraId="2E8E606B"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39</w:t>
            </w:r>
          </w:p>
        </w:tc>
        <w:tc>
          <w:tcPr>
            <w:tcW w:w="1130" w:type="pct"/>
            <w:shd w:val="clear" w:color="auto" w:fill="auto"/>
          </w:tcPr>
          <w:p w14:paraId="2715AF28"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Zambezi Portland </w:t>
            </w:r>
          </w:p>
        </w:tc>
        <w:tc>
          <w:tcPr>
            <w:tcW w:w="1769" w:type="pct"/>
            <w:shd w:val="clear" w:color="auto" w:fill="auto"/>
          </w:tcPr>
          <w:p w14:paraId="05ED538C" w14:textId="1C58339F"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Mr Raul (Acting General Manager)          </w:t>
            </w:r>
          </w:p>
          <w:p w14:paraId="7CAAD64E" w14:textId="7EC12191"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Muyunda Aongola (Safety and Environment Manager)</w:t>
            </w:r>
          </w:p>
        </w:tc>
        <w:tc>
          <w:tcPr>
            <w:tcW w:w="1828" w:type="pct"/>
            <w:shd w:val="clear" w:color="auto" w:fill="auto"/>
          </w:tcPr>
          <w:p w14:paraId="40EC743C" w14:textId="77777777" w:rsidR="009C6FD7" w:rsidRPr="00191ACB" w:rsidRDefault="00317BA0" w:rsidP="009C6FD7">
            <w:pPr>
              <w:spacing w:after="0" w:line="240" w:lineRule="auto"/>
              <w:rPr>
                <w:rFonts w:ascii="Times New Roman" w:eastAsia="Calibri" w:hAnsi="Times New Roman" w:cs="Times New Roman"/>
                <w:sz w:val="24"/>
                <w:szCs w:val="24"/>
              </w:rPr>
            </w:pPr>
            <w:hyperlink r:id="rId141" w:history="1">
              <w:r w:rsidR="009C6FD7" w:rsidRPr="00191ACB">
                <w:rPr>
                  <w:rFonts w:ascii="Times New Roman" w:eastAsia="Calibri" w:hAnsi="Times New Roman" w:cs="Times New Roman"/>
                  <w:sz w:val="24"/>
                  <w:szCs w:val="24"/>
                </w:rPr>
                <w:t>safety@zpcltd.net</w:t>
              </w:r>
            </w:hyperlink>
          </w:p>
          <w:p w14:paraId="4A33EC0D"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(0968739840 – Muyunda Aongola)</w:t>
            </w:r>
          </w:p>
        </w:tc>
      </w:tr>
      <w:tr w:rsidR="009C6FD7" w:rsidRPr="00191ACB" w14:paraId="623DD7FC" w14:textId="77777777" w:rsidTr="00D10127">
        <w:tc>
          <w:tcPr>
            <w:tcW w:w="273" w:type="pct"/>
            <w:shd w:val="clear" w:color="auto" w:fill="auto"/>
          </w:tcPr>
          <w:p w14:paraId="4DD36D99"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40</w:t>
            </w:r>
          </w:p>
        </w:tc>
        <w:tc>
          <w:tcPr>
            <w:tcW w:w="1130" w:type="pct"/>
            <w:shd w:val="clear" w:color="auto" w:fill="auto"/>
          </w:tcPr>
          <w:p w14:paraId="4320539C"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Ndola Lime</w:t>
            </w:r>
          </w:p>
        </w:tc>
        <w:tc>
          <w:tcPr>
            <w:tcW w:w="1769" w:type="pct"/>
            <w:shd w:val="clear" w:color="auto" w:fill="auto"/>
          </w:tcPr>
          <w:p w14:paraId="4A345705"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Sydney Matamwandi (Engineering Manager)</w:t>
            </w:r>
          </w:p>
          <w:p w14:paraId="54FB425E" w14:textId="5231AA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Gilbert Sikazwe (Acting Production Manager)</w:t>
            </w:r>
          </w:p>
        </w:tc>
        <w:tc>
          <w:tcPr>
            <w:tcW w:w="1828" w:type="pct"/>
            <w:shd w:val="clear" w:color="auto" w:fill="auto"/>
          </w:tcPr>
          <w:p w14:paraId="462DEB09" w14:textId="77777777" w:rsidR="009C6FD7" w:rsidRPr="00191ACB" w:rsidRDefault="00317BA0" w:rsidP="009C6FD7">
            <w:pPr>
              <w:spacing w:after="0" w:line="240" w:lineRule="auto"/>
              <w:rPr>
                <w:rFonts w:ascii="Times New Roman" w:eastAsia="Calibri" w:hAnsi="Times New Roman" w:cs="Times New Roman"/>
                <w:sz w:val="24"/>
                <w:szCs w:val="24"/>
              </w:rPr>
            </w:pPr>
            <w:hyperlink r:id="rId142" w:history="1">
              <w:r w:rsidR="009C6FD7" w:rsidRPr="00191ACB">
                <w:rPr>
                  <w:rFonts w:ascii="Times New Roman" w:eastAsia="Calibri" w:hAnsi="Times New Roman" w:cs="Times New Roman"/>
                  <w:sz w:val="24"/>
                  <w:szCs w:val="24"/>
                </w:rPr>
                <w:t>smmatamwandi@ndolalime.co.zm</w:t>
              </w:r>
            </w:hyperlink>
            <w:r w:rsidR="009C6FD7" w:rsidRPr="00191ACB">
              <w:rPr>
                <w:rFonts w:ascii="Times New Roman" w:eastAsia="Calibri" w:hAnsi="Times New Roman" w:cs="Times New Roman"/>
                <w:sz w:val="24"/>
                <w:szCs w:val="24"/>
              </w:rPr>
              <w:t xml:space="preserve"> </w:t>
            </w:r>
            <w:hyperlink r:id="rId143" w:history="1">
              <w:r w:rsidR="009C6FD7" w:rsidRPr="00191ACB">
                <w:rPr>
                  <w:rFonts w:ascii="Times New Roman" w:eastAsia="Calibri" w:hAnsi="Times New Roman" w:cs="Times New Roman"/>
                  <w:sz w:val="24"/>
                  <w:szCs w:val="24"/>
                </w:rPr>
                <w:t>Sydney.matamwandi@outlook.com</w:t>
              </w:r>
            </w:hyperlink>
            <w:r w:rsidR="009C6FD7" w:rsidRPr="00191ACB">
              <w:rPr>
                <w:rFonts w:ascii="Times New Roman" w:eastAsia="Calibri" w:hAnsi="Times New Roman" w:cs="Times New Roman"/>
                <w:sz w:val="24"/>
                <w:szCs w:val="24"/>
              </w:rPr>
              <w:t xml:space="preserve"> 0966617190</w:t>
            </w:r>
          </w:p>
          <w:p w14:paraId="6A9E9EC5" w14:textId="77777777" w:rsidR="009C6FD7" w:rsidRPr="00191ACB" w:rsidRDefault="00317BA0" w:rsidP="009C6FD7">
            <w:pPr>
              <w:spacing w:after="0" w:line="240" w:lineRule="auto"/>
              <w:rPr>
                <w:rFonts w:ascii="Times New Roman" w:eastAsia="Calibri" w:hAnsi="Times New Roman" w:cs="Times New Roman"/>
                <w:sz w:val="24"/>
                <w:szCs w:val="24"/>
              </w:rPr>
            </w:pPr>
            <w:hyperlink r:id="rId144" w:history="1">
              <w:r w:rsidR="009C6FD7" w:rsidRPr="00191ACB">
                <w:rPr>
                  <w:rFonts w:ascii="Times New Roman" w:eastAsia="Calibri" w:hAnsi="Times New Roman" w:cs="Times New Roman"/>
                  <w:sz w:val="24"/>
                  <w:szCs w:val="24"/>
                </w:rPr>
                <w:t>gsikazwe@ndolalime.co.zm</w:t>
              </w:r>
            </w:hyperlink>
            <w:r w:rsidR="009C6FD7" w:rsidRPr="00191ACB">
              <w:rPr>
                <w:rFonts w:ascii="Times New Roman" w:eastAsia="Calibri" w:hAnsi="Times New Roman" w:cs="Times New Roman"/>
                <w:sz w:val="24"/>
                <w:szCs w:val="24"/>
              </w:rPr>
              <w:t xml:space="preserve"> </w:t>
            </w:r>
          </w:p>
        </w:tc>
      </w:tr>
      <w:tr w:rsidR="009C6FD7" w:rsidRPr="00191ACB" w14:paraId="3CF84E84" w14:textId="77777777" w:rsidTr="00D10127">
        <w:tc>
          <w:tcPr>
            <w:tcW w:w="273" w:type="pct"/>
            <w:shd w:val="clear" w:color="auto" w:fill="auto"/>
          </w:tcPr>
          <w:p w14:paraId="7993D861"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41</w:t>
            </w:r>
          </w:p>
        </w:tc>
        <w:tc>
          <w:tcPr>
            <w:tcW w:w="1130" w:type="pct"/>
            <w:shd w:val="clear" w:color="auto" w:fill="auto"/>
          </w:tcPr>
          <w:p w14:paraId="37E0E86A"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Indeni</w:t>
            </w:r>
          </w:p>
        </w:tc>
        <w:tc>
          <w:tcPr>
            <w:tcW w:w="1769" w:type="pct"/>
            <w:shd w:val="clear" w:color="auto" w:fill="auto"/>
          </w:tcPr>
          <w:p w14:paraId="4A4108FE" w14:textId="56657B8F" w:rsidR="009C6FD7"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Jordan Mwale (Head Quality and Operation Safety)</w:t>
            </w:r>
          </w:p>
          <w:p w14:paraId="0F192523" w14:textId="77777777" w:rsidR="004732B0" w:rsidRPr="00191ACB" w:rsidRDefault="004732B0" w:rsidP="009C6FD7">
            <w:pPr>
              <w:spacing w:after="0" w:line="240" w:lineRule="auto"/>
              <w:rPr>
                <w:rFonts w:ascii="Times New Roman" w:eastAsia="Calibri" w:hAnsi="Times New Roman" w:cs="Times New Roman"/>
                <w:sz w:val="24"/>
                <w:szCs w:val="24"/>
              </w:rPr>
            </w:pPr>
          </w:p>
          <w:p w14:paraId="3C02D3FC"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Phiri Gresson Jacobs ( SHEQ and Loss Control Manager)</w:t>
            </w:r>
          </w:p>
        </w:tc>
        <w:tc>
          <w:tcPr>
            <w:tcW w:w="1828" w:type="pct"/>
            <w:shd w:val="clear" w:color="auto" w:fill="auto"/>
          </w:tcPr>
          <w:p w14:paraId="538B50F9" w14:textId="77777777" w:rsidR="009C6FD7" w:rsidRPr="00191ACB" w:rsidRDefault="00317BA0" w:rsidP="009C6FD7">
            <w:pPr>
              <w:spacing w:after="0" w:line="240" w:lineRule="auto"/>
              <w:rPr>
                <w:rFonts w:ascii="Times New Roman" w:eastAsia="Calibri" w:hAnsi="Times New Roman" w:cs="Times New Roman"/>
                <w:sz w:val="24"/>
                <w:szCs w:val="24"/>
              </w:rPr>
            </w:pPr>
            <w:hyperlink r:id="rId145" w:history="1">
              <w:r w:rsidR="009C6FD7" w:rsidRPr="00191ACB">
                <w:rPr>
                  <w:rFonts w:ascii="Times New Roman" w:eastAsia="Calibri" w:hAnsi="Times New Roman" w:cs="Times New Roman"/>
                  <w:sz w:val="24"/>
                  <w:szCs w:val="24"/>
                </w:rPr>
                <w:t>mwalwjordan@indeni.com.zm</w:t>
              </w:r>
            </w:hyperlink>
          </w:p>
          <w:p w14:paraId="22AE45E9" w14:textId="52B27612" w:rsidR="009C6FD7"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0966788834</w:t>
            </w:r>
          </w:p>
          <w:p w14:paraId="23687FE2" w14:textId="77777777" w:rsidR="004732B0" w:rsidRPr="00191ACB" w:rsidRDefault="004732B0" w:rsidP="009C6FD7">
            <w:pPr>
              <w:spacing w:after="0" w:line="240" w:lineRule="auto"/>
              <w:rPr>
                <w:rFonts w:ascii="Times New Roman" w:eastAsia="Calibri" w:hAnsi="Times New Roman" w:cs="Times New Roman"/>
                <w:sz w:val="24"/>
                <w:szCs w:val="24"/>
              </w:rPr>
            </w:pPr>
          </w:p>
          <w:p w14:paraId="12BCD33D" w14:textId="77777777" w:rsidR="009C6FD7" w:rsidRPr="00191ACB" w:rsidRDefault="00317BA0" w:rsidP="009C6FD7">
            <w:pPr>
              <w:spacing w:after="0" w:line="240" w:lineRule="auto"/>
              <w:rPr>
                <w:rFonts w:ascii="Times New Roman" w:eastAsia="Calibri" w:hAnsi="Times New Roman" w:cs="Times New Roman"/>
                <w:sz w:val="24"/>
                <w:szCs w:val="24"/>
              </w:rPr>
            </w:pPr>
            <w:hyperlink r:id="rId146" w:history="1">
              <w:r w:rsidR="009C6FD7" w:rsidRPr="00191ACB">
                <w:rPr>
                  <w:rFonts w:ascii="Times New Roman" w:eastAsia="Calibri" w:hAnsi="Times New Roman" w:cs="Times New Roman"/>
                  <w:sz w:val="24"/>
                  <w:szCs w:val="24"/>
                </w:rPr>
                <w:t>phirigj@indeni.com.zm</w:t>
              </w:r>
            </w:hyperlink>
          </w:p>
          <w:p w14:paraId="71008B99"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0977594283</w:t>
            </w:r>
          </w:p>
        </w:tc>
      </w:tr>
      <w:tr w:rsidR="009C6FD7" w:rsidRPr="00191ACB" w14:paraId="7E198840" w14:textId="77777777" w:rsidTr="00D10127">
        <w:tc>
          <w:tcPr>
            <w:tcW w:w="273" w:type="pct"/>
            <w:shd w:val="clear" w:color="auto" w:fill="auto"/>
          </w:tcPr>
          <w:p w14:paraId="1CE8E104"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42</w:t>
            </w:r>
          </w:p>
        </w:tc>
        <w:tc>
          <w:tcPr>
            <w:tcW w:w="1130" w:type="pct"/>
            <w:shd w:val="clear" w:color="auto" w:fill="auto"/>
          </w:tcPr>
          <w:p w14:paraId="2D0D1FBC"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Ndola Energy</w:t>
            </w:r>
          </w:p>
        </w:tc>
        <w:tc>
          <w:tcPr>
            <w:tcW w:w="1769" w:type="pct"/>
            <w:shd w:val="clear" w:color="auto" w:fill="auto"/>
          </w:tcPr>
          <w:p w14:paraId="6B873B7F" w14:textId="58C2B62C"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John Nyongesa (Technical M</w:t>
            </w:r>
            <w:r w:rsidR="00CE562D">
              <w:rPr>
                <w:rFonts w:ascii="Times New Roman" w:eastAsia="Calibri" w:hAnsi="Times New Roman" w:cs="Times New Roman"/>
                <w:sz w:val="24"/>
                <w:szCs w:val="24"/>
              </w:rPr>
              <w:t>a</w:t>
            </w:r>
            <w:r w:rsidRPr="00191ACB">
              <w:rPr>
                <w:rFonts w:ascii="Times New Roman" w:eastAsia="Calibri" w:hAnsi="Times New Roman" w:cs="Times New Roman"/>
                <w:sz w:val="24"/>
                <w:szCs w:val="24"/>
              </w:rPr>
              <w:t>nager)</w:t>
            </w:r>
          </w:p>
        </w:tc>
        <w:tc>
          <w:tcPr>
            <w:tcW w:w="1828" w:type="pct"/>
            <w:shd w:val="clear" w:color="auto" w:fill="auto"/>
          </w:tcPr>
          <w:p w14:paraId="3E026CED" w14:textId="77777777" w:rsidR="009C6FD7" w:rsidRPr="00191ACB" w:rsidRDefault="00317BA0" w:rsidP="009C6FD7">
            <w:pPr>
              <w:spacing w:after="0" w:line="240" w:lineRule="auto"/>
              <w:rPr>
                <w:rFonts w:ascii="Times New Roman" w:eastAsia="Calibri" w:hAnsi="Times New Roman" w:cs="Times New Roman"/>
                <w:sz w:val="24"/>
                <w:szCs w:val="24"/>
              </w:rPr>
            </w:pPr>
            <w:hyperlink r:id="rId147" w:history="1">
              <w:r w:rsidR="009C6FD7" w:rsidRPr="00191ACB">
                <w:rPr>
                  <w:rFonts w:ascii="Times New Roman" w:eastAsia="Calibri" w:hAnsi="Times New Roman" w:cs="Times New Roman"/>
                  <w:sz w:val="24"/>
                  <w:szCs w:val="24"/>
                </w:rPr>
                <w:t>jnyongesa@ndolaenergy.com</w:t>
              </w:r>
            </w:hyperlink>
            <w:r w:rsidR="009C6FD7" w:rsidRPr="00191ACB">
              <w:rPr>
                <w:rFonts w:ascii="Times New Roman" w:eastAsia="Calibri" w:hAnsi="Times New Roman" w:cs="Times New Roman"/>
                <w:sz w:val="24"/>
                <w:szCs w:val="24"/>
              </w:rPr>
              <w:t xml:space="preserve"> 0963596092</w:t>
            </w:r>
          </w:p>
        </w:tc>
      </w:tr>
      <w:tr w:rsidR="009C6FD7" w:rsidRPr="00191ACB" w14:paraId="19369AF9" w14:textId="77777777" w:rsidTr="00D10127">
        <w:tc>
          <w:tcPr>
            <w:tcW w:w="273" w:type="pct"/>
            <w:shd w:val="clear" w:color="auto" w:fill="auto"/>
          </w:tcPr>
          <w:p w14:paraId="348CFC62"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43</w:t>
            </w:r>
          </w:p>
        </w:tc>
        <w:tc>
          <w:tcPr>
            <w:tcW w:w="1130" w:type="pct"/>
            <w:shd w:val="clear" w:color="auto" w:fill="auto"/>
          </w:tcPr>
          <w:p w14:paraId="1FBAFC44"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Kafubu Water</w:t>
            </w:r>
          </w:p>
        </w:tc>
        <w:tc>
          <w:tcPr>
            <w:tcW w:w="1769" w:type="pct"/>
            <w:shd w:val="clear" w:color="auto" w:fill="auto"/>
          </w:tcPr>
          <w:p w14:paraId="636C8D2D"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Felix Nsonde ( Manager – Projects)</w:t>
            </w:r>
          </w:p>
        </w:tc>
        <w:tc>
          <w:tcPr>
            <w:tcW w:w="1828" w:type="pct"/>
            <w:shd w:val="clear" w:color="auto" w:fill="auto"/>
          </w:tcPr>
          <w:p w14:paraId="5670D455" w14:textId="77777777" w:rsidR="009C6FD7" w:rsidRPr="00191ACB" w:rsidRDefault="00317BA0" w:rsidP="009C6FD7">
            <w:pPr>
              <w:spacing w:after="0" w:line="240" w:lineRule="auto"/>
              <w:rPr>
                <w:rFonts w:ascii="Times New Roman" w:eastAsia="Calibri" w:hAnsi="Times New Roman" w:cs="Times New Roman"/>
                <w:sz w:val="24"/>
                <w:szCs w:val="24"/>
              </w:rPr>
            </w:pPr>
            <w:hyperlink r:id="rId148" w:history="1">
              <w:r w:rsidR="009C6FD7" w:rsidRPr="00191ACB">
                <w:rPr>
                  <w:rFonts w:ascii="Times New Roman" w:eastAsia="Calibri" w:hAnsi="Times New Roman" w:cs="Times New Roman"/>
                  <w:sz w:val="24"/>
                  <w:szCs w:val="24"/>
                </w:rPr>
                <w:t>felix.nsonde@kafubu.co.zm</w:t>
              </w:r>
            </w:hyperlink>
          </w:p>
          <w:p w14:paraId="418EAAAE" w14:textId="77777777" w:rsidR="009C6FD7" w:rsidRPr="00191ACB" w:rsidRDefault="00317BA0" w:rsidP="009C6FD7">
            <w:pPr>
              <w:spacing w:after="0" w:line="240" w:lineRule="auto"/>
              <w:rPr>
                <w:rFonts w:ascii="Times New Roman" w:eastAsia="Calibri" w:hAnsi="Times New Roman" w:cs="Times New Roman"/>
                <w:sz w:val="24"/>
                <w:szCs w:val="24"/>
              </w:rPr>
            </w:pPr>
            <w:hyperlink r:id="rId149" w:history="1">
              <w:r w:rsidR="009C6FD7" w:rsidRPr="00191ACB">
                <w:rPr>
                  <w:rFonts w:ascii="Times New Roman" w:eastAsia="Calibri" w:hAnsi="Times New Roman" w:cs="Times New Roman"/>
                  <w:sz w:val="24"/>
                  <w:szCs w:val="24"/>
                </w:rPr>
                <w:t>felix012003@yahoo.com</w:t>
              </w:r>
            </w:hyperlink>
            <w:r w:rsidR="009C6FD7" w:rsidRPr="00191ACB">
              <w:rPr>
                <w:rFonts w:ascii="Times New Roman" w:eastAsia="Calibri" w:hAnsi="Times New Roman" w:cs="Times New Roman"/>
                <w:sz w:val="24"/>
                <w:szCs w:val="24"/>
              </w:rPr>
              <w:t xml:space="preserve"> 0955948875</w:t>
            </w:r>
          </w:p>
        </w:tc>
      </w:tr>
      <w:tr w:rsidR="009C6FD7" w:rsidRPr="00191ACB" w14:paraId="5A518530" w14:textId="77777777" w:rsidTr="00D10127">
        <w:tc>
          <w:tcPr>
            <w:tcW w:w="273" w:type="pct"/>
            <w:shd w:val="clear" w:color="auto" w:fill="auto"/>
          </w:tcPr>
          <w:p w14:paraId="5EE3FA0D"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44</w:t>
            </w:r>
          </w:p>
        </w:tc>
        <w:tc>
          <w:tcPr>
            <w:tcW w:w="1130" w:type="pct"/>
            <w:shd w:val="clear" w:color="auto" w:fill="auto"/>
          </w:tcPr>
          <w:p w14:paraId="6AFCBC61"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Nkana Water</w:t>
            </w:r>
          </w:p>
        </w:tc>
        <w:tc>
          <w:tcPr>
            <w:tcW w:w="1769" w:type="pct"/>
            <w:shd w:val="clear" w:color="auto" w:fill="auto"/>
          </w:tcPr>
          <w:p w14:paraId="7CD3D882"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Diana Makwaba (Managing Director)</w:t>
            </w:r>
          </w:p>
        </w:tc>
        <w:tc>
          <w:tcPr>
            <w:tcW w:w="1828" w:type="pct"/>
            <w:shd w:val="clear" w:color="auto" w:fill="auto"/>
          </w:tcPr>
          <w:p w14:paraId="6625FC6B" w14:textId="77777777" w:rsidR="009C6FD7" w:rsidRPr="00191ACB" w:rsidRDefault="00317BA0" w:rsidP="009C6FD7">
            <w:pPr>
              <w:spacing w:after="0" w:line="240" w:lineRule="auto"/>
              <w:rPr>
                <w:rFonts w:ascii="Times New Roman" w:eastAsia="Calibri" w:hAnsi="Times New Roman" w:cs="Times New Roman"/>
                <w:sz w:val="24"/>
                <w:szCs w:val="24"/>
              </w:rPr>
            </w:pPr>
            <w:hyperlink r:id="rId150" w:history="1">
              <w:r w:rsidR="009C6FD7" w:rsidRPr="00191ACB">
                <w:rPr>
                  <w:rFonts w:ascii="Times New Roman" w:eastAsia="Calibri" w:hAnsi="Times New Roman" w:cs="Times New Roman"/>
                  <w:sz w:val="24"/>
                  <w:szCs w:val="24"/>
                </w:rPr>
                <w:t>dmakwaba@nwsc.com.zm</w:t>
              </w:r>
            </w:hyperlink>
            <w:r w:rsidR="009C6FD7" w:rsidRPr="00191ACB">
              <w:rPr>
                <w:rFonts w:ascii="Times New Roman" w:eastAsia="Calibri" w:hAnsi="Times New Roman" w:cs="Times New Roman"/>
                <w:sz w:val="24"/>
                <w:szCs w:val="24"/>
              </w:rPr>
              <w:t xml:space="preserve"> 0966927619   0974773199  0121 222787/</w:t>
            </w:r>
          </w:p>
        </w:tc>
      </w:tr>
      <w:tr w:rsidR="009C6FD7" w:rsidRPr="00191ACB" w14:paraId="7099E65A" w14:textId="77777777" w:rsidTr="00D10127">
        <w:tc>
          <w:tcPr>
            <w:tcW w:w="273" w:type="pct"/>
            <w:shd w:val="clear" w:color="auto" w:fill="auto"/>
          </w:tcPr>
          <w:p w14:paraId="046F66FF"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45</w:t>
            </w:r>
          </w:p>
        </w:tc>
        <w:tc>
          <w:tcPr>
            <w:tcW w:w="1130" w:type="pct"/>
            <w:shd w:val="clear" w:color="auto" w:fill="auto"/>
          </w:tcPr>
          <w:p w14:paraId="40CEEEF9"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Mopani</w:t>
            </w:r>
          </w:p>
        </w:tc>
        <w:tc>
          <w:tcPr>
            <w:tcW w:w="1769" w:type="pct"/>
            <w:shd w:val="clear" w:color="auto" w:fill="auto"/>
          </w:tcPr>
          <w:p w14:paraId="5DB291FC"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Alexie Mpishi (Superintendant – Environment)</w:t>
            </w:r>
          </w:p>
          <w:p w14:paraId="26974DFC"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Mr Sichombo</w:t>
            </w:r>
          </w:p>
        </w:tc>
        <w:tc>
          <w:tcPr>
            <w:tcW w:w="1828" w:type="pct"/>
            <w:shd w:val="clear" w:color="auto" w:fill="auto"/>
          </w:tcPr>
          <w:p w14:paraId="1597836F" w14:textId="77777777" w:rsidR="009C6FD7" w:rsidRPr="00191ACB" w:rsidRDefault="00317BA0" w:rsidP="009C6FD7">
            <w:pPr>
              <w:spacing w:after="0" w:line="240" w:lineRule="auto"/>
              <w:rPr>
                <w:rFonts w:ascii="Times New Roman" w:eastAsia="Calibri" w:hAnsi="Times New Roman" w:cs="Times New Roman"/>
                <w:sz w:val="24"/>
                <w:szCs w:val="24"/>
              </w:rPr>
            </w:pPr>
            <w:hyperlink r:id="rId151" w:history="1">
              <w:r w:rsidR="009C6FD7" w:rsidRPr="00191ACB">
                <w:rPr>
                  <w:rFonts w:ascii="Times New Roman" w:eastAsia="Calibri" w:hAnsi="Times New Roman" w:cs="Times New Roman"/>
                  <w:sz w:val="24"/>
                  <w:szCs w:val="24"/>
                </w:rPr>
                <w:t>alexie.mpishi@mopani.com.zm</w:t>
              </w:r>
            </w:hyperlink>
            <w:r w:rsidR="009C6FD7" w:rsidRPr="00191ACB">
              <w:rPr>
                <w:rFonts w:ascii="Times New Roman" w:eastAsia="Calibri" w:hAnsi="Times New Roman" w:cs="Times New Roman"/>
                <w:sz w:val="24"/>
                <w:szCs w:val="24"/>
              </w:rPr>
              <w:t xml:space="preserve"> 0961341554  0212 247098</w:t>
            </w:r>
          </w:p>
        </w:tc>
      </w:tr>
      <w:tr w:rsidR="009C6FD7" w:rsidRPr="00191ACB" w14:paraId="09290F9A" w14:textId="77777777" w:rsidTr="00D10127">
        <w:tc>
          <w:tcPr>
            <w:tcW w:w="273" w:type="pct"/>
            <w:shd w:val="clear" w:color="auto" w:fill="auto"/>
          </w:tcPr>
          <w:p w14:paraId="5B271144"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46</w:t>
            </w:r>
          </w:p>
        </w:tc>
        <w:tc>
          <w:tcPr>
            <w:tcW w:w="1130" w:type="pct"/>
            <w:shd w:val="clear" w:color="auto" w:fill="auto"/>
          </w:tcPr>
          <w:p w14:paraId="04CE403D"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NFCA</w:t>
            </w:r>
          </w:p>
        </w:tc>
        <w:tc>
          <w:tcPr>
            <w:tcW w:w="1769" w:type="pct"/>
            <w:shd w:val="clear" w:color="auto" w:fill="auto"/>
          </w:tcPr>
          <w:p w14:paraId="7783122A"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Lazarus Sinyinza </w:t>
            </w:r>
          </w:p>
          <w:p w14:paraId="7A5CC353"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Mr Jules</w:t>
            </w:r>
          </w:p>
        </w:tc>
        <w:tc>
          <w:tcPr>
            <w:tcW w:w="1828" w:type="pct"/>
            <w:shd w:val="clear" w:color="auto" w:fill="auto"/>
          </w:tcPr>
          <w:p w14:paraId="53BE40E9"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0977752427</w:t>
            </w:r>
          </w:p>
          <w:p w14:paraId="44CD0AED"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0976000984</w:t>
            </w:r>
          </w:p>
        </w:tc>
      </w:tr>
      <w:tr w:rsidR="009C6FD7" w:rsidRPr="00191ACB" w14:paraId="74E4A595" w14:textId="77777777" w:rsidTr="00D10127">
        <w:tc>
          <w:tcPr>
            <w:tcW w:w="273" w:type="pct"/>
            <w:shd w:val="clear" w:color="auto" w:fill="auto"/>
          </w:tcPr>
          <w:p w14:paraId="074830D6"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47</w:t>
            </w:r>
          </w:p>
        </w:tc>
        <w:tc>
          <w:tcPr>
            <w:tcW w:w="1130" w:type="pct"/>
            <w:shd w:val="clear" w:color="auto" w:fill="auto"/>
          </w:tcPr>
          <w:p w14:paraId="77862375"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KCM</w:t>
            </w:r>
          </w:p>
        </w:tc>
        <w:tc>
          <w:tcPr>
            <w:tcW w:w="1769" w:type="pct"/>
            <w:shd w:val="clear" w:color="auto" w:fill="auto"/>
          </w:tcPr>
          <w:p w14:paraId="700B35AA"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Glenda K Mwandama ( Head  Environment and Sustainability Assurance)</w:t>
            </w:r>
          </w:p>
        </w:tc>
        <w:tc>
          <w:tcPr>
            <w:tcW w:w="1828" w:type="pct"/>
            <w:shd w:val="clear" w:color="auto" w:fill="auto"/>
          </w:tcPr>
          <w:p w14:paraId="5086A708" w14:textId="77777777" w:rsidR="004732B0" w:rsidRDefault="00317BA0" w:rsidP="009C6FD7">
            <w:pPr>
              <w:spacing w:after="0" w:line="240" w:lineRule="auto"/>
              <w:rPr>
                <w:rFonts w:ascii="Times New Roman" w:eastAsia="Calibri" w:hAnsi="Times New Roman" w:cs="Times New Roman"/>
                <w:sz w:val="24"/>
                <w:szCs w:val="24"/>
              </w:rPr>
            </w:pPr>
            <w:hyperlink r:id="rId152" w:history="1">
              <w:r w:rsidR="009C6FD7" w:rsidRPr="00191ACB">
                <w:rPr>
                  <w:rFonts w:ascii="Times New Roman" w:eastAsia="Calibri" w:hAnsi="Times New Roman" w:cs="Times New Roman"/>
                  <w:sz w:val="24"/>
                  <w:szCs w:val="24"/>
                </w:rPr>
                <w:t>glenda.kasonde@kcm.co.zm</w:t>
              </w:r>
            </w:hyperlink>
            <w:r w:rsidR="009C6FD7" w:rsidRPr="00191ACB">
              <w:rPr>
                <w:rFonts w:ascii="Times New Roman" w:eastAsia="Calibri" w:hAnsi="Times New Roman" w:cs="Times New Roman"/>
                <w:sz w:val="24"/>
                <w:szCs w:val="24"/>
              </w:rPr>
              <w:t xml:space="preserve"> </w:t>
            </w:r>
          </w:p>
          <w:p w14:paraId="7916A5D4" w14:textId="25307F0C"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0974 993310</w:t>
            </w:r>
          </w:p>
        </w:tc>
      </w:tr>
      <w:tr w:rsidR="009C6FD7" w:rsidRPr="00191ACB" w14:paraId="61AB617C" w14:textId="77777777" w:rsidTr="00D10127">
        <w:tc>
          <w:tcPr>
            <w:tcW w:w="273" w:type="pct"/>
            <w:shd w:val="clear" w:color="auto" w:fill="auto"/>
          </w:tcPr>
          <w:p w14:paraId="02B130CE"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48</w:t>
            </w:r>
          </w:p>
        </w:tc>
        <w:tc>
          <w:tcPr>
            <w:tcW w:w="1130" w:type="pct"/>
            <w:shd w:val="clear" w:color="auto" w:fill="auto"/>
          </w:tcPr>
          <w:p w14:paraId="62AA030F"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SCAW </w:t>
            </w:r>
          </w:p>
        </w:tc>
        <w:tc>
          <w:tcPr>
            <w:tcW w:w="1769" w:type="pct"/>
            <w:shd w:val="clear" w:color="auto" w:fill="auto"/>
          </w:tcPr>
          <w:p w14:paraId="2F444772"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Harold Mulenga ( Head SHEQ)</w:t>
            </w:r>
          </w:p>
        </w:tc>
        <w:tc>
          <w:tcPr>
            <w:tcW w:w="1828" w:type="pct"/>
            <w:shd w:val="clear" w:color="auto" w:fill="auto"/>
          </w:tcPr>
          <w:p w14:paraId="6975A798" w14:textId="77777777" w:rsidR="009C6FD7" w:rsidRPr="00191ACB" w:rsidRDefault="00317BA0" w:rsidP="009C6FD7">
            <w:pPr>
              <w:spacing w:after="0" w:line="240" w:lineRule="auto"/>
              <w:rPr>
                <w:rFonts w:ascii="Times New Roman" w:eastAsia="Calibri" w:hAnsi="Times New Roman" w:cs="Times New Roman"/>
                <w:sz w:val="24"/>
                <w:szCs w:val="24"/>
              </w:rPr>
            </w:pPr>
            <w:hyperlink r:id="rId153" w:history="1">
              <w:r w:rsidR="009C6FD7" w:rsidRPr="00191ACB">
                <w:rPr>
                  <w:rFonts w:ascii="Times New Roman" w:eastAsia="Calibri" w:hAnsi="Times New Roman" w:cs="Times New Roman"/>
                  <w:sz w:val="24"/>
                  <w:szCs w:val="24"/>
                </w:rPr>
                <w:t>harold.mulenga@scawzltd.com</w:t>
              </w:r>
            </w:hyperlink>
            <w:r w:rsidR="009C6FD7" w:rsidRPr="00191ACB">
              <w:rPr>
                <w:rFonts w:ascii="Times New Roman" w:eastAsia="Calibri" w:hAnsi="Times New Roman" w:cs="Times New Roman"/>
                <w:sz w:val="24"/>
                <w:szCs w:val="24"/>
              </w:rPr>
              <w:t xml:space="preserve"> 0968472213</w:t>
            </w:r>
          </w:p>
        </w:tc>
      </w:tr>
      <w:tr w:rsidR="009C6FD7" w:rsidRPr="00191ACB" w14:paraId="783D2221" w14:textId="77777777" w:rsidTr="00D10127">
        <w:tc>
          <w:tcPr>
            <w:tcW w:w="273" w:type="pct"/>
            <w:shd w:val="clear" w:color="auto" w:fill="auto"/>
          </w:tcPr>
          <w:p w14:paraId="06C7C823"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49</w:t>
            </w:r>
          </w:p>
        </w:tc>
        <w:tc>
          <w:tcPr>
            <w:tcW w:w="1130" w:type="pct"/>
            <w:shd w:val="clear" w:color="auto" w:fill="auto"/>
          </w:tcPr>
          <w:p w14:paraId="3955A462"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CEC</w:t>
            </w:r>
          </w:p>
        </w:tc>
        <w:tc>
          <w:tcPr>
            <w:tcW w:w="1769" w:type="pct"/>
            <w:shd w:val="clear" w:color="auto" w:fill="auto"/>
          </w:tcPr>
          <w:p w14:paraId="259009E3"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Caroline Sinkamba</w:t>
            </w:r>
          </w:p>
        </w:tc>
        <w:tc>
          <w:tcPr>
            <w:tcW w:w="1828" w:type="pct"/>
            <w:shd w:val="clear" w:color="auto" w:fill="auto"/>
          </w:tcPr>
          <w:p w14:paraId="327748CC" w14:textId="77777777" w:rsidR="004732B0" w:rsidRDefault="00317BA0" w:rsidP="009C6FD7">
            <w:pPr>
              <w:spacing w:after="0" w:line="240" w:lineRule="auto"/>
              <w:rPr>
                <w:rFonts w:ascii="Times New Roman" w:eastAsia="Calibri" w:hAnsi="Times New Roman" w:cs="Times New Roman"/>
                <w:sz w:val="24"/>
                <w:szCs w:val="24"/>
              </w:rPr>
            </w:pPr>
            <w:hyperlink r:id="rId154" w:history="1">
              <w:r w:rsidR="009C6FD7" w:rsidRPr="00191ACB">
                <w:rPr>
                  <w:rFonts w:ascii="Times New Roman" w:eastAsia="Calibri" w:hAnsi="Times New Roman" w:cs="Times New Roman"/>
                  <w:sz w:val="24"/>
                  <w:szCs w:val="24"/>
                </w:rPr>
                <w:t>sinkambac@cec.com.zm</w:t>
              </w:r>
            </w:hyperlink>
            <w:r w:rsidR="009C6FD7" w:rsidRPr="00191ACB">
              <w:rPr>
                <w:rFonts w:ascii="Times New Roman" w:eastAsia="Calibri" w:hAnsi="Times New Roman" w:cs="Times New Roman"/>
                <w:sz w:val="24"/>
                <w:szCs w:val="24"/>
              </w:rPr>
              <w:t xml:space="preserve"> </w:t>
            </w:r>
          </w:p>
          <w:p w14:paraId="21D80B7B" w14:textId="6520B2C6"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0969 632602</w:t>
            </w:r>
          </w:p>
        </w:tc>
      </w:tr>
      <w:tr w:rsidR="009C6FD7" w:rsidRPr="00191ACB" w14:paraId="35A979F3" w14:textId="77777777" w:rsidTr="00D10127">
        <w:tc>
          <w:tcPr>
            <w:tcW w:w="273" w:type="pct"/>
            <w:shd w:val="clear" w:color="auto" w:fill="auto"/>
          </w:tcPr>
          <w:p w14:paraId="5C5351E2"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50</w:t>
            </w:r>
          </w:p>
        </w:tc>
        <w:tc>
          <w:tcPr>
            <w:tcW w:w="1130" w:type="pct"/>
            <w:shd w:val="clear" w:color="auto" w:fill="auto"/>
          </w:tcPr>
          <w:p w14:paraId="03793BB9"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Chambishi Metals</w:t>
            </w:r>
          </w:p>
        </w:tc>
        <w:tc>
          <w:tcPr>
            <w:tcW w:w="1769" w:type="pct"/>
            <w:shd w:val="clear" w:color="auto" w:fill="auto"/>
          </w:tcPr>
          <w:p w14:paraId="5CF4DBE8"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Fred Banda ( Metalurgist Environmental)</w:t>
            </w:r>
          </w:p>
        </w:tc>
        <w:tc>
          <w:tcPr>
            <w:tcW w:w="1828" w:type="pct"/>
            <w:shd w:val="clear" w:color="auto" w:fill="auto"/>
          </w:tcPr>
          <w:p w14:paraId="07E7DD47" w14:textId="77777777" w:rsidR="004732B0" w:rsidRDefault="00317BA0" w:rsidP="009C6FD7">
            <w:pPr>
              <w:spacing w:after="0" w:line="240" w:lineRule="auto"/>
              <w:rPr>
                <w:rFonts w:ascii="Times New Roman" w:eastAsia="Calibri" w:hAnsi="Times New Roman" w:cs="Times New Roman"/>
                <w:sz w:val="24"/>
                <w:szCs w:val="24"/>
              </w:rPr>
            </w:pPr>
            <w:hyperlink r:id="rId155" w:history="1">
              <w:r w:rsidR="009C6FD7" w:rsidRPr="00191ACB">
                <w:rPr>
                  <w:rFonts w:ascii="Times New Roman" w:eastAsia="Calibri" w:hAnsi="Times New Roman" w:cs="Times New Roman"/>
                  <w:sz w:val="24"/>
                  <w:szCs w:val="24"/>
                </w:rPr>
                <w:t>fredbanda@ergaafrica.com</w:t>
              </w:r>
            </w:hyperlink>
            <w:r w:rsidR="009C6FD7" w:rsidRPr="00191ACB">
              <w:rPr>
                <w:rFonts w:ascii="Times New Roman" w:eastAsia="Calibri" w:hAnsi="Times New Roman" w:cs="Times New Roman"/>
                <w:sz w:val="24"/>
                <w:szCs w:val="24"/>
              </w:rPr>
              <w:t xml:space="preserve"> </w:t>
            </w:r>
          </w:p>
          <w:p w14:paraId="38A539DC" w14:textId="27732890"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0963 915606</w:t>
            </w:r>
          </w:p>
        </w:tc>
      </w:tr>
      <w:tr w:rsidR="009C6FD7" w:rsidRPr="00191ACB" w14:paraId="575246E0" w14:textId="77777777" w:rsidTr="00D10127">
        <w:tc>
          <w:tcPr>
            <w:tcW w:w="273" w:type="pct"/>
            <w:shd w:val="clear" w:color="auto" w:fill="auto"/>
          </w:tcPr>
          <w:p w14:paraId="41B82EA0"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51</w:t>
            </w:r>
          </w:p>
        </w:tc>
        <w:tc>
          <w:tcPr>
            <w:tcW w:w="1130" w:type="pct"/>
            <w:shd w:val="clear" w:color="auto" w:fill="auto"/>
          </w:tcPr>
          <w:p w14:paraId="51E197AD"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ZAFFICO</w:t>
            </w:r>
          </w:p>
        </w:tc>
        <w:tc>
          <w:tcPr>
            <w:tcW w:w="1769" w:type="pct"/>
            <w:shd w:val="clear" w:color="auto" w:fill="auto"/>
          </w:tcPr>
          <w:p w14:paraId="5684A2BC" w14:textId="5AEE99A4"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 xml:space="preserve">Chota Ngalande </w:t>
            </w:r>
            <w:r w:rsidR="004732B0">
              <w:rPr>
                <w:rFonts w:ascii="Times New Roman" w:eastAsia="Calibri" w:hAnsi="Times New Roman" w:cs="Times New Roman"/>
                <w:sz w:val="24"/>
                <w:szCs w:val="24"/>
              </w:rPr>
              <w:t>(</w:t>
            </w:r>
            <w:r w:rsidRPr="00191ACB">
              <w:rPr>
                <w:rFonts w:ascii="Times New Roman" w:eastAsia="Calibri" w:hAnsi="Times New Roman" w:cs="Times New Roman"/>
                <w:sz w:val="24"/>
                <w:szCs w:val="24"/>
              </w:rPr>
              <w:t>Director of Plantation)</w:t>
            </w:r>
          </w:p>
        </w:tc>
        <w:tc>
          <w:tcPr>
            <w:tcW w:w="1828" w:type="pct"/>
            <w:shd w:val="clear" w:color="auto" w:fill="auto"/>
          </w:tcPr>
          <w:p w14:paraId="3963ECCD" w14:textId="77777777" w:rsidR="009C6FD7" w:rsidRPr="00191ACB" w:rsidRDefault="00317BA0" w:rsidP="009C6FD7">
            <w:pPr>
              <w:spacing w:after="0" w:line="240" w:lineRule="auto"/>
              <w:rPr>
                <w:rFonts w:ascii="Times New Roman" w:eastAsia="Calibri" w:hAnsi="Times New Roman" w:cs="Times New Roman"/>
                <w:sz w:val="24"/>
                <w:szCs w:val="24"/>
              </w:rPr>
            </w:pPr>
            <w:hyperlink r:id="rId156" w:history="1">
              <w:r w:rsidR="009C6FD7" w:rsidRPr="00191ACB">
                <w:rPr>
                  <w:rFonts w:ascii="Times New Roman" w:eastAsia="Calibri" w:hAnsi="Times New Roman" w:cs="Times New Roman"/>
                  <w:sz w:val="24"/>
                  <w:szCs w:val="24"/>
                </w:rPr>
                <w:t>chota@zaffico.co.zm</w:t>
              </w:r>
            </w:hyperlink>
            <w:r w:rsidR="009C6FD7" w:rsidRPr="00191ACB">
              <w:rPr>
                <w:rFonts w:ascii="Times New Roman" w:eastAsia="Calibri" w:hAnsi="Times New Roman" w:cs="Times New Roman"/>
                <w:sz w:val="24"/>
                <w:szCs w:val="24"/>
              </w:rPr>
              <w:t xml:space="preserve"> </w:t>
            </w:r>
          </w:p>
          <w:p w14:paraId="49803A88" w14:textId="77777777" w:rsidR="009C6FD7" w:rsidRPr="00191ACB" w:rsidRDefault="00317BA0" w:rsidP="009C6FD7">
            <w:pPr>
              <w:spacing w:after="0" w:line="240" w:lineRule="auto"/>
              <w:rPr>
                <w:rFonts w:ascii="Times New Roman" w:eastAsia="Calibri" w:hAnsi="Times New Roman" w:cs="Times New Roman"/>
                <w:sz w:val="24"/>
                <w:szCs w:val="24"/>
              </w:rPr>
            </w:pPr>
            <w:hyperlink r:id="rId157" w:history="1">
              <w:r w:rsidR="009C6FD7" w:rsidRPr="00191ACB">
                <w:rPr>
                  <w:rFonts w:ascii="Times New Roman" w:eastAsia="Calibri" w:hAnsi="Times New Roman" w:cs="Times New Roman"/>
                  <w:sz w:val="24"/>
                  <w:szCs w:val="24"/>
                </w:rPr>
                <w:t>chota1462@gmail.com</w:t>
              </w:r>
            </w:hyperlink>
            <w:r w:rsidR="009C6FD7" w:rsidRPr="00191ACB">
              <w:rPr>
                <w:rFonts w:ascii="Times New Roman" w:eastAsia="Calibri" w:hAnsi="Times New Roman" w:cs="Times New Roman"/>
                <w:sz w:val="24"/>
                <w:szCs w:val="24"/>
              </w:rPr>
              <w:t xml:space="preserve"> 0977146217</w:t>
            </w:r>
          </w:p>
        </w:tc>
      </w:tr>
      <w:tr w:rsidR="009C6FD7" w:rsidRPr="00191ACB" w14:paraId="0F259008" w14:textId="77777777" w:rsidTr="00D10127">
        <w:tc>
          <w:tcPr>
            <w:tcW w:w="273" w:type="pct"/>
            <w:shd w:val="clear" w:color="auto" w:fill="FFFFFF" w:themeFill="background1"/>
          </w:tcPr>
          <w:p w14:paraId="0A75E68E"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lastRenderedPageBreak/>
              <w:t>52</w:t>
            </w:r>
          </w:p>
        </w:tc>
        <w:tc>
          <w:tcPr>
            <w:tcW w:w="1130" w:type="pct"/>
            <w:shd w:val="clear" w:color="auto" w:fill="FFFFFF" w:themeFill="background1"/>
          </w:tcPr>
          <w:p w14:paraId="681A8DA1"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National Designated Authority (NDA)</w:t>
            </w:r>
          </w:p>
        </w:tc>
        <w:tc>
          <w:tcPr>
            <w:tcW w:w="1769" w:type="pct"/>
            <w:shd w:val="clear" w:color="auto" w:fill="FFFFFF" w:themeFill="background1"/>
          </w:tcPr>
          <w:p w14:paraId="5DB85498" w14:textId="0E890771" w:rsidR="009C6FD7"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Ntazi Sinyangwe (Monitoring and Evaluation Specialist)</w:t>
            </w:r>
          </w:p>
          <w:p w14:paraId="39EF2BE1" w14:textId="77777777" w:rsidR="004732B0" w:rsidRPr="00191ACB" w:rsidRDefault="004732B0" w:rsidP="009C6FD7">
            <w:pPr>
              <w:spacing w:after="0" w:line="240" w:lineRule="auto"/>
              <w:rPr>
                <w:rFonts w:ascii="Times New Roman" w:eastAsia="Calibri" w:hAnsi="Times New Roman" w:cs="Times New Roman"/>
                <w:sz w:val="24"/>
                <w:szCs w:val="24"/>
              </w:rPr>
            </w:pPr>
          </w:p>
          <w:p w14:paraId="039235C5"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Nefuno Kapowe Chanda (Social Sector Specialist)</w:t>
            </w:r>
          </w:p>
        </w:tc>
        <w:tc>
          <w:tcPr>
            <w:tcW w:w="1828" w:type="pct"/>
            <w:shd w:val="clear" w:color="auto" w:fill="FFFFFF" w:themeFill="background1"/>
          </w:tcPr>
          <w:p w14:paraId="1B258549" w14:textId="77777777" w:rsidR="009C6FD7" w:rsidRPr="00191ACB" w:rsidRDefault="00317BA0" w:rsidP="009C6FD7">
            <w:pPr>
              <w:spacing w:after="0" w:line="240" w:lineRule="auto"/>
              <w:rPr>
                <w:rFonts w:ascii="Times New Roman" w:eastAsia="Calibri" w:hAnsi="Times New Roman" w:cs="Times New Roman"/>
                <w:sz w:val="24"/>
                <w:szCs w:val="24"/>
              </w:rPr>
            </w:pPr>
            <w:hyperlink r:id="rId158" w:history="1">
              <w:r w:rsidR="009C6FD7" w:rsidRPr="00191ACB">
                <w:rPr>
                  <w:rFonts w:ascii="Times New Roman" w:eastAsia="Calibri" w:hAnsi="Times New Roman" w:cs="Times New Roman"/>
                  <w:color w:val="0563C1"/>
                  <w:sz w:val="24"/>
                  <w:szCs w:val="24"/>
                  <w:u w:val="single"/>
                </w:rPr>
                <w:t>ntazisk@gmail.com</w:t>
              </w:r>
            </w:hyperlink>
          </w:p>
          <w:p w14:paraId="0976F646"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0977398159</w:t>
            </w:r>
          </w:p>
          <w:p w14:paraId="33D28A1C" w14:textId="77777777" w:rsidR="009C6FD7" w:rsidRPr="00191ACB" w:rsidRDefault="009C6FD7" w:rsidP="009C6FD7">
            <w:pPr>
              <w:spacing w:after="0" w:line="240" w:lineRule="auto"/>
              <w:rPr>
                <w:rFonts w:ascii="Times New Roman" w:eastAsia="Calibri" w:hAnsi="Times New Roman" w:cs="Times New Roman"/>
                <w:sz w:val="24"/>
                <w:szCs w:val="24"/>
              </w:rPr>
            </w:pPr>
          </w:p>
          <w:p w14:paraId="2F09343B" w14:textId="77777777" w:rsidR="009C6FD7" w:rsidRPr="00191ACB" w:rsidRDefault="009C6FD7" w:rsidP="009C6FD7">
            <w:pPr>
              <w:spacing w:after="0" w:line="240" w:lineRule="auto"/>
              <w:rPr>
                <w:rFonts w:ascii="Times New Roman" w:eastAsia="Calibri" w:hAnsi="Times New Roman" w:cs="Times New Roman"/>
                <w:sz w:val="24"/>
                <w:szCs w:val="24"/>
              </w:rPr>
            </w:pPr>
            <w:r w:rsidRPr="00191ACB">
              <w:rPr>
                <w:rFonts w:ascii="Times New Roman" w:eastAsia="Calibri" w:hAnsi="Times New Roman" w:cs="Times New Roman"/>
                <w:sz w:val="24"/>
                <w:szCs w:val="24"/>
              </w:rPr>
              <w:t>0978967912/ 096560640</w:t>
            </w:r>
          </w:p>
        </w:tc>
      </w:tr>
    </w:tbl>
    <w:p w14:paraId="2F133928" w14:textId="77777777" w:rsidR="009C6FD7" w:rsidRPr="00191ACB" w:rsidRDefault="009C6FD7" w:rsidP="009C6FD7">
      <w:pPr>
        <w:rPr>
          <w:rFonts w:ascii="Times New Roman" w:eastAsia="Calibri" w:hAnsi="Times New Roman" w:cs="Times New Roman"/>
          <w:sz w:val="24"/>
          <w:szCs w:val="24"/>
        </w:rPr>
      </w:pPr>
    </w:p>
    <w:sectPr w:rsidR="009C6FD7" w:rsidRPr="00191ACB" w:rsidSect="00D326BE">
      <w:pgSz w:w="11909" w:h="16834" w:code="9"/>
      <w:pgMar w:top="862" w:right="720" w:bottom="862"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C1E71F" w14:textId="77777777" w:rsidR="00317BA0" w:rsidRDefault="00317BA0" w:rsidP="00102CAE">
      <w:pPr>
        <w:spacing w:after="0" w:line="240" w:lineRule="auto"/>
      </w:pPr>
      <w:r>
        <w:separator/>
      </w:r>
    </w:p>
  </w:endnote>
  <w:endnote w:type="continuationSeparator" w:id="0">
    <w:p w14:paraId="6648E20A" w14:textId="77777777" w:rsidR="00317BA0" w:rsidRDefault="00317BA0" w:rsidP="00102C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Microsoft Sans Serif">
    <w:panose1 w:val="020B0604020202020204"/>
    <w:charset w:val="00"/>
    <w:family w:val="swiss"/>
    <w:pitch w:val="variable"/>
    <w:sig w:usb0="E1002AFF" w:usb1="C0000002" w:usb2="00000008"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no Pro">
    <w:altName w:val="Times New Roman"/>
    <w:charset w:val="00"/>
    <w:family w:val="roman"/>
    <w:pitch w:val="default"/>
    <w:sig w:usb0="00000003" w:usb1="00000000" w:usb2="00000000" w:usb3="00000000" w:csb0="00000001" w:csb1="00000000"/>
  </w:font>
  <w:font w:name="Franklin Gothic Demi">
    <w:panose1 w:val="020B0703020102020204"/>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F">
    <w:altName w:val="Times New Roman"/>
    <w:charset w:val="00"/>
    <w:family w:val="auto"/>
    <w:pitch w:val="variable"/>
  </w:font>
  <w:font w:name="Cardo">
    <w:altName w:val="Times New Roman"/>
    <w:charset w:val="00"/>
    <w:family w:val="auto"/>
    <w:pitch w:val="default"/>
  </w:font>
  <w:font w:name="+mn-ea">
    <w:charset w:val="00"/>
    <w:family w:val="roman"/>
    <w:pitch w:val="default"/>
  </w:font>
  <w:font w:name="FrutigerLTPro-BoldCn">
    <w:altName w:val="MS Gothic"/>
    <w:charset w:val="80"/>
    <w:family w:val="swiss"/>
    <w:pitch w:val="default"/>
    <w:sig w:usb0="00000003" w:usb1="08070000" w:usb2="00000010" w:usb3="00000000" w:csb0="00020001" w:csb1="00000000"/>
  </w:font>
  <w:font w:name="TimesNewRoman">
    <w:altName w:val="MS Gothic"/>
    <w:charset w:val="00"/>
    <w:family w:val="auto"/>
    <w:pitch w:val="default"/>
    <w:sig w:usb0="00000000" w:usb1="08070000" w:usb2="00000010" w:usb3="00000000" w:csb0="00020001" w:csb1="00000000"/>
  </w:font>
  <w:font w:name="ヒラギノ角ゴ ProN W3">
    <w:charset w:val="80"/>
    <w:family w:val="roman"/>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14283094"/>
      <w:docPartObj>
        <w:docPartGallery w:val="Page Numbers (Bottom of Page)"/>
        <w:docPartUnique/>
      </w:docPartObj>
    </w:sdtPr>
    <w:sdtEndPr>
      <w:rPr>
        <w:noProof/>
      </w:rPr>
    </w:sdtEndPr>
    <w:sdtContent>
      <w:p w14:paraId="146FF0E8" w14:textId="48957E98" w:rsidR="00BE7199" w:rsidRDefault="00BE7199">
        <w:pPr>
          <w:pStyle w:val="Footer"/>
          <w:jc w:val="right"/>
        </w:pPr>
        <w:r>
          <w:fldChar w:fldCharType="begin"/>
        </w:r>
        <w:r>
          <w:instrText xml:space="preserve"> PAGE   \* MERGEFORMAT </w:instrText>
        </w:r>
        <w:r>
          <w:fldChar w:fldCharType="separate"/>
        </w:r>
        <w:r>
          <w:rPr>
            <w:noProof/>
          </w:rPr>
          <w:t>48</w:t>
        </w:r>
        <w:r>
          <w:rPr>
            <w:noProof/>
          </w:rPr>
          <w:fldChar w:fldCharType="end"/>
        </w:r>
      </w:p>
    </w:sdtContent>
  </w:sdt>
  <w:p w14:paraId="159C3950" w14:textId="77777777" w:rsidR="00BE7199" w:rsidRDefault="00BE719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03671580"/>
      <w:docPartObj>
        <w:docPartGallery w:val="Page Numbers (Bottom of Page)"/>
        <w:docPartUnique/>
      </w:docPartObj>
    </w:sdtPr>
    <w:sdtEndPr>
      <w:rPr>
        <w:noProof/>
      </w:rPr>
    </w:sdtEndPr>
    <w:sdtContent>
      <w:p w14:paraId="743DF45F" w14:textId="0DC8F221" w:rsidR="00BE7199" w:rsidRDefault="00BE719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C67C6AF" w14:textId="77777777" w:rsidR="00BE7199" w:rsidRDefault="00BE719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48863249"/>
      <w:docPartObj>
        <w:docPartGallery w:val="Page Numbers (Bottom of Page)"/>
        <w:docPartUnique/>
      </w:docPartObj>
    </w:sdtPr>
    <w:sdtEndPr>
      <w:rPr>
        <w:noProof/>
      </w:rPr>
    </w:sdtEndPr>
    <w:sdtContent>
      <w:p w14:paraId="141FAB0B" w14:textId="77777777" w:rsidR="00BE7199" w:rsidRDefault="00BE7199">
        <w:pPr>
          <w:pStyle w:val="Footer"/>
          <w:jc w:val="center"/>
        </w:pPr>
        <w:r>
          <w:fldChar w:fldCharType="begin"/>
        </w:r>
        <w:r>
          <w:instrText xml:space="preserve"> PAGE   \* MERGEFORMAT </w:instrText>
        </w:r>
        <w:r>
          <w:fldChar w:fldCharType="separate"/>
        </w:r>
        <w:r>
          <w:rPr>
            <w:noProof/>
          </w:rPr>
          <w:t>i</w:t>
        </w:r>
        <w:r>
          <w:rPr>
            <w:noProof/>
          </w:rPr>
          <w:fldChar w:fldCharType="end"/>
        </w:r>
      </w:p>
    </w:sdtContent>
  </w:sdt>
  <w:p w14:paraId="1DF190D3" w14:textId="77777777" w:rsidR="00BE7199" w:rsidRDefault="00BE719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36763595"/>
      <w:docPartObj>
        <w:docPartGallery w:val="Page Numbers (Bottom of Page)"/>
        <w:docPartUnique/>
      </w:docPartObj>
    </w:sdtPr>
    <w:sdtEndPr>
      <w:rPr>
        <w:noProof/>
      </w:rPr>
    </w:sdtEndPr>
    <w:sdtContent>
      <w:p w14:paraId="0EE4AF7D" w14:textId="37EA906C" w:rsidR="00BE7199" w:rsidRDefault="00BE7199">
        <w:pPr>
          <w:pStyle w:val="Footer"/>
          <w:jc w:val="right"/>
        </w:pPr>
        <w:r>
          <w:fldChar w:fldCharType="begin"/>
        </w:r>
        <w:r>
          <w:instrText xml:space="preserve"> PAGE   \* MERGEFORMAT </w:instrText>
        </w:r>
        <w:r>
          <w:fldChar w:fldCharType="separate"/>
        </w:r>
        <w:r>
          <w:rPr>
            <w:noProof/>
          </w:rPr>
          <w:t>49</w:t>
        </w:r>
        <w:r>
          <w:rPr>
            <w:noProof/>
          </w:rPr>
          <w:fldChar w:fldCharType="end"/>
        </w:r>
      </w:p>
    </w:sdtContent>
  </w:sdt>
  <w:p w14:paraId="6C2EA6DB" w14:textId="77777777" w:rsidR="00BE7199" w:rsidRDefault="00BE7199">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42191686"/>
      <w:docPartObj>
        <w:docPartGallery w:val="Page Numbers (Bottom of Page)"/>
        <w:docPartUnique/>
      </w:docPartObj>
    </w:sdtPr>
    <w:sdtEndPr>
      <w:rPr>
        <w:color w:val="7F7F7F" w:themeColor="background1" w:themeShade="7F"/>
        <w:spacing w:val="60"/>
      </w:rPr>
    </w:sdtEndPr>
    <w:sdtContent>
      <w:p w14:paraId="5A0BDBC6" w14:textId="2167261B" w:rsidR="00BE7199" w:rsidRDefault="00BE7199">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163</w:t>
        </w:r>
        <w:r>
          <w:rPr>
            <w:noProof/>
          </w:rPr>
          <w:fldChar w:fldCharType="end"/>
        </w:r>
        <w:r>
          <w:t xml:space="preserve"> | </w:t>
        </w:r>
        <w:r>
          <w:rPr>
            <w:color w:val="7F7F7F" w:themeColor="background1" w:themeShade="7F"/>
            <w:spacing w:val="60"/>
          </w:rPr>
          <w:t>Page</w:t>
        </w:r>
      </w:p>
    </w:sdtContent>
  </w:sdt>
  <w:p w14:paraId="3A40B117" w14:textId="77777777" w:rsidR="00BE7199" w:rsidRDefault="00BE7199">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35951722"/>
      <w:docPartObj>
        <w:docPartGallery w:val="Page Numbers (Bottom of Page)"/>
        <w:docPartUnique/>
      </w:docPartObj>
    </w:sdtPr>
    <w:sdtEndPr>
      <w:rPr>
        <w:color w:val="7F7F7F" w:themeColor="background1" w:themeShade="7F"/>
        <w:spacing w:val="60"/>
      </w:rPr>
    </w:sdtEndPr>
    <w:sdtContent>
      <w:p w14:paraId="509E8772" w14:textId="786D806F" w:rsidR="00BE7199" w:rsidRDefault="00BE7199">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146</w:t>
        </w:r>
        <w:r>
          <w:rPr>
            <w:noProof/>
          </w:rPr>
          <w:fldChar w:fldCharType="end"/>
        </w:r>
        <w:r>
          <w:t xml:space="preserve"> | </w:t>
        </w:r>
        <w:r>
          <w:rPr>
            <w:color w:val="7F7F7F" w:themeColor="background1" w:themeShade="7F"/>
            <w:spacing w:val="60"/>
          </w:rPr>
          <w:t>Page</w:t>
        </w:r>
      </w:p>
    </w:sdtContent>
  </w:sdt>
  <w:p w14:paraId="16A9E831" w14:textId="77777777" w:rsidR="00BE7199" w:rsidRDefault="00BE7199">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024D3A" w14:textId="77777777" w:rsidR="00BE7199" w:rsidRDefault="00BE7199">
    <w:pPr>
      <w:spacing w:line="200" w:lineRule="exact"/>
      <w:rPr>
        <w:szCs w:val="20"/>
      </w:rPr>
    </w:pPr>
    <w:r>
      <w:rPr>
        <w:noProof/>
        <w:lang w:val="en-GB" w:eastAsia="en-GB"/>
      </w:rPr>
      <mc:AlternateContent>
        <mc:Choice Requires="wpg">
          <w:drawing>
            <wp:anchor distT="0" distB="0" distL="114300" distR="114300" simplePos="0" relativeHeight="251660288" behindDoc="1" locked="0" layoutInCell="1" allowOverlap="1" wp14:anchorId="018B14EB" wp14:editId="4FAE1DFD">
              <wp:simplePos x="0" y="0"/>
              <wp:positionH relativeFrom="page">
                <wp:posOffset>900430</wp:posOffset>
              </wp:positionH>
              <wp:positionV relativeFrom="page">
                <wp:posOffset>6668770</wp:posOffset>
              </wp:positionV>
              <wp:extent cx="9194165" cy="1270"/>
              <wp:effectExtent l="5080" t="10795" r="11430" b="6985"/>
              <wp:wrapNone/>
              <wp:docPr id="3"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94165" cy="1270"/>
                        <a:chOff x="1418" y="10502"/>
                        <a:chExt cx="14479" cy="2"/>
                      </a:xfrm>
                    </wpg:grpSpPr>
                    <wps:wsp>
                      <wps:cNvPr id="15" name="Freeform 142"/>
                      <wps:cNvSpPr>
                        <a:spLocks/>
                      </wps:cNvSpPr>
                      <wps:spPr bwMode="auto">
                        <a:xfrm>
                          <a:off x="1418" y="10502"/>
                          <a:ext cx="14479" cy="2"/>
                        </a:xfrm>
                        <a:custGeom>
                          <a:avLst/>
                          <a:gdLst>
                            <a:gd name="T0" fmla="+- 0 1418 1418"/>
                            <a:gd name="T1" fmla="*/ T0 w 14479"/>
                            <a:gd name="T2" fmla="+- 0 15898 1418"/>
                            <a:gd name="T3" fmla="*/ T2 w 14479"/>
                          </a:gdLst>
                          <a:ahLst/>
                          <a:cxnLst>
                            <a:cxn ang="0">
                              <a:pos x="T1" y="0"/>
                            </a:cxn>
                            <a:cxn ang="0">
                              <a:pos x="T3" y="0"/>
                            </a:cxn>
                          </a:cxnLst>
                          <a:rect l="0" t="0" r="r" b="b"/>
                          <a:pathLst>
                            <a:path w="14479">
                              <a:moveTo>
                                <a:pt x="0" y="0"/>
                              </a:moveTo>
                              <a:lnTo>
                                <a:pt x="14480" y="0"/>
                              </a:lnTo>
                            </a:path>
                          </a:pathLst>
                        </a:custGeom>
                        <a:noFill/>
                        <a:ln w="9525">
                          <a:solidFill>
                            <a:srgbClr val="01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DD1B52D" id="Group 24" o:spid="_x0000_s1026" style="position:absolute;margin-left:70.9pt;margin-top:525.1pt;width:723.95pt;height:.1pt;z-index:-251656192;mso-position-horizontal-relative:page;mso-position-vertical-relative:page" coordorigin="1418,10502" coordsize="144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">
              <v:shape id="Freeform 142" o:spid="_x0000_s1027" style="position:absolute;left:1418;top:10502;width:14479;height:2;visibility:visible;mso-wrap-style:square;v-text-anchor:top" coordsize="144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" path="m,l14480,e" filled="f" strokecolor="#010101">
                <v:path arrowok="t" o:connecttype="custom" o:connectlocs="0,0;14480,0" o:connectangles="0,0"/>
              </v:shape>
              <w10:wrap anchorx="page" anchory="page"/>
            </v:group>
          </w:pict>
        </mc:Fallback>
      </mc:AlternateContent>
    </w:r>
    <w:r>
      <w:rPr>
        <w:noProof/>
        <w:lang w:val="en-GB" w:eastAsia="en-GB"/>
      </w:rPr>
      <mc:AlternateContent>
        <mc:Choice Requires="wps">
          <w:drawing>
            <wp:anchor distT="0" distB="0" distL="114300" distR="114300" simplePos="0" relativeHeight="251661312" behindDoc="1" locked="0" layoutInCell="1" allowOverlap="1" wp14:anchorId="65C1499A" wp14:editId="43318451">
              <wp:simplePos x="0" y="0"/>
              <wp:positionH relativeFrom="page">
                <wp:posOffset>887730</wp:posOffset>
              </wp:positionH>
              <wp:positionV relativeFrom="page">
                <wp:posOffset>6725285</wp:posOffset>
              </wp:positionV>
              <wp:extent cx="2285365" cy="151765"/>
              <wp:effectExtent l="1905" t="635" r="0" b="0"/>
              <wp:wrapNone/>
              <wp:docPr id="19"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5365" cy="151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E33A6" w14:textId="77777777" w:rsidR="00BE7199" w:rsidRDefault="00BE7199">
                          <w:pPr>
                            <w:pStyle w:val="BodyText"/>
                            <w:spacing w:line="224" w:lineRule="exact"/>
                            <w:ind w:left="20"/>
                            <w:rPr>
                              <w:rFonts w:cs="Times New Roman"/>
                            </w:rPr>
                          </w:pPr>
                          <w:r>
                            <w:rPr>
                              <w:rFonts w:ascii="Times New Roman" w:eastAsia="Times New Roman" w:hAnsi="Times New Roman" w:cs="Times New Roman"/>
                            </w:rPr>
                            <w:t>IP</w:t>
                          </w:r>
                          <w:r>
                            <w:rPr>
                              <w:rFonts w:ascii="Times New Roman" w:eastAsia="Times New Roman" w:hAnsi="Times New Roman" w:cs="Times New Roman"/>
                              <w:spacing w:val="-1"/>
                            </w:rPr>
                            <w:t>C</w:t>
                          </w:r>
                          <w:r>
                            <w:rPr>
                              <w:rFonts w:ascii="Times New Roman" w:eastAsia="Times New Roman" w:hAnsi="Times New Roman" w:cs="Times New Roman"/>
                            </w:rPr>
                            <w:t>C</w:t>
                          </w:r>
                          <w:r>
                            <w:rPr>
                              <w:rFonts w:ascii="Times New Roman" w:eastAsia="Times New Roman" w:hAnsi="Times New Roman" w:cs="Times New Roman"/>
                              <w:spacing w:val="-8"/>
                            </w:rPr>
                            <w:t xml:space="preserve"> </w:t>
                          </w:r>
                          <w:r>
                            <w:rPr>
                              <w:rFonts w:ascii="Times New Roman" w:eastAsia="Times New Roman" w:hAnsi="Times New Roman" w:cs="Times New Roman"/>
                            </w:rPr>
                            <w:t>Good</w:t>
                          </w:r>
                          <w:r>
                            <w:rPr>
                              <w:rFonts w:ascii="Times New Roman" w:eastAsia="Times New Roman" w:hAnsi="Times New Roman" w:cs="Times New Roman"/>
                              <w:spacing w:val="-8"/>
                            </w:rPr>
                            <w:t xml:space="preserve"> </w:t>
                          </w:r>
                          <w:r>
                            <w:rPr>
                              <w:rFonts w:ascii="Times New Roman" w:eastAsia="Times New Roman" w:hAnsi="Times New Roman" w:cs="Times New Roman"/>
                            </w:rPr>
                            <w:t>Prac</w:t>
                          </w:r>
                          <w:r>
                            <w:rPr>
                              <w:rFonts w:ascii="Times New Roman" w:eastAsia="Times New Roman" w:hAnsi="Times New Roman" w:cs="Times New Roman"/>
                              <w:spacing w:val="-1"/>
                            </w:rPr>
                            <w:t>ti</w:t>
                          </w:r>
                          <w:r>
                            <w:rPr>
                              <w:rFonts w:ascii="Times New Roman" w:eastAsia="Times New Roman" w:hAnsi="Times New Roman" w:cs="Times New Roman"/>
                            </w:rPr>
                            <w:t>ce</w:t>
                          </w:r>
                          <w:r>
                            <w:rPr>
                              <w:rFonts w:ascii="Times New Roman" w:eastAsia="Times New Roman" w:hAnsi="Times New Roman" w:cs="Times New Roman"/>
                              <w:spacing w:val="-6"/>
                            </w:rPr>
                            <w:t xml:space="preserve"> </w:t>
                          </w:r>
                          <w:r>
                            <w:rPr>
                              <w:rFonts w:ascii="Times New Roman" w:eastAsia="Times New Roman" w:hAnsi="Times New Roman" w:cs="Times New Roman"/>
                            </w:rPr>
                            <w:t>G</w:t>
                          </w:r>
                          <w:r>
                            <w:rPr>
                              <w:rFonts w:ascii="Times New Roman" w:eastAsia="Times New Roman" w:hAnsi="Times New Roman" w:cs="Times New Roman"/>
                              <w:spacing w:val="-2"/>
                            </w:rPr>
                            <w:t>u</w:t>
                          </w:r>
                          <w:r>
                            <w:rPr>
                              <w:rFonts w:ascii="Times New Roman" w:eastAsia="Times New Roman" w:hAnsi="Times New Roman" w:cs="Times New Roman"/>
                              <w:spacing w:val="-1"/>
                            </w:rPr>
                            <w:t>i</w:t>
                          </w:r>
                          <w:r>
                            <w:rPr>
                              <w:rFonts w:ascii="Times New Roman" w:eastAsia="Times New Roman" w:hAnsi="Times New Roman" w:cs="Times New Roman"/>
                              <w:spacing w:val="1"/>
                            </w:rPr>
                            <w:t>d</w:t>
                          </w:r>
                          <w:r>
                            <w:rPr>
                              <w:rFonts w:ascii="Times New Roman" w:eastAsia="Times New Roman" w:hAnsi="Times New Roman" w:cs="Times New Roman"/>
                            </w:rPr>
                            <w:t>a</w:t>
                          </w:r>
                          <w:r>
                            <w:rPr>
                              <w:rFonts w:ascii="Times New Roman" w:eastAsia="Times New Roman" w:hAnsi="Times New Roman" w:cs="Times New Roman"/>
                              <w:spacing w:val="-2"/>
                            </w:rPr>
                            <w:t>n</w:t>
                          </w:r>
                          <w:r>
                            <w:rPr>
                              <w:rFonts w:ascii="Times New Roman" w:eastAsia="Times New Roman" w:hAnsi="Times New Roman" w:cs="Times New Roman"/>
                            </w:rPr>
                            <w:t>ce</w:t>
                          </w:r>
                          <w:r>
                            <w:rPr>
                              <w:rFonts w:ascii="Times New Roman" w:eastAsia="Times New Roman" w:hAnsi="Times New Roman" w:cs="Times New Roman"/>
                              <w:spacing w:val="-4"/>
                            </w:rPr>
                            <w:t xml:space="preserve"> </w:t>
                          </w:r>
                          <w:r>
                            <w:rPr>
                              <w:rFonts w:ascii="Times New Roman" w:eastAsia="Times New Roman" w:hAnsi="Times New Roman" w:cs="Times New Roman"/>
                              <w:spacing w:val="-2"/>
                            </w:rPr>
                            <w:t>f</w:t>
                          </w:r>
                          <w:r>
                            <w:rPr>
                              <w:rFonts w:ascii="Times New Roman" w:eastAsia="Times New Roman" w:hAnsi="Times New Roman" w:cs="Times New Roman"/>
                              <w:spacing w:val="1"/>
                            </w:rPr>
                            <w:t>o</w:t>
                          </w:r>
                          <w:r>
                            <w:rPr>
                              <w:rFonts w:ascii="Times New Roman" w:eastAsia="Times New Roman" w:hAnsi="Times New Roman" w:cs="Times New Roman"/>
                            </w:rPr>
                            <w:t>r</w:t>
                          </w:r>
                          <w:r>
                            <w:rPr>
                              <w:rFonts w:ascii="Times New Roman" w:eastAsia="Times New Roman" w:hAnsi="Times New Roman" w:cs="Times New Roman"/>
                              <w:spacing w:val="-6"/>
                            </w:rPr>
                            <w:t xml:space="preserve"> </w:t>
                          </w:r>
                          <w:r>
                            <w:rPr>
                              <w:rFonts w:ascii="Times New Roman" w:eastAsia="Times New Roman" w:hAnsi="Times New Roman" w:cs="Times New Roman"/>
                              <w:spacing w:val="-2"/>
                            </w:rPr>
                            <w:t>L</w:t>
                          </w:r>
                          <w:r>
                            <w:rPr>
                              <w:rFonts w:ascii="Times New Roman" w:eastAsia="Times New Roman" w:hAnsi="Times New Roman" w:cs="Times New Roman"/>
                              <w:spacing w:val="2"/>
                            </w:rPr>
                            <w:t>U</w:t>
                          </w:r>
                          <w:r>
                            <w:rPr>
                              <w:rFonts w:ascii="Times New Roman" w:eastAsia="Times New Roman" w:hAnsi="Times New Roman" w:cs="Times New Roman"/>
                              <w:spacing w:val="-2"/>
                            </w:rPr>
                            <w:t>L</w:t>
                          </w:r>
                          <w:r>
                            <w:rPr>
                              <w:rFonts w:ascii="Times New Roman" w:eastAsia="Times New Roman" w:hAnsi="Times New Roman" w:cs="Times New Roman"/>
                              <w:spacing w:val="2"/>
                            </w:rPr>
                            <w:t>U</w:t>
                          </w:r>
                          <w:r>
                            <w:rPr>
                              <w:rFonts w:ascii="Times New Roman" w:eastAsia="Times New Roman" w:hAnsi="Times New Roman" w:cs="Times New Roman"/>
                              <w:spacing w:val="-1"/>
                            </w:rPr>
                            <w:t>C</w:t>
                          </w:r>
                          <w:r>
                            <w:rPr>
                              <w:rFonts w:ascii="Times New Roman" w:eastAsia="Times New Roman" w:hAnsi="Times New Roman" w:cs="Times New Roman"/>
                            </w:rPr>
                            <w:t>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C1499A" id="_x0000_t202" coordsize="21600,21600" o:spt="202" path="m,l,21600r21600,l21600,xe">
              <v:stroke joinstyle="miter"/>
              <v:path gradientshapeok="t" o:connecttype="rect"/>
            </v:shapetype>
            <v:shape id="Text Box 26" o:spid="_x0000_s1030" type="#_x0000_t202" style="position:absolute;margin-left:69.9pt;margin-top:529.55pt;width:179.95pt;height:11.9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pp7rQIAAKs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" filled="f" stroked="f">
              <v:textbox inset="0,0,0,0">
                <w:txbxContent>
                  <w:p w14:paraId="3B5E33A6" w14:textId="77777777" w:rsidR="00BE7199" w:rsidRDefault="00BE7199">
                    <w:pPr>
                      <w:pStyle w:val="BodyText"/>
                      <w:spacing w:line="224" w:lineRule="exact"/>
                      <w:ind w:left="20"/>
                      <w:rPr>
                        <w:rFonts w:cs="Times New Roman"/>
                      </w:rPr>
                    </w:pPr>
                    <w:r>
                      <w:rPr>
                        <w:rFonts w:ascii="Times New Roman" w:eastAsia="Times New Roman" w:hAnsi="Times New Roman" w:cs="Times New Roman"/>
                      </w:rPr>
                      <w:t>IP</w:t>
                    </w:r>
                    <w:r>
                      <w:rPr>
                        <w:rFonts w:ascii="Times New Roman" w:eastAsia="Times New Roman" w:hAnsi="Times New Roman" w:cs="Times New Roman"/>
                        <w:spacing w:val="-1"/>
                      </w:rPr>
                      <w:t>C</w:t>
                    </w:r>
                    <w:r>
                      <w:rPr>
                        <w:rFonts w:ascii="Times New Roman" w:eastAsia="Times New Roman" w:hAnsi="Times New Roman" w:cs="Times New Roman"/>
                      </w:rPr>
                      <w:t>C</w:t>
                    </w:r>
                    <w:r>
                      <w:rPr>
                        <w:rFonts w:ascii="Times New Roman" w:eastAsia="Times New Roman" w:hAnsi="Times New Roman" w:cs="Times New Roman"/>
                        <w:spacing w:val="-8"/>
                      </w:rPr>
                      <w:t xml:space="preserve"> </w:t>
                    </w:r>
                    <w:r>
                      <w:rPr>
                        <w:rFonts w:ascii="Times New Roman" w:eastAsia="Times New Roman" w:hAnsi="Times New Roman" w:cs="Times New Roman"/>
                      </w:rPr>
                      <w:t>Good</w:t>
                    </w:r>
                    <w:r>
                      <w:rPr>
                        <w:rFonts w:ascii="Times New Roman" w:eastAsia="Times New Roman" w:hAnsi="Times New Roman" w:cs="Times New Roman"/>
                        <w:spacing w:val="-8"/>
                      </w:rPr>
                      <w:t xml:space="preserve"> </w:t>
                    </w:r>
                    <w:r>
                      <w:rPr>
                        <w:rFonts w:ascii="Times New Roman" w:eastAsia="Times New Roman" w:hAnsi="Times New Roman" w:cs="Times New Roman"/>
                      </w:rPr>
                      <w:t>Prac</w:t>
                    </w:r>
                    <w:r>
                      <w:rPr>
                        <w:rFonts w:ascii="Times New Roman" w:eastAsia="Times New Roman" w:hAnsi="Times New Roman" w:cs="Times New Roman"/>
                        <w:spacing w:val="-1"/>
                      </w:rPr>
                      <w:t>ti</w:t>
                    </w:r>
                    <w:r>
                      <w:rPr>
                        <w:rFonts w:ascii="Times New Roman" w:eastAsia="Times New Roman" w:hAnsi="Times New Roman" w:cs="Times New Roman"/>
                      </w:rPr>
                      <w:t>ce</w:t>
                    </w:r>
                    <w:r>
                      <w:rPr>
                        <w:rFonts w:ascii="Times New Roman" w:eastAsia="Times New Roman" w:hAnsi="Times New Roman" w:cs="Times New Roman"/>
                        <w:spacing w:val="-6"/>
                      </w:rPr>
                      <w:t xml:space="preserve"> </w:t>
                    </w:r>
                    <w:r>
                      <w:rPr>
                        <w:rFonts w:ascii="Times New Roman" w:eastAsia="Times New Roman" w:hAnsi="Times New Roman" w:cs="Times New Roman"/>
                      </w:rPr>
                      <w:t>G</w:t>
                    </w:r>
                    <w:r>
                      <w:rPr>
                        <w:rFonts w:ascii="Times New Roman" w:eastAsia="Times New Roman" w:hAnsi="Times New Roman" w:cs="Times New Roman"/>
                        <w:spacing w:val="-2"/>
                      </w:rPr>
                      <w:t>u</w:t>
                    </w:r>
                    <w:r>
                      <w:rPr>
                        <w:rFonts w:ascii="Times New Roman" w:eastAsia="Times New Roman" w:hAnsi="Times New Roman" w:cs="Times New Roman"/>
                        <w:spacing w:val="-1"/>
                      </w:rPr>
                      <w:t>i</w:t>
                    </w:r>
                    <w:r>
                      <w:rPr>
                        <w:rFonts w:ascii="Times New Roman" w:eastAsia="Times New Roman" w:hAnsi="Times New Roman" w:cs="Times New Roman"/>
                        <w:spacing w:val="1"/>
                      </w:rPr>
                      <w:t>d</w:t>
                    </w:r>
                    <w:r>
                      <w:rPr>
                        <w:rFonts w:ascii="Times New Roman" w:eastAsia="Times New Roman" w:hAnsi="Times New Roman" w:cs="Times New Roman"/>
                      </w:rPr>
                      <w:t>a</w:t>
                    </w:r>
                    <w:r>
                      <w:rPr>
                        <w:rFonts w:ascii="Times New Roman" w:eastAsia="Times New Roman" w:hAnsi="Times New Roman" w:cs="Times New Roman"/>
                        <w:spacing w:val="-2"/>
                      </w:rPr>
                      <w:t>n</w:t>
                    </w:r>
                    <w:r>
                      <w:rPr>
                        <w:rFonts w:ascii="Times New Roman" w:eastAsia="Times New Roman" w:hAnsi="Times New Roman" w:cs="Times New Roman"/>
                      </w:rPr>
                      <w:t>ce</w:t>
                    </w:r>
                    <w:r>
                      <w:rPr>
                        <w:rFonts w:ascii="Times New Roman" w:eastAsia="Times New Roman" w:hAnsi="Times New Roman" w:cs="Times New Roman"/>
                        <w:spacing w:val="-4"/>
                      </w:rPr>
                      <w:t xml:space="preserve"> </w:t>
                    </w:r>
                    <w:r>
                      <w:rPr>
                        <w:rFonts w:ascii="Times New Roman" w:eastAsia="Times New Roman" w:hAnsi="Times New Roman" w:cs="Times New Roman"/>
                        <w:spacing w:val="-2"/>
                      </w:rPr>
                      <w:t>f</w:t>
                    </w:r>
                    <w:r>
                      <w:rPr>
                        <w:rFonts w:ascii="Times New Roman" w:eastAsia="Times New Roman" w:hAnsi="Times New Roman" w:cs="Times New Roman"/>
                        <w:spacing w:val="1"/>
                      </w:rPr>
                      <w:t>o</w:t>
                    </w:r>
                    <w:r>
                      <w:rPr>
                        <w:rFonts w:ascii="Times New Roman" w:eastAsia="Times New Roman" w:hAnsi="Times New Roman" w:cs="Times New Roman"/>
                      </w:rPr>
                      <w:t>r</w:t>
                    </w:r>
                    <w:r>
                      <w:rPr>
                        <w:rFonts w:ascii="Times New Roman" w:eastAsia="Times New Roman" w:hAnsi="Times New Roman" w:cs="Times New Roman"/>
                        <w:spacing w:val="-6"/>
                      </w:rPr>
                      <w:t xml:space="preserve"> </w:t>
                    </w:r>
                    <w:r>
                      <w:rPr>
                        <w:rFonts w:ascii="Times New Roman" w:eastAsia="Times New Roman" w:hAnsi="Times New Roman" w:cs="Times New Roman"/>
                        <w:spacing w:val="-2"/>
                      </w:rPr>
                      <w:t>L</w:t>
                    </w:r>
                    <w:r>
                      <w:rPr>
                        <w:rFonts w:ascii="Times New Roman" w:eastAsia="Times New Roman" w:hAnsi="Times New Roman" w:cs="Times New Roman"/>
                        <w:spacing w:val="2"/>
                      </w:rPr>
                      <w:t>U</w:t>
                    </w:r>
                    <w:r>
                      <w:rPr>
                        <w:rFonts w:ascii="Times New Roman" w:eastAsia="Times New Roman" w:hAnsi="Times New Roman" w:cs="Times New Roman"/>
                        <w:spacing w:val="-2"/>
                      </w:rPr>
                      <w:t>L</w:t>
                    </w:r>
                    <w:r>
                      <w:rPr>
                        <w:rFonts w:ascii="Times New Roman" w:eastAsia="Times New Roman" w:hAnsi="Times New Roman" w:cs="Times New Roman"/>
                        <w:spacing w:val="2"/>
                      </w:rPr>
                      <w:t>U</w:t>
                    </w:r>
                    <w:r>
                      <w:rPr>
                        <w:rFonts w:ascii="Times New Roman" w:eastAsia="Times New Roman" w:hAnsi="Times New Roman" w:cs="Times New Roman"/>
                        <w:spacing w:val="-1"/>
                      </w:rPr>
                      <w:t>C</w:t>
                    </w:r>
                    <w:r>
                      <w:rPr>
                        <w:rFonts w:ascii="Times New Roman" w:eastAsia="Times New Roman" w:hAnsi="Times New Roman" w:cs="Times New Roman"/>
                      </w:rPr>
                      <w:t>F</w:t>
                    </w:r>
                  </w:p>
                </w:txbxContent>
              </v:textbox>
              <w10:wrap anchorx="page" anchory="page"/>
            </v:shape>
          </w:pict>
        </mc:Fallback>
      </mc:AlternateContent>
    </w:r>
    <w:r>
      <w:rPr>
        <w:noProof/>
        <w:lang w:val="en-GB" w:eastAsia="en-GB"/>
      </w:rPr>
      <mc:AlternateContent>
        <mc:Choice Requires="wps">
          <w:drawing>
            <wp:anchor distT="0" distB="0" distL="114300" distR="114300" simplePos="0" relativeHeight="251662336" behindDoc="1" locked="0" layoutInCell="1" allowOverlap="1" wp14:anchorId="5DADFC6D" wp14:editId="76B9DC1A">
              <wp:simplePos x="0" y="0"/>
              <wp:positionH relativeFrom="page">
                <wp:posOffset>9783445</wp:posOffset>
              </wp:positionH>
              <wp:positionV relativeFrom="page">
                <wp:posOffset>6725285</wp:posOffset>
              </wp:positionV>
              <wp:extent cx="326390" cy="151765"/>
              <wp:effectExtent l="1270" t="635" r="0" b="0"/>
              <wp:wrapNone/>
              <wp:docPr id="3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390" cy="151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BDFE" w14:textId="77777777" w:rsidR="00BE7199" w:rsidRDefault="00BE7199">
                          <w:pPr>
                            <w:pStyle w:val="BodyText"/>
                            <w:spacing w:line="224" w:lineRule="exact"/>
                            <w:ind w:left="20"/>
                            <w:rPr>
                              <w:rFonts w:cs="Times New Roman"/>
                            </w:rPr>
                          </w:pPr>
                          <w:r>
                            <w:rPr>
                              <w:rFonts w:ascii="Times New Roman" w:eastAsia="Times New Roman" w:hAnsi="Times New Roman" w:cs="Times New Roman"/>
                              <w:spacing w:val="1"/>
                            </w:rPr>
                            <w:t>3.</w:t>
                          </w:r>
                          <w:r>
                            <w:fldChar w:fldCharType="begin"/>
                          </w:r>
                          <w:r>
                            <w:rPr>
                              <w:rFonts w:ascii="Times New Roman" w:eastAsia="Times New Roman" w:hAnsi="Times New Roman" w:cs="Times New Roman"/>
                            </w:rPr>
                            <w:instrText xml:space="preserve"> PAGE </w:instrText>
                          </w:r>
                          <w:r>
                            <w:fldChar w:fldCharType="separate"/>
                          </w:r>
                          <w:r>
                            <w:rPr>
                              <w:rFonts w:cs="Times New Roman"/>
                              <w:noProof/>
                            </w:rPr>
                            <w:t>254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ADFC6D" id="Text Box 27" o:spid="_x0000_s1031" type="#_x0000_t202" style="position:absolute;margin-left:770.35pt;margin-top:529.55pt;width:25.7pt;height:11.9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TlSsQIAALE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" filled="f" stroked="f">
              <v:textbox inset="0,0,0,0">
                <w:txbxContent>
                  <w:p w14:paraId="46A9BDFE" w14:textId="77777777" w:rsidR="00BE7199" w:rsidRDefault="00BE7199">
                    <w:pPr>
                      <w:pStyle w:val="BodyText"/>
                      <w:spacing w:line="224" w:lineRule="exact"/>
                      <w:ind w:left="20"/>
                      <w:rPr>
                        <w:rFonts w:cs="Times New Roman"/>
                      </w:rPr>
                    </w:pPr>
                    <w:r>
                      <w:rPr>
                        <w:rFonts w:ascii="Times New Roman" w:eastAsia="Times New Roman" w:hAnsi="Times New Roman" w:cs="Times New Roman"/>
                        <w:spacing w:val="1"/>
                      </w:rPr>
                      <w:t>3.</w:t>
                    </w:r>
                    <w:r>
                      <w:fldChar w:fldCharType="begin"/>
                    </w:r>
                    <w:r>
                      <w:rPr>
                        <w:rFonts w:ascii="Times New Roman" w:eastAsia="Times New Roman" w:hAnsi="Times New Roman" w:cs="Times New Roman"/>
                      </w:rPr>
                      <w:instrText xml:space="preserve"> PAGE </w:instrText>
                    </w:r>
                    <w:r>
                      <w:fldChar w:fldCharType="separate"/>
                    </w:r>
                    <w:r>
                      <w:rPr>
                        <w:rFonts w:cs="Times New Roman"/>
                        <w:noProof/>
                      </w:rPr>
                      <w:t>254</w:t>
                    </w:r>
                    <w: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9589617"/>
      <w:docPartObj>
        <w:docPartGallery w:val="Page Numbers (Bottom of Page)"/>
        <w:docPartUnique/>
      </w:docPartObj>
    </w:sdtPr>
    <w:sdtEndPr>
      <w:rPr>
        <w:color w:val="7F7F7F" w:themeColor="background1" w:themeShade="7F"/>
        <w:spacing w:val="60"/>
      </w:rPr>
    </w:sdtEndPr>
    <w:sdtContent>
      <w:p w14:paraId="5CE966A0" w14:textId="4E1CFF43" w:rsidR="00BE7199" w:rsidRDefault="00BE7199">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190</w:t>
        </w:r>
        <w:r>
          <w:rPr>
            <w:noProof/>
          </w:rPr>
          <w:fldChar w:fldCharType="end"/>
        </w:r>
        <w:r>
          <w:t xml:space="preserve"> | </w:t>
        </w:r>
        <w:r>
          <w:rPr>
            <w:color w:val="7F7F7F" w:themeColor="background1" w:themeShade="7F"/>
            <w:spacing w:val="60"/>
          </w:rPr>
          <w:t>Page</w:t>
        </w:r>
      </w:p>
    </w:sdtContent>
  </w:sdt>
  <w:p w14:paraId="05C41530" w14:textId="7F363057" w:rsidR="00BE7199" w:rsidRPr="00C32000" w:rsidRDefault="00BE7199" w:rsidP="0092389E">
    <w:pPr>
      <w:pStyle w:val="Footer"/>
      <w:tabs>
        <w:tab w:val="left" w:pos="8789"/>
        <w:tab w:val="left" w:pos="13750"/>
        <w:tab w:val="left" w:pos="14884"/>
        <w:tab w:val="right" w:pos="16320"/>
      </w:tabs>
      <w:jc w:val="right"/>
      <w:rPr>
        <w:sz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892821" w14:textId="77777777" w:rsidR="00317BA0" w:rsidRDefault="00317BA0" w:rsidP="00102CAE">
      <w:pPr>
        <w:spacing w:after="0" w:line="240" w:lineRule="auto"/>
      </w:pPr>
      <w:r>
        <w:separator/>
      </w:r>
    </w:p>
  </w:footnote>
  <w:footnote w:type="continuationSeparator" w:id="0">
    <w:p w14:paraId="23394180" w14:textId="77777777" w:rsidR="00317BA0" w:rsidRDefault="00317BA0" w:rsidP="00102CAE">
      <w:pPr>
        <w:spacing w:after="0" w:line="240" w:lineRule="auto"/>
      </w:pPr>
      <w:r>
        <w:continuationSeparator/>
      </w:r>
    </w:p>
  </w:footnote>
  <w:footnote w:id="1">
    <w:p w14:paraId="6A20FE5C" w14:textId="77777777" w:rsidR="00BE7199" w:rsidRPr="005D2E67" w:rsidRDefault="00BE7199" w:rsidP="00AA051B">
      <w:pPr>
        <w:pStyle w:val="FootnoteText"/>
        <w:jc w:val="both"/>
        <w:rPr>
          <w:rFonts w:ascii="Garamond" w:hAnsi="Garamond"/>
        </w:rPr>
      </w:pPr>
      <w:r w:rsidRPr="005D2E67">
        <w:rPr>
          <w:rStyle w:val="FootnoteReference"/>
          <w:rFonts w:ascii="Garamond" w:hAnsi="Garamond"/>
        </w:rPr>
        <w:footnoteRef/>
      </w:r>
      <w:r w:rsidRPr="005D2E67">
        <w:rPr>
          <w:rFonts w:ascii="Garamond" w:hAnsi="Garamond"/>
        </w:rPr>
        <w:t xml:space="preserve"> 1. COMACO is a private company in Zambia registered under the Zambia Patents and Companies Registration Agency (PACRA). The core business for COMACO is conservation of natural resources through small holder farmers and improving their livelihoods. The farmers are trained to employ technologies that help conserve land. COMACO carries out its work in three programmes namely Sustainable Land Use, Forestry Management, and Wildlife Management. </w:t>
      </w:r>
    </w:p>
    <w:p w14:paraId="0ECAEDD6" w14:textId="77777777" w:rsidR="00BE7199" w:rsidRDefault="00BE7199" w:rsidP="00AA051B">
      <w:pPr>
        <w:pStyle w:val="FootnoteText"/>
        <w:jc w:val="both"/>
      </w:pPr>
      <w:r w:rsidRPr="0053001D">
        <w:rPr>
          <w:rFonts w:ascii="Garamond" w:hAnsi="Garamond"/>
        </w:rPr>
        <w:t>2</w:t>
      </w:r>
      <w:r w:rsidRPr="005D2E67">
        <w:rPr>
          <w:rFonts w:ascii="Garamond" w:hAnsi="Garamond"/>
        </w:rPr>
        <w:t>. COMACO has also made an agreement with the Zambia Department of National Parks and Wildlife to use the COMACO model for wildlife management in some game management areas (CAMACO, 2019). The community conservation plan becomes an annex to the GMA plan</w:t>
      </w:r>
    </w:p>
  </w:footnote>
  <w:footnote w:id="2">
    <w:p w14:paraId="653C501D" w14:textId="77777777" w:rsidR="00BE7199" w:rsidRDefault="00BE7199" w:rsidP="001B0B28">
      <w:pPr>
        <w:pStyle w:val="FootnoteText"/>
      </w:pPr>
      <w:r>
        <w:rPr>
          <w:rStyle w:val="FootnoteReference"/>
        </w:rPr>
        <w:footnoteRef/>
      </w:r>
      <w:r>
        <w:t xml:space="preserve"> NE = Not estimated; Emissions occur but have not been estimated or reported</w:t>
      </w:r>
    </w:p>
    <w:p w14:paraId="55DA473E" w14:textId="77777777" w:rsidR="00BE7199" w:rsidRDefault="00BE7199" w:rsidP="001B0B28">
      <w:pPr>
        <w:pStyle w:val="FootnoteText"/>
      </w:pPr>
      <w:r>
        <w:t>NA = Not applicable; The activity or category exist but relevant emissions are considered never to occur</w:t>
      </w:r>
    </w:p>
    <w:p w14:paraId="5C5E9B0D" w14:textId="31EC0624" w:rsidR="00BE7199" w:rsidRPr="005E626A" w:rsidRDefault="00BE7199" w:rsidP="001B0B28">
      <w:pPr>
        <w:pStyle w:val="FootnoteText"/>
        <w:rPr>
          <w:lang w:val="en-US"/>
        </w:rPr>
      </w:pPr>
      <w:r>
        <w:t>NO = Not occurring; An activity or process does not exist within a country</w:t>
      </w:r>
    </w:p>
  </w:footnote>
  <w:footnote w:id="3">
    <w:p w14:paraId="18170912" w14:textId="77777777" w:rsidR="00BE7199" w:rsidRDefault="00BE7199" w:rsidP="003B1D26">
      <w:pPr>
        <w:pStyle w:val="FootnoteText"/>
      </w:pPr>
      <w:r>
        <w:rPr>
          <w:rStyle w:val="FootnoteReference"/>
        </w:rPr>
        <w:footnoteRef/>
      </w:r>
      <w:r>
        <w:t xml:space="preserve"> NE = Not estimated; Emissions occur but have not been estimated or reported</w:t>
      </w:r>
    </w:p>
    <w:p w14:paraId="46C3C637" w14:textId="77777777" w:rsidR="00BE7199" w:rsidRDefault="00BE7199" w:rsidP="003B1D26">
      <w:pPr>
        <w:pStyle w:val="FootnoteText"/>
      </w:pPr>
      <w:r>
        <w:t>NA = Not applicable; The activity or category exist but relevant emissions are considered never to occur</w:t>
      </w:r>
    </w:p>
    <w:p w14:paraId="5346810C" w14:textId="5F97FB2E" w:rsidR="00BE7199" w:rsidRPr="005E626A" w:rsidRDefault="00BE7199" w:rsidP="003B1D26">
      <w:pPr>
        <w:pStyle w:val="FootnoteText"/>
        <w:rPr>
          <w:lang w:val="en-US"/>
        </w:rPr>
      </w:pPr>
      <w:r>
        <w:t>NO = Not occurring; An activity or process does not exist within a country</w:t>
      </w:r>
    </w:p>
  </w:footnote>
  <w:footnote w:id="4">
    <w:p w14:paraId="255F917F" w14:textId="0127029D" w:rsidR="00BE7199" w:rsidRPr="0008545A" w:rsidRDefault="00BE7199" w:rsidP="009B4DDC">
      <w:pPr>
        <w:pStyle w:val="CommentText"/>
      </w:pPr>
      <w:r>
        <w:rPr>
          <w:rStyle w:val="FootnoteReference"/>
        </w:rPr>
        <w:footnoteRef/>
      </w:r>
      <w:r>
        <w:t xml:space="preserve"> </w:t>
      </w:r>
      <w:r w:rsidRPr="0008545A">
        <w:t xml:space="preserve">4.4% from grid power while 7.4% is from solar power (2015 Living Conditions Monitoring Survey Report, </w:t>
      </w:r>
      <w:r>
        <w:t>ZAMSTATS</w:t>
      </w:r>
      <w:r w:rsidRPr="0008545A">
        <w:t>)</w:t>
      </w:r>
    </w:p>
    <w:p w14:paraId="5E5D8802" w14:textId="77777777" w:rsidR="00BE7199" w:rsidRDefault="00BE7199" w:rsidP="009B4DDC">
      <w:pPr>
        <w:pStyle w:val="FootnoteText"/>
        <w:tabs>
          <w:tab w:val="left" w:pos="8992"/>
        </w:tabs>
      </w:pPr>
      <w:r>
        <w:tab/>
      </w:r>
    </w:p>
  </w:footnote>
  <w:footnote w:id="5">
    <w:p w14:paraId="49C17C05" w14:textId="77777777" w:rsidR="00BE7199" w:rsidRPr="00B53ADF" w:rsidRDefault="00BE7199" w:rsidP="00245464">
      <w:pPr>
        <w:pStyle w:val="FootnoteText"/>
        <w:rPr>
          <w:rFonts w:ascii="Garamond" w:hAnsi="Garamond"/>
          <w:sz w:val="22"/>
          <w:szCs w:val="22"/>
        </w:rPr>
      </w:pPr>
      <w:r w:rsidRPr="00B53ADF">
        <w:rPr>
          <w:rStyle w:val="FootnoteReference"/>
          <w:rFonts w:ascii="Garamond" w:hAnsi="Garamond"/>
          <w:sz w:val="22"/>
          <w:szCs w:val="22"/>
        </w:rPr>
        <w:footnoteRef/>
      </w:r>
      <w:r w:rsidRPr="00B53ADF">
        <w:rPr>
          <w:rFonts w:ascii="Garamond" w:hAnsi="Garamond"/>
          <w:sz w:val="22"/>
          <w:szCs w:val="22"/>
        </w:rPr>
        <w:t xml:space="preserve"> </w:t>
      </w:r>
      <w:r w:rsidRPr="00B53ADF">
        <w:rPr>
          <w:rFonts w:ascii="Garamond" w:hAnsi="Garamond" w:cs="TimesNewRoman"/>
          <w:sz w:val="22"/>
          <w:szCs w:val="22"/>
        </w:rPr>
        <w:t>scaling-up renewable energy in low income countries (SREP) investment plan (IP)</w:t>
      </w:r>
    </w:p>
  </w:footnote>
  <w:footnote w:id="6">
    <w:p w14:paraId="1EBFBA30" w14:textId="77777777" w:rsidR="00BE7199" w:rsidRDefault="00BE7199" w:rsidP="00245464">
      <w:pPr>
        <w:pStyle w:val="FootnoteText"/>
      </w:pPr>
      <w:r>
        <w:rPr>
          <w:rStyle w:val="FootnoteReference"/>
        </w:rPr>
        <w:footnoteRef/>
      </w:r>
      <w:r>
        <w:t xml:space="preserve"> </w:t>
      </w:r>
    </w:p>
  </w:footnote>
  <w:footnote w:id="7">
    <w:p w14:paraId="3C568C45" w14:textId="77777777" w:rsidR="00BE7199" w:rsidRPr="00B53ADF" w:rsidRDefault="00BE7199" w:rsidP="00245464">
      <w:pPr>
        <w:pStyle w:val="FootnoteText"/>
        <w:rPr>
          <w:rFonts w:ascii="Garamond" w:hAnsi="Garamond"/>
        </w:rPr>
      </w:pPr>
      <w:r w:rsidRPr="00B53ADF">
        <w:rPr>
          <w:rStyle w:val="FootnoteReference"/>
          <w:rFonts w:ascii="Garamond" w:hAnsi="Garamond"/>
        </w:rPr>
        <w:footnoteRef/>
      </w:r>
      <w:r w:rsidRPr="00B53ADF">
        <w:rPr>
          <w:rFonts w:ascii="Garamond" w:hAnsi="Garamond"/>
        </w:rPr>
        <w:t xml:space="preserve"> </w:t>
      </w:r>
      <w:hyperlink r:id="rId1" w:history="1">
        <w:r w:rsidRPr="00B53ADF">
          <w:rPr>
            <w:rFonts w:ascii="Garamond" w:hAnsi="Garamond"/>
            <w:color w:val="0000FF"/>
            <w:sz w:val="22"/>
            <w:szCs w:val="22"/>
            <w:u w:val="single"/>
          </w:rPr>
          <w:t>http://www.carbonmarket-foundation.org/userfiles/zdk/Project-Brief_ECS_Zambia_english.pdf</w:t>
        </w:r>
      </w:hyperlink>
    </w:p>
  </w:footnote>
  <w:footnote w:id="8">
    <w:p w14:paraId="168EB11F" w14:textId="77777777" w:rsidR="00BE7199" w:rsidRPr="005D2E67" w:rsidRDefault="00BE7199" w:rsidP="00245464">
      <w:pPr>
        <w:pStyle w:val="FootnoteText"/>
        <w:jc w:val="both"/>
        <w:rPr>
          <w:rFonts w:ascii="Garamond" w:hAnsi="Garamond"/>
        </w:rPr>
      </w:pPr>
      <w:r w:rsidRPr="005D2E67">
        <w:rPr>
          <w:rStyle w:val="FootnoteReference"/>
          <w:rFonts w:ascii="Garamond" w:hAnsi="Garamond"/>
        </w:rPr>
        <w:footnoteRef/>
      </w:r>
      <w:r w:rsidRPr="005D2E67">
        <w:rPr>
          <w:rFonts w:ascii="Garamond" w:hAnsi="Garamond"/>
        </w:rPr>
        <w:t xml:space="preserve"> 1. COMACO is a private company in Zambia registered under the Zambia Patents and Companies Registration Agency (PACRA). The core business for COMACO is conservation of natural resources through small holder farmers and improving their livelihoods. The farmers are trained to employ technologies that help conserve land. COMACO carries out its work in three programmes namely Sustainable Land Use, Forestry Management, and Wildlife Management. </w:t>
      </w:r>
    </w:p>
    <w:p w14:paraId="7B2DA7AF" w14:textId="77777777" w:rsidR="00BE7199" w:rsidRDefault="00BE7199" w:rsidP="00245464">
      <w:pPr>
        <w:pStyle w:val="FootnoteText"/>
        <w:jc w:val="both"/>
      </w:pPr>
      <w:r w:rsidRPr="0053001D">
        <w:rPr>
          <w:rFonts w:ascii="Garamond" w:hAnsi="Garamond"/>
        </w:rPr>
        <w:t>2</w:t>
      </w:r>
      <w:r w:rsidRPr="005D2E67">
        <w:rPr>
          <w:rFonts w:ascii="Garamond" w:hAnsi="Garamond"/>
        </w:rPr>
        <w:t>. COMACO has also made an agreement with the Zambia Department of National Parks and Wildlife to use the COMACO model for wildlife management in some game management areas (CAMACO, 2019). The community conservation plan becomes an annex to the GMA plan</w:t>
      </w:r>
    </w:p>
  </w:footnote>
  <w:footnote w:id="9">
    <w:p w14:paraId="032A2CC0" w14:textId="77777777" w:rsidR="00BE7199" w:rsidRDefault="00BE7199" w:rsidP="00B33B6F">
      <w:pPr>
        <w:pStyle w:val="FootnoteText"/>
      </w:pPr>
      <w:r>
        <w:rPr>
          <w:rStyle w:val="FootnoteReference"/>
        </w:rPr>
        <w:footnoteRef/>
      </w:r>
      <w:r>
        <w:t xml:space="preserve"> </w:t>
      </w:r>
      <w:r>
        <w:rPr>
          <w:rFonts w:ascii="Garamond" w:hAnsi="Garamond" w:cs="Arial"/>
          <w:color w:val="110608"/>
          <w:sz w:val="24"/>
          <w:szCs w:val="24"/>
        </w:rPr>
        <w:t>National Investment Plan to Reduce Deforestation and Forest Degradation (2018-2022) page 35. Paragraph 126</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33F1A"/>
    <w:multiLevelType w:val="multilevel"/>
    <w:tmpl w:val="609A8FF8"/>
    <w:lvl w:ilvl="0">
      <w:start w:val="2"/>
      <w:numFmt w:val="decimal"/>
      <w:lvlText w:val="%1.0"/>
      <w:lvlJc w:val="left"/>
      <w:pPr>
        <w:ind w:left="360" w:hanging="360"/>
      </w:pPr>
      <w:rPr>
        <w:rFonts w:hint="default"/>
      </w:rPr>
    </w:lvl>
    <w:lvl w:ilvl="1">
      <w:start w:val="1"/>
      <w:numFmt w:val="decimal"/>
      <w:lvlText w:val="%1.%2"/>
      <w:lvlJc w:val="left"/>
      <w:pPr>
        <w:ind w:left="1440" w:hanging="720"/>
      </w:pPr>
      <w:rPr>
        <w:rFonts w:ascii="Times New Roman" w:hAnsi="Times New Roman" w:cs="Times New Roman" w:hint="default"/>
        <w:b/>
        <w:bCs/>
        <w:color w:val="auto"/>
        <w:sz w:val="24"/>
        <w:szCs w:val="24"/>
      </w:rPr>
    </w:lvl>
    <w:lvl w:ilvl="2">
      <w:start w:val="1"/>
      <w:numFmt w:val="decimal"/>
      <w:lvlText w:val="%1.%2.%3"/>
      <w:lvlJc w:val="left"/>
      <w:pPr>
        <w:ind w:left="2160" w:hanging="720"/>
      </w:pPr>
      <w:rPr>
        <w:rFonts w:ascii="Times New Roman" w:hAnsi="Times New Roman" w:cs="Times New Roman" w:hint="default"/>
        <w:b/>
        <w:bCs w:val="0"/>
        <w:color w:val="auto"/>
        <w:sz w:val="24"/>
        <w:szCs w:val="24"/>
      </w:rPr>
    </w:lvl>
    <w:lvl w:ilvl="3">
      <w:start w:val="1"/>
      <w:numFmt w:val="decimal"/>
      <w:lvlText w:val="%1.%2.%3.%4"/>
      <w:lvlJc w:val="left"/>
      <w:pPr>
        <w:ind w:left="3240" w:hanging="1080"/>
      </w:pPr>
      <w:rPr>
        <w:rFonts w:hint="default"/>
        <w:b/>
        <w:bCs w:val="0"/>
      </w:rPr>
    </w:lvl>
    <w:lvl w:ilvl="4">
      <w:start w:val="1"/>
      <w:numFmt w:val="decimal"/>
      <w:lvlText w:val="%1.%2.%3.%4.%5"/>
      <w:lvlJc w:val="left"/>
      <w:pPr>
        <w:ind w:left="3960" w:hanging="1080"/>
      </w:pPr>
      <w:rPr>
        <w:rFonts w:ascii="Times New Roman" w:hAnsi="Times New Roman" w:cs="Times New Roman" w:hint="default"/>
        <w:b/>
        <w:bCs/>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 w15:restartNumberingAfterBreak="0">
    <w:nsid w:val="03C4333C"/>
    <w:multiLevelType w:val="multilevel"/>
    <w:tmpl w:val="6AC467E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91521A"/>
    <w:multiLevelType w:val="hybridMultilevel"/>
    <w:tmpl w:val="E34C9C20"/>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66622FB"/>
    <w:multiLevelType w:val="hybridMultilevel"/>
    <w:tmpl w:val="801C484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140B79"/>
    <w:multiLevelType w:val="hybridMultilevel"/>
    <w:tmpl w:val="F1F83B4E"/>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E4358F2"/>
    <w:multiLevelType w:val="hybridMultilevel"/>
    <w:tmpl w:val="FA9E32B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23354E"/>
    <w:multiLevelType w:val="multilevel"/>
    <w:tmpl w:val="0DAE47C0"/>
    <w:lvl w:ilvl="0">
      <w:start w:val="1"/>
      <w:numFmt w:val="upperRoman"/>
      <w:lvlRestart w:val="0"/>
      <w:pStyle w:val="RegHChG"/>
      <w:lvlText w:val="%1."/>
      <w:lvlJc w:val="right"/>
      <w:pPr>
        <w:tabs>
          <w:tab w:val="num" w:pos="1135"/>
        </w:tabs>
        <w:ind w:left="1135" w:hanging="284"/>
      </w:pPr>
      <w:rPr>
        <w:rFonts w:ascii="Times New Roman" w:hAnsi="Times New Roman" w:cs="Times New Roman" w:hint="default"/>
        <w:b/>
        <w:i w:val="0"/>
        <w:sz w:val="28"/>
      </w:rPr>
    </w:lvl>
    <w:lvl w:ilvl="1">
      <w:start w:val="1"/>
      <w:numFmt w:val="upperLetter"/>
      <w:pStyle w:val="RegHChG"/>
      <w:lvlText w:val="%2."/>
      <w:lvlJc w:val="right"/>
      <w:pPr>
        <w:tabs>
          <w:tab w:val="num" w:pos="1135"/>
        </w:tabs>
        <w:ind w:left="1135" w:hanging="284"/>
      </w:pPr>
      <w:rPr>
        <w:rFonts w:ascii="Times New Roman" w:hAnsi="Times New Roman" w:cs="Times New Roman" w:hint="default"/>
        <w:b/>
        <w:i w:val="0"/>
        <w:sz w:val="24"/>
      </w:rPr>
    </w:lvl>
    <w:lvl w:ilvl="2">
      <w:start w:val="1"/>
      <w:numFmt w:val="decimal"/>
      <w:lvlText w:val="%3."/>
      <w:lvlJc w:val="right"/>
      <w:pPr>
        <w:tabs>
          <w:tab w:val="num" w:pos="852"/>
        </w:tabs>
        <w:ind w:left="852" w:hanging="284"/>
      </w:pPr>
      <w:rPr>
        <w:rFonts w:ascii="Times New Roman" w:hAnsi="Times New Roman" w:cs="Times New Roman" w:hint="default"/>
        <w:b/>
        <w:bCs/>
        <w:i w:val="0"/>
        <w:iCs w:val="0"/>
        <w:sz w:val="20"/>
        <w:szCs w:val="20"/>
      </w:rPr>
    </w:lvl>
    <w:lvl w:ilvl="3">
      <w:start w:val="1"/>
      <w:numFmt w:val="decimal"/>
      <w:lvlRestart w:val="0"/>
      <w:lvlText w:val="%4."/>
      <w:lvlJc w:val="left"/>
      <w:pPr>
        <w:tabs>
          <w:tab w:val="num" w:pos="709"/>
        </w:tabs>
        <w:ind w:left="1276"/>
      </w:pPr>
      <w:rPr>
        <w:rFonts w:ascii="Times New Roman" w:hAnsi="Times New Roman" w:cs="Times New Roman" w:hint="default"/>
        <w:i w:val="0"/>
        <w:sz w:val="20"/>
      </w:rPr>
    </w:lvl>
    <w:lvl w:ilvl="4">
      <w:start w:val="1"/>
      <w:numFmt w:val="lowerLetter"/>
      <w:lvlText w:val="(%5)"/>
      <w:lvlJc w:val="left"/>
      <w:pPr>
        <w:tabs>
          <w:tab w:val="num" w:pos="2269"/>
        </w:tabs>
        <w:ind w:left="1135" w:firstLine="567"/>
      </w:pPr>
      <w:rPr>
        <w:rFonts w:cs="Times New Roman" w:hint="default"/>
      </w:rPr>
    </w:lvl>
    <w:lvl w:ilvl="5">
      <w:start w:val="1"/>
      <w:numFmt w:val="lowerRoman"/>
      <w:lvlText w:val="(%6)"/>
      <w:lvlJc w:val="left"/>
      <w:pPr>
        <w:tabs>
          <w:tab w:val="num" w:pos="2269"/>
        </w:tabs>
        <w:ind w:left="1702"/>
      </w:pPr>
      <w:rPr>
        <w:rFonts w:cs="Times New Roman" w:hint="default"/>
      </w:rPr>
    </w:lvl>
    <w:lvl w:ilvl="6">
      <w:start w:val="1"/>
      <w:numFmt w:val="bullet"/>
      <w:lvlText w:val=""/>
      <w:lvlJc w:val="left"/>
      <w:pPr>
        <w:tabs>
          <w:tab w:val="num" w:pos="1702"/>
        </w:tabs>
        <w:ind w:left="1702" w:hanging="170"/>
      </w:pPr>
      <w:rPr>
        <w:rFonts w:ascii="Symbol" w:hAnsi="Symbol" w:hint="default"/>
        <w:b w:val="0"/>
        <w:i w:val="0"/>
        <w:color w:val="auto"/>
        <w:sz w:val="28"/>
      </w:rPr>
    </w:lvl>
    <w:lvl w:ilvl="7">
      <w:start w:val="1"/>
      <w:numFmt w:val="none"/>
      <w:lvlText w:val="%8[%3."/>
      <w:lvlJc w:val="left"/>
      <w:pPr>
        <w:tabs>
          <w:tab w:val="num" w:pos="568"/>
        </w:tabs>
        <w:ind w:left="1135"/>
      </w:pPr>
      <w:rPr>
        <w:rFonts w:cs="Times New Roman" w:hint="default"/>
      </w:rPr>
    </w:lvl>
    <w:lvl w:ilvl="8">
      <w:start w:val="1"/>
      <w:numFmt w:val="lowerRoman"/>
      <w:lvlText w:val="%9."/>
      <w:lvlJc w:val="left"/>
      <w:pPr>
        <w:tabs>
          <w:tab w:val="num" w:pos="4094"/>
        </w:tabs>
        <w:ind w:left="4094" w:hanging="363"/>
      </w:pPr>
      <w:rPr>
        <w:rFonts w:cs="Times New Roman" w:hint="default"/>
      </w:rPr>
    </w:lvl>
  </w:abstractNum>
  <w:abstractNum w:abstractNumId="7" w15:restartNumberingAfterBreak="0">
    <w:nsid w:val="13E200A7"/>
    <w:multiLevelType w:val="hybridMultilevel"/>
    <w:tmpl w:val="DA00F14A"/>
    <w:lvl w:ilvl="0" w:tplc="5314A246">
      <w:start w:val="1"/>
      <w:numFmt w:val="lowerLetter"/>
      <w:lvlText w:val="%1)"/>
      <w:lvlJc w:val="left"/>
      <w:pPr>
        <w:ind w:left="360" w:hanging="360"/>
      </w:pPr>
    </w:lvl>
    <w:lvl w:ilvl="1" w:tplc="04090019" w:tentative="1">
      <w:start w:val="1"/>
      <w:numFmt w:val="lowerLetter"/>
      <w:lvlText w:val="%2."/>
      <w:lvlJc w:val="left"/>
      <w:pPr>
        <w:ind w:left="163" w:hanging="360"/>
      </w:pPr>
    </w:lvl>
    <w:lvl w:ilvl="2" w:tplc="0409001B" w:tentative="1">
      <w:start w:val="1"/>
      <w:numFmt w:val="lowerRoman"/>
      <w:lvlText w:val="%3."/>
      <w:lvlJc w:val="right"/>
      <w:pPr>
        <w:ind w:left="883" w:hanging="180"/>
      </w:pPr>
    </w:lvl>
    <w:lvl w:ilvl="3" w:tplc="0409000F" w:tentative="1">
      <w:start w:val="1"/>
      <w:numFmt w:val="decimal"/>
      <w:lvlText w:val="%4."/>
      <w:lvlJc w:val="left"/>
      <w:pPr>
        <w:ind w:left="1603" w:hanging="360"/>
      </w:pPr>
    </w:lvl>
    <w:lvl w:ilvl="4" w:tplc="04090019" w:tentative="1">
      <w:start w:val="1"/>
      <w:numFmt w:val="lowerLetter"/>
      <w:lvlText w:val="%5."/>
      <w:lvlJc w:val="left"/>
      <w:pPr>
        <w:ind w:left="2323" w:hanging="360"/>
      </w:pPr>
    </w:lvl>
    <w:lvl w:ilvl="5" w:tplc="0409001B" w:tentative="1">
      <w:start w:val="1"/>
      <w:numFmt w:val="lowerRoman"/>
      <w:lvlText w:val="%6."/>
      <w:lvlJc w:val="right"/>
      <w:pPr>
        <w:ind w:left="3043" w:hanging="180"/>
      </w:pPr>
    </w:lvl>
    <w:lvl w:ilvl="6" w:tplc="0409000F" w:tentative="1">
      <w:start w:val="1"/>
      <w:numFmt w:val="decimal"/>
      <w:lvlText w:val="%7."/>
      <w:lvlJc w:val="left"/>
      <w:pPr>
        <w:ind w:left="3763" w:hanging="360"/>
      </w:pPr>
    </w:lvl>
    <w:lvl w:ilvl="7" w:tplc="04090019" w:tentative="1">
      <w:start w:val="1"/>
      <w:numFmt w:val="lowerLetter"/>
      <w:lvlText w:val="%8."/>
      <w:lvlJc w:val="left"/>
      <w:pPr>
        <w:ind w:left="4483" w:hanging="360"/>
      </w:pPr>
    </w:lvl>
    <w:lvl w:ilvl="8" w:tplc="0409001B" w:tentative="1">
      <w:start w:val="1"/>
      <w:numFmt w:val="lowerRoman"/>
      <w:lvlText w:val="%9."/>
      <w:lvlJc w:val="right"/>
      <w:pPr>
        <w:ind w:left="5203" w:hanging="180"/>
      </w:pPr>
    </w:lvl>
  </w:abstractNum>
  <w:abstractNum w:abstractNumId="8" w15:restartNumberingAfterBreak="0">
    <w:nsid w:val="18EA7DD3"/>
    <w:multiLevelType w:val="hybridMultilevel"/>
    <w:tmpl w:val="99BE8B20"/>
    <w:lvl w:ilvl="0" w:tplc="1F94E162">
      <w:start w:val="1"/>
      <w:numFmt w:val="lowerLetter"/>
      <w:lvlText w:val="%1)"/>
      <w:lvlJc w:val="left"/>
      <w:pPr>
        <w:ind w:left="360" w:hanging="360"/>
      </w:pPr>
      <w:rPr>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0B4A23"/>
    <w:multiLevelType w:val="hybridMultilevel"/>
    <w:tmpl w:val="D68417E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3B0093"/>
    <w:multiLevelType w:val="hybridMultilevel"/>
    <w:tmpl w:val="50288F0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1E781099"/>
    <w:multiLevelType w:val="hybridMultilevel"/>
    <w:tmpl w:val="04CEA3BE"/>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EAB4861"/>
    <w:multiLevelType w:val="hybridMultilevel"/>
    <w:tmpl w:val="29003A2E"/>
    <w:lvl w:ilvl="0" w:tplc="5FB04F3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C578E5"/>
    <w:multiLevelType w:val="multilevel"/>
    <w:tmpl w:val="800A5EE6"/>
    <w:lvl w:ilvl="0">
      <w:start w:val="1"/>
      <w:numFmt w:val="decimal"/>
      <w:lvlText w:val="%1."/>
      <w:lvlJc w:val="left"/>
      <w:pPr>
        <w:ind w:left="360" w:hanging="360"/>
      </w:pPr>
    </w:lvl>
    <w:lvl w:ilvl="1">
      <w:start w:val="1"/>
      <w:numFmt w:val="decimal"/>
      <w:isLgl/>
      <w:lvlText w:val="%1.%2"/>
      <w:lvlJc w:val="left"/>
      <w:pPr>
        <w:ind w:left="1440" w:hanging="1440"/>
      </w:pPr>
      <w:rPr>
        <w:rFonts w:hint="default"/>
      </w:rPr>
    </w:lvl>
    <w:lvl w:ilvl="2">
      <w:start w:val="2"/>
      <w:numFmt w:val="decimal"/>
      <w:isLgl/>
      <w:lvlText w:val="%1.%2.%3"/>
      <w:lvlJc w:val="left"/>
      <w:pPr>
        <w:ind w:left="1440" w:hanging="1440"/>
      </w:pPr>
      <w:rPr>
        <w:rFonts w:hint="default"/>
      </w:rPr>
    </w:lvl>
    <w:lvl w:ilvl="3">
      <w:start w:val="3"/>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200E722E"/>
    <w:multiLevelType w:val="hybridMultilevel"/>
    <w:tmpl w:val="5532B714"/>
    <w:lvl w:ilvl="0" w:tplc="2000001B">
      <w:start w:val="1"/>
      <w:numFmt w:val="lowerRoman"/>
      <w:lvlText w:val="%1."/>
      <w:lvlJc w:val="righ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13D5C47"/>
    <w:multiLevelType w:val="multilevel"/>
    <w:tmpl w:val="949CCDF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214873D7"/>
    <w:multiLevelType w:val="hybridMultilevel"/>
    <w:tmpl w:val="99CEE83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7344BB"/>
    <w:multiLevelType w:val="hybridMultilevel"/>
    <w:tmpl w:val="DD06C690"/>
    <w:lvl w:ilvl="0" w:tplc="04090017">
      <w:start w:val="1"/>
      <w:numFmt w:val="lowerLetter"/>
      <w:lvlText w:val="%1)"/>
      <w:lvlJc w:val="left"/>
      <w:pPr>
        <w:tabs>
          <w:tab w:val="num" w:pos="360"/>
        </w:tabs>
        <w:ind w:left="360" w:hanging="360"/>
      </w:pPr>
    </w:lvl>
    <w:lvl w:ilvl="1" w:tplc="190E8A24" w:tentative="1">
      <w:start w:val="1"/>
      <w:numFmt w:val="decimal"/>
      <w:lvlText w:val="%2."/>
      <w:lvlJc w:val="left"/>
      <w:pPr>
        <w:tabs>
          <w:tab w:val="num" w:pos="1080"/>
        </w:tabs>
        <w:ind w:left="1080" w:hanging="360"/>
      </w:pPr>
    </w:lvl>
    <w:lvl w:ilvl="2" w:tplc="01A0D52C" w:tentative="1">
      <w:start w:val="1"/>
      <w:numFmt w:val="decimal"/>
      <w:lvlText w:val="%3."/>
      <w:lvlJc w:val="left"/>
      <w:pPr>
        <w:tabs>
          <w:tab w:val="num" w:pos="1800"/>
        </w:tabs>
        <w:ind w:left="1800" w:hanging="360"/>
      </w:pPr>
    </w:lvl>
    <w:lvl w:ilvl="3" w:tplc="76005386" w:tentative="1">
      <w:start w:val="1"/>
      <w:numFmt w:val="decimal"/>
      <w:lvlText w:val="%4."/>
      <w:lvlJc w:val="left"/>
      <w:pPr>
        <w:tabs>
          <w:tab w:val="num" w:pos="2520"/>
        </w:tabs>
        <w:ind w:left="2520" w:hanging="360"/>
      </w:pPr>
    </w:lvl>
    <w:lvl w:ilvl="4" w:tplc="97DC6902" w:tentative="1">
      <w:start w:val="1"/>
      <w:numFmt w:val="decimal"/>
      <w:lvlText w:val="%5."/>
      <w:lvlJc w:val="left"/>
      <w:pPr>
        <w:tabs>
          <w:tab w:val="num" w:pos="3240"/>
        </w:tabs>
        <w:ind w:left="3240" w:hanging="360"/>
      </w:pPr>
    </w:lvl>
    <w:lvl w:ilvl="5" w:tplc="04129CA4" w:tentative="1">
      <w:start w:val="1"/>
      <w:numFmt w:val="decimal"/>
      <w:lvlText w:val="%6."/>
      <w:lvlJc w:val="left"/>
      <w:pPr>
        <w:tabs>
          <w:tab w:val="num" w:pos="3960"/>
        </w:tabs>
        <w:ind w:left="3960" w:hanging="360"/>
      </w:pPr>
    </w:lvl>
    <w:lvl w:ilvl="6" w:tplc="DCF67734" w:tentative="1">
      <w:start w:val="1"/>
      <w:numFmt w:val="decimal"/>
      <w:lvlText w:val="%7."/>
      <w:lvlJc w:val="left"/>
      <w:pPr>
        <w:tabs>
          <w:tab w:val="num" w:pos="4680"/>
        </w:tabs>
        <w:ind w:left="4680" w:hanging="360"/>
      </w:pPr>
    </w:lvl>
    <w:lvl w:ilvl="7" w:tplc="90768A06" w:tentative="1">
      <w:start w:val="1"/>
      <w:numFmt w:val="decimal"/>
      <w:lvlText w:val="%8."/>
      <w:lvlJc w:val="left"/>
      <w:pPr>
        <w:tabs>
          <w:tab w:val="num" w:pos="5400"/>
        </w:tabs>
        <w:ind w:left="5400" w:hanging="360"/>
      </w:pPr>
    </w:lvl>
    <w:lvl w:ilvl="8" w:tplc="76E802CE" w:tentative="1">
      <w:start w:val="1"/>
      <w:numFmt w:val="decimal"/>
      <w:lvlText w:val="%9."/>
      <w:lvlJc w:val="left"/>
      <w:pPr>
        <w:tabs>
          <w:tab w:val="num" w:pos="6120"/>
        </w:tabs>
        <w:ind w:left="6120" w:hanging="360"/>
      </w:pPr>
    </w:lvl>
  </w:abstractNum>
  <w:abstractNum w:abstractNumId="18" w15:restartNumberingAfterBreak="0">
    <w:nsid w:val="25AF736F"/>
    <w:multiLevelType w:val="multilevel"/>
    <w:tmpl w:val="885A6726"/>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7244318"/>
    <w:multiLevelType w:val="hybridMultilevel"/>
    <w:tmpl w:val="5E60E4C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254A5D"/>
    <w:multiLevelType w:val="hybridMultilevel"/>
    <w:tmpl w:val="198A254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B476A6"/>
    <w:multiLevelType w:val="hybridMultilevel"/>
    <w:tmpl w:val="2A649C08"/>
    <w:lvl w:ilvl="0" w:tplc="12D0F678">
      <w:start w:val="1"/>
      <w:numFmt w:val="lowerRoman"/>
      <w:lvlText w:val="(%1)"/>
      <w:lvlJc w:val="left"/>
      <w:pPr>
        <w:ind w:left="360" w:hanging="360"/>
      </w:pPr>
      <w:rPr>
        <w:rFonts w:hint="default"/>
        <w:i w:val="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142743E"/>
    <w:multiLevelType w:val="hybridMultilevel"/>
    <w:tmpl w:val="AE1AAED6"/>
    <w:lvl w:ilvl="0" w:tplc="12D0F678">
      <w:start w:val="1"/>
      <w:numFmt w:val="lowerRoman"/>
      <w:lvlText w:val="(%1)"/>
      <w:lvlJc w:val="left"/>
      <w:pPr>
        <w:ind w:left="360" w:hanging="360"/>
      </w:pPr>
      <w:rPr>
        <w:rFonts w:hint="default"/>
        <w:i w:val="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72B2E54"/>
    <w:multiLevelType w:val="hybridMultilevel"/>
    <w:tmpl w:val="B64E5876"/>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A4F2AA0"/>
    <w:multiLevelType w:val="hybridMultilevel"/>
    <w:tmpl w:val="F0A2214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7014080"/>
    <w:multiLevelType w:val="hybridMultilevel"/>
    <w:tmpl w:val="BD62D18A"/>
    <w:lvl w:ilvl="0" w:tplc="155CF20C">
      <w:start w:val="1"/>
      <w:numFmt w:val="lowerRoman"/>
      <w:lvlText w:val="(%1)."/>
      <w:lvlJc w:val="right"/>
      <w:pPr>
        <w:ind w:left="360" w:hanging="360"/>
      </w:pPr>
      <w:rPr>
        <w:rFonts w:hint="default"/>
      </w:rPr>
    </w:lvl>
    <w:lvl w:ilvl="1" w:tplc="01DE1164">
      <w:start w:val="1"/>
      <w:numFmt w:val="lowerRoman"/>
      <w:lvlText w:val="(%2)."/>
      <w:lvlJc w:val="right"/>
      <w:pPr>
        <w:ind w:left="1305" w:hanging="585"/>
      </w:pPr>
      <w:rPr>
        <w:rFonts w:hint="default"/>
        <w:b w:val="0"/>
      </w:rPr>
    </w:lvl>
    <w:lvl w:ilvl="2" w:tplc="1EECBB10">
      <w:start w:val="1"/>
      <w:numFmt w:val="lowerLetter"/>
      <w:lvlText w:val="(%3)"/>
      <w:lvlJc w:val="left"/>
      <w:pPr>
        <w:ind w:left="1980" w:hanging="36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754175E"/>
    <w:multiLevelType w:val="multilevel"/>
    <w:tmpl w:val="7298ACB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7DA3C7D"/>
    <w:multiLevelType w:val="hybridMultilevel"/>
    <w:tmpl w:val="85A8E51A"/>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94E6FFF"/>
    <w:multiLevelType w:val="hybridMultilevel"/>
    <w:tmpl w:val="1D7EE116"/>
    <w:lvl w:ilvl="0" w:tplc="12D0F678">
      <w:start w:val="1"/>
      <w:numFmt w:val="lowerRoman"/>
      <w:lvlText w:val="(%1)"/>
      <w:lvlJc w:val="left"/>
      <w:pPr>
        <w:ind w:left="360" w:hanging="360"/>
      </w:pPr>
      <w:rPr>
        <w:rFonts w:hint="default"/>
        <w:i w:val="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98B22C1"/>
    <w:multiLevelType w:val="hybridMultilevel"/>
    <w:tmpl w:val="1A661D7A"/>
    <w:lvl w:ilvl="0" w:tplc="12D0F678">
      <w:start w:val="1"/>
      <w:numFmt w:val="lowerRoman"/>
      <w:lvlText w:val="(%1)"/>
      <w:lvlJc w:val="left"/>
      <w:pPr>
        <w:ind w:left="360" w:hanging="360"/>
      </w:pPr>
      <w:rPr>
        <w:rFonts w:hint="default"/>
        <w:i w:val="0"/>
        <w:sz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49FC19C1"/>
    <w:multiLevelType w:val="hybridMultilevel"/>
    <w:tmpl w:val="FC3E6C7A"/>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4A945564"/>
    <w:multiLevelType w:val="hybridMultilevel"/>
    <w:tmpl w:val="0FC8E50C"/>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B6D5497"/>
    <w:multiLevelType w:val="multilevel"/>
    <w:tmpl w:val="E8E89986"/>
    <w:lvl w:ilvl="0">
      <w:start w:val="1"/>
      <w:numFmt w:val="lowerLetter"/>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33" w15:restartNumberingAfterBreak="0">
    <w:nsid w:val="4B937BE1"/>
    <w:multiLevelType w:val="multilevel"/>
    <w:tmpl w:val="A302F956"/>
    <w:lvl w:ilvl="0">
      <w:start w:val="2"/>
      <w:numFmt w:val="decimal"/>
      <w:lvlText w:val="%1.0"/>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ascii="Times New Roman" w:hAnsi="Times New Roman" w:cs="Times New Roman" w:hint="default"/>
        <w:b/>
        <w:bCs w:val="0"/>
        <w:color w:val="auto"/>
        <w:sz w:val="24"/>
        <w:szCs w:val="24"/>
      </w:rPr>
    </w:lvl>
    <w:lvl w:ilvl="3">
      <w:start w:val="1"/>
      <w:numFmt w:val="decimal"/>
      <w:lvlText w:val="%1.%2.%3.%4"/>
      <w:lvlJc w:val="left"/>
      <w:pPr>
        <w:ind w:left="3240" w:hanging="1080"/>
      </w:pPr>
      <w:rPr>
        <w:rFonts w:hint="default"/>
        <w:b/>
        <w:bCs w:val="0"/>
      </w:rPr>
    </w:lvl>
    <w:lvl w:ilvl="4">
      <w:start w:val="1"/>
      <w:numFmt w:val="decimal"/>
      <w:lvlText w:val="%1.%2.%3.%4.%5"/>
      <w:lvlJc w:val="left"/>
      <w:pPr>
        <w:ind w:left="3960" w:hanging="1080"/>
      </w:pPr>
      <w:rPr>
        <w:rFonts w:ascii="Times New Roman" w:hAnsi="Times New Roman" w:cs="Times New Roman" w:hint="default"/>
        <w:b/>
        <w:bCs/>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4" w15:restartNumberingAfterBreak="0">
    <w:nsid w:val="4C7D161A"/>
    <w:multiLevelType w:val="multilevel"/>
    <w:tmpl w:val="24321E8C"/>
    <w:lvl w:ilvl="0">
      <w:start w:val="1"/>
      <w:numFmt w:val="lowerRoman"/>
      <w:lvlText w:val="%1."/>
      <w:lvlJc w:val="righ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56AF48E8"/>
    <w:multiLevelType w:val="hybridMultilevel"/>
    <w:tmpl w:val="597E9320"/>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8FE4607"/>
    <w:multiLevelType w:val="hybridMultilevel"/>
    <w:tmpl w:val="37DE888A"/>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59EE4C3A"/>
    <w:multiLevelType w:val="multilevel"/>
    <w:tmpl w:val="ADF8721A"/>
    <w:lvl w:ilvl="0">
      <w:start w:val="1"/>
      <w:numFmt w:val="lowerRoman"/>
      <w:lvlText w:val="%1."/>
      <w:lvlJc w:val="right"/>
      <w:pPr>
        <w:ind w:left="720" w:hanging="360"/>
      </w:pPr>
      <w:rPr>
        <w:rFonts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38" w15:restartNumberingAfterBreak="0">
    <w:nsid w:val="5E472518"/>
    <w:multiLevelType w:val="multilevel"/>
    <w:tmpl w:val="658ADD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15:restartNumberingAfterBreak="0">
    <w:nsid w:val="5F1B607E"/>
    <w:multiLevelType w:val="multilevel"/>
    <w:tmpl w:val="FCA8425C"/>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0893150"/>
    <w:multiLevelType w:val="hybridMultilevel"/>
    <w:tmpl w:val="4BDC91FE"/>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62657A15"/>
    <w:multiLevelType w:val="hybridMultilevel"/>
    <w:tmpl w:val="8162F7DA"/>
    <w:lvl w:ilvl="0" w:tplc="04090017">
      <w:start w:val="1"/>
      <w:numFmt w:val="lowerLetter"/>
      <w:lvlText w:val="%1)"/>
      <w:lvlJc w:val="left"/>
      <w:pPr>
        <w:ind w:left="360" w:hanging="360"/>
      </w:pPr>
      <w:rPr>
        <w:rFonts w:hint="default"/>
        <w:i w:val="0"/>
        <w:sz w:val="22"/>
      </w:rPr>
    </w:lvl>
    <w:lvl w:ilvl="1" w:tplc="04090019" w:tentative="1">
      <w:start w:val="1"/>
      <w:numFmt w:val="lowerLetter"/>
      <w:lvlText w:val="%2."/>
      <w:lvlJc w:val="left"/>
      <w:pPr>
        <w:ind w:left="163" w:hanging="360"/>
      </w:pPr>
    </w:lvl>
    <w:lvl w:ilvl="2" w:tplc="0409001B" w:tentative="1">
      <w:start w:val="1"/>
      <w:numFmt w:val="lowerRoman"/>
      <w:lvlText w:val="%3."/>
      <w:lvlJc w:val="right"/>
      <w:pPr>
        <w:ind w:left="883" w:hanging="180"/>
      </w:pPr>
    </w:lvl>
    <w:lvl w:ilvl="3" w:tplc="0409000F" w:tentative="1">
      <w:start w:val="1"/>
      <w:numFmt w:val="decimal"/>
      <w:lvlText w:val="%4."/>
      <w:lvlJc w:val="left"/>
      <w:pPr>
        <w:ind w:left="1603" w:hanging="360"/>
      </w:pPr>
    </w:lvl>
    <w:lvl w:ilvl="4" w:tplc="04090019" w:tentative="1">
      <w:start w:val="1"/>
      <w:numFmt w:val="lowerLetter"/>
      <w:lvlText w:val="%5."/>
      <w:lvlJc w:val="left"/>
      <w:pPr>
        <w:ind w:left="2323" w:hanging="360"/>
      </w:pPr>
    </w:lvl>
    <w:lvl w:ilvl="5" w:tplc="0409001B" w:tentative="1">
      <w:start w:val="1"/>
      <w:numFmt w:val="lowerRoman"/>
      <w:lvlText w:val="%6."/>
      <w:lvlJc w:val="right"/>
      <w:pPr>
        <w:ind w:left="3043" w:hanging="180"/>
      </w:pPr>
    </w:lvl>
    <w:lvl w:ilvl="6" w:tplc="0409000F" w:tentative="1">
      <w:start w:val="1"/>
      <w:numFmt w:val="decimal"/>
      <w:lvlText w:val="%7."/>
      <w:lvlJc w:val="left"/>
      <w:pPr>
        <w:ind w:left="3763" w:hanging="360"/>
      </w:pPr>
    </w:lvl>
    <w:lvl w:ilvl="7" w:tplc="04090019" w:tentative="1">
      <w:start w:val="1"/>
      <w:numFmt w:val="lowerLetter"/>
      <w:lvlText w:val="%8."/>
      <w:lvlJc w:val="left"/>
      <w:pPr>
        <w:ind w:left="4483" w:hanging="360"/>
      </w:pPr>
    </w:lvl>
    <w:lvl w:ilvl="8" w:tplc="0409001B" w:tentative="1">
      <w:start w:val="1"/>
      <w:numFmt w:val="lowerRoman"/>
      <w:lvlText w:val="%9."/>
      <w:lvlJc w:val="right"/>
      <w:pPr>
        <w:ind w:left="5203" w:hanging="180"/>
      </w:pPr>
    </w:lvl>
  </w:abstractNum>
  <w:abstractNum w:abstractNumId="42" w15:restartNumberingAfterBreak="0">
    <w:nsid w:val="63F56B14"/>
    <w:multiLevelType w:val="hybridMultilevel"/>
    <w:tmpl w:val="CAA2521C"/>
    <w:lvl w:ilvl="0" w:tplc="04090017">
      <w:start w:val="1"/>
      <w:numFmt w:val="lowerLetter"/>
      <w:lvlText w:val="%1)"/>
      <w:lvlJc w:val="left"/>
      <w:pPr>
        <w:ind w:left="1340" w:hanging="62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66355F23"/>
    <w:multiLevelType w:val="hybridMultilevel"/>
    <w:tmpl w:val="468CC8B8"/>
    <w:lvl w:ilvl="0" w:tplc="155CF20C">
      <w:start w:val="1"/>
      <w:numFmt w:val="lowerRoman"/>
      <w:lvlText w:val="(%1)."/>
      <w:lvlJc w:val="righ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6A3595A"/>
    <w:multiLevelType w:val="multilevel"/>
    <w:tmpl w:val="800A5EE6"/>
    <w:lvl w:ilvl="0">
      <w:start w:val="1"/>
      <w:numFmt w:val="decimal"/>
      <w:lvlText w:val="%1."/>
      <w:lvlJc w:val="left"/>
      <w:pPr>
        <w:ind w:left="360" w:hanging="360"/>
      </w:pPr>
    </w:lvl>
    <w:lvl w:ilvl="1">
      <w:start w:val="1"/>
      <w:numFmt w:val="decimal"/>
      <w:isLgl/>
      <w:lvlText w:val="%1.%2"/>
      <w:lvlJc w:val="left"/>
      <w:pPr>
        <w:ind w:left="1440" w:hanging="1440"/>
      </w:pPr>
      <w:rPr>
        <w:rFonts w:hint="default"/>
      </w:rPr>
    </w:lvl>
    <w:lvl w:ilvl="2">
      <w:start w:val="2"/>
      <w:numFmt w:val="decimal"/>
      <w:isLgl/>
      <w:lvlText w:val="%1.%2.%3"/>
      <w:lvlJc w:val="left"/>
      <w:pPr>
        <w:ind w:left="1440" w:hanging="1440"/>
      </w:pPr>
      <w:rPr>
        <w:rFonts w:hint="default"/>
      </w:rPr>
    </w:lvl>
    <w:lvl w:ilvl="3">
      <w:start w:val="3"/>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5" w15:restartNumberingAfterBreak="0">
    <w:nsid w:val="706E771F"/>
    <w:multiLevelType w:val="hybridMultilevel"/>
    <w:tmpl w:val="525AB1D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168036B"/>
    <w:multiLevelType w:val="multilevel"/>
    <w:tmpl w:val="800A5EE6"/>
    <w:lvl w:ilvl="0">
      <w:start w:val="1"/>
      <w:numFmt w:val="decimal"/>
      <w:lvlText w:val="%1."/>
      <w:lvlJc w:val="left"/>
      <w:pPr>
        <w:ind w:left="360" w:hanging="360"/>
      </w:pPr>
    </w:lvl>
    <w:lvl w:ilvl="1">
      <w:start w:val="1"/>
      <w:numFmt w:val="decimal"/>
      <w:isLgl/>
      <w:lvlText w:val="%1.%2"/>
      <w:lvlJc w:val="left"/>
      <w:pPr>
        <w:ind w:left="1440" w:hanging="1440"/>
      </w:pPr>
      <w:rPr>
        <w:rFonts w:hint="default"/>
      </w:rPr>
    </w:lvl>
    <w:lvl w:ilvl="2">
      <w:start w:val="2"/>
      <w:numFmt w:val="decimal"/>
      <w:isLgl/>
      <w:lvlText w:val="%1.%2.%3"/>
      <w:lvlJc w:val="left"/>
      <w:pPr>
        <w:ind w:left="1440" w:hanging="1440"/>
      </w:pPr>
      <w:rPr>
        <w:rFonts w:hint="default"/>
      </w:rPr>
    </w:lvl>
    <w:lvl w:ilvl="3">
      <w:start w:val="3"/>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7" w15:restartNumberingAfterBreak="0">
    <w:nsid w:val="75643C0F"/>
    <w:multiLevelType w:val="hybridMultilevel"/>
    <w:tmpl w:val="849E40A8"/>
    <w:lvl w:ilvl="0" w:tplc="2000001B">
      <w:start w:val="1"/>
      <w:numFmt w:val="lowerRoman"/>
      <w:lvlText w:val="%1."/>
      <w:lvlJc w:val="righ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768B7395"/>
    <w:multiLevelType w:val="hybridMultilevel"/>
    <w:tmpl w:val="EC6C91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ACE73E2"/>
    <w:multiLevelType w:val="multilevel"/>
    <w:tmpl w:val="F1F62DA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B525A47"/>
    <w:multiLevelType w:val="hybridMultilevel"/>
    <w:tmpl w:val="532EA48E"/>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7BE009AA"/>
    <w:multiLevelType w:val="multilevel"/>
    <w:tmpl w:val="C408FDDC"/>
    <w:lvl w:ilvl="0">
      <w:start w:val="1"/>
      <w:numFmt w:val="decimal"/>
      <w:lvlText w:val="%1.0"/>
      <w:lvlJc w:val="left"/>
      <w:pPr>
        <w:ind w:left="720" w:hanging="7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52" w15:restartNumberingAfterBreak="0">
    <w:nsid w:val="7DCF4A10"/>
    <w:multiLevelType w:val="hybridMultilevel"/>
    <w:tmpl w:val="05002B94"/>
    <w:lvl w:ilvl="0" w:tplc="2000001B">
      <w:start w:val="1"/>
      <w:numFmt w:val="lowerRoman"/>
      <w:lvlText w:val="%1."/>
      <w:lvlJc w:val="righ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3" w15:restartNumberingAfterBreak="0">
    <w:nsid w:val="7F87414C"/>
    <w:multiLevelType w:val="multilevel"/>
    <w:tmpl w:val="D52A46AC"/>
    <w:lvl w:ilvl="0">
      <w:start w:val="1"/>
      <w:numFmt w:val="lowerRoman"/>
      <w:lvlText w:val="(%1)."/>
      <w:lvlJc w:val="right"/>
      <w:pPr>
        <w:ind w:left="1080" w:hanging="360"/>
      </w:pPr>
      <w:rPr>
        <w:rFonts w:hint="default"/>
        <w:b w:val="0"/>
        <w:sz w:val="24"/>
        <w:szCs w:val="24"/>
        <w:u w:val="none"/>
        <w:shd w:val="clear" w:color="auto" w:fill="auto"/>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num w:numId="1">
    <w:abstractNumId w:val="42"/>
  </w:num>
  <w:num w:numId="2">
    <w:abstractNumId w:val="20"/>
  </w:num>
  <w:num w:numId="3">
    <w:abstractNumId w:val="9"/>
  </w:num>
  <w:num w:numId="4">
    <w:abstractNumId w:val="6"/>
  </w:num>
  <w:num w:numId="5">
    <w:abstractNumId w:val="44"/>
  </w:num>
  <w:num w:numId="6">
    <w:abstractNumId w:val="11"/>
  </w:num>
  <w:num w:numId="7">
    <w:abstractNumId w:val="30"/>
  </w:num>
  <w:num w:numId="8">
    <w:abstractNumId w:val="31"/>
  </w:num>
  <w:num w:numId="9">
    <w:abstractNumId w:val="7"/>
  </w:num>
  <w:num w:numId="10">
    <w:abstractNumId w:val="41"/>
  </w:num>
  <w:num w:numId="11">
    <w:abstractNumId w:val="2"/>
  </w:num>
  <w:num w:numId="12">
    <w:abstractNumId w:val="50"/>
  </w:num>
  <w:num w:numId="13">
    <w:abstractNumId w:val="27"/>
  </w:num>
  <w:num w:numId="14">
    <w:abstractNumId w:val="40"/>
  </w:num>
  <w:num w:numId="15">
    <w:abstractNumId w:val="35"/>
  </w:num>
  <w:num w:numId="16">
    <w:abstractNumId w:val="8"/>
  </w:num>
  <w:num w:numId="17">
    <w:abstractNumId w:val="4"/>
  </w:num>
  <w:num w:numId="18">
    <w:abstractNumId w:val="36"/>
  </w:num>
  <w:num w:numId="19">
    <w:abstractNumId w:val="19"/>
  </w:num>
  <w:num w:numId="20">
    <w:abstractNumId w:val="43"/>
  </w:num>
  <w:num w:numId="21">
    <w:abstractNumId w:val="13"/>
  </w:num>
  <w:num w:numId="22">
    <w:abstractNumId w:val="46"/>
  </w:num>
  <w:num w:numId="23">
    <w:abstractNumId w:val="17"/>
  </w:num>
  <w:num w:numId="24">
    <w:abstractNumId w:val="23"/>
  </w:num>
  <w:num w:numId="25">
    <w:abstractNumId w:val="21"/>
  </w:num>
  <w:num w:numId="26">
    <w:abstractNumId w:val="29"/>
  </w:num>
  <w:num w:numId="27">
    <w:abstractNumId w:val="22"/>
  </w:num>
  <w:num w:numId="28">
    <w:abstractNumId w:val="28"/>
  </w:num>
  <w:num w:numId="29">
    <w:abstractNumId w:val="39"/>
  </w:num>
  <w:num w:numId="30">
    <w:abstractNumId w:val="12"/>
  </w:num>
  <w:num w:numId="31">
    <w:abstractNumId w:val="32"/>
  </w:num>
  <w:num w:numId="32">
    <w:abstractNumId w:val="25"/>
  </w:num>
  <w:num w:numId="33">
    <w:abstractNumId w:val="53"/>
  </w:num>
  <w:num w:numId="34">
    <w:abstractNumId w:val="15"/>
  </w:num>
  <w:num w:numId="35">
    <w:abstractNumId w:val="38"/>
  </w:num>
  <w:num w:numId="36">
    <w:abstractNumId w:val="0"/>
  </w:num>
  <w:num w:numId="37">
    <w:abstractNumId w:val="16"/>
  </w:num>
  <w:num w:numId="38">
    <w:abstractNumId w:val="5"/>
  </w:num>
  <w:num w:numId="39">
    <w:abstractNumId w:val="3"/>
  </w:num>
  <w:num w:numId="40">
    <w:abstractNumId w:val="24"/>
  </w:num>
  <w:num w:numId="41">
    <w:abstractNumId w:val="45"/>
  </w:num>
  <w:num w:numId="42">
    <w:abstractNumId w:val="48"/>
  </w:num>
  <w:num w:numId="43">
    <w:abstractNumId w:val="52"/>
  </w:num>
  <w:num w:numId="4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
  </w:num>
  <w:num w:numId="48">
    <w:abstractNumId w:val="14"/>
  </w:num>
  <w:num w:numId="49">
    <w:abstractNumId w:val="47"/>
  </w:num>
  <w:num w:numId="50">
    <w:abstractNumId w:val="51"/>
  </w:num>
  <w:num w:numId="51">
    <w:abstractNumId w:val="34"/>
  </w:num>
  <w:num w:numId="52">
    <w:abstractNumId w:val="37"/>
  </w:num>
  <w:num w:numId="53">
    <w:abstractNumId w:val="10"/>
  </w:num>
  <w:num w:numId="54">
    <w:abstractNumId w:val="3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379A"/>
    <w:rsid w:val="000006E0"/>
    <w:rsid w:val="00003D0E"/>
    <w:rsid w:val="00010492"/>
    <w:rsid w:val="000121CC"/>
    <w:rsid w:val="00014069"/>
    <w:rsid w:val="00021BF9"/>
    <w:rsid w:val="00022070"/>
    <w:rsid w:val="0002386E"/>
    <w:rsid w:val="0002567C"/>
    <w:rsid w:val="00026F01"/>
    <w:rsid w:val="00031009"/>
    <w:rsid w:val="0003347E"/>
    <w:rsid w:val="00033860"/>
    <w:rsid w:val="000355CC"/>
    <w:rsid w:val="0004019F"/>
    <w:rsid w:val="000403D6"/>
    <w:rsid w:val="00040765"/>
    <w:rsid w:val="00040CE5"/>
    <w:rsid w:val="000437C6"/>
    <w:rsid w:val="00043FCE"/>
    <w:rsid w:val="000441C7"/>
    <w:rsid w:val="00047BDE"/>
    <w:rsid w:val="00053A3A"/>
    <w:rsid w:val="00053BCF"/>
    <w:rsid w:val="000600D5"/>
    <w:rsid w:val="000600F2"/>
    <w:rsid w:val="00060F78"/>
    <w:rsid w:val="0006281E"/>
    <w:rsid w:val="0006694D"/>
    <w:rsid w:val="000705CB"/>
    <w:rsid w:val="0007089F"/>
    <w:rsid w:val="00071F00"/>
    <w:rsid w:val="00074057"/>
    <w:rsid w:val="00074335"/>
    <w:rsid w:val="000776D5"/>
    <w:rsid w:val="000777FB"/>
    <w:rsid w:val="00080C64"/>
    <w:rsid w:val="00080E21"/>
    <w:rsid w:val="00081070"/>
    <w:rsid w:val="00083967"/>
    <w:rsid w:val="00083F36"/>
    <w:rsid w:val="00087AA1"/>
    <w:rsid w:val="00090DD1"/>
    <w:rsid w:val="000926D0"/>
    <w:rsid w:val="00096953"/>
    <w:rsid w:val="000A2D69"/>
    <w:rsid w:val="000A34A9"/>
    <w:rsid w:val="000A3CB8"/>
    <w:rsid w:val="000A4D3F"/>
    <w:rsid w:val="000A58D6"/>
    <w:rsid w:val="000A598C"/>
    <w:rsid w:val="000A688A"/>
    <w:rsid w:val="000A6CDE"/>
    <w:rsid w:val="000A6F26"/>
    <w:rsid w:val="000B04FE"/>
    <w:rsid w:val="000B0E9A"/>
    <w:rsid w:val="000B24FB"/>
    <w:rsid w:val="000B34CE"/>
    <w:rsid w:val="000B3778"/>
    <w:rsid w:val="000B468E"/>
    <w:rsid w:val="000B47D8"/>
    <w:rsid w:val="000B6423"/>
    <w:rsid w:val="000C1EDE"/>
    <w:rsid w:val="000C24F2"/>
    <w:rsid w:val="000C47EC"/>
    <w:rsid w:val="000C4FCD"/>
    <w:rsid w:val="000C6B0B"/>
    <w:rsid w:val="000C7500"/>
    <w:rsid w:val="000D043F"/>
    <w:rsid w:val="000D227D"/>
    <w:rsid w:val="000D4750"/>
    <w:rsid w:val="000D537F"/>
    <w:rsid w:val="000D56A4"/>
    <w:rsid w:val="000D58FC"/>
    <w:rsid w:val="000D5D8A"/>
    <w:rsid w:val="000D604E"/>
    <w:rsid w:val="000D60FE"/>
    <w:rsid w:val="000D629A"/>
    <w:rsid w:val="000E064F"/>
    <w:rsid w:val="000E11A3"/>
    <w:rsid w:val="000E4D34"/>
    <w:rsid w:val="000E5991"/>
    <w:rsid w:val="000E5EE9"/>
    <w:rsid w:val="000E684B"/>
    <w:rsid w:val="000E6D8E"/>
    <w:rsid w:val="000E7B45"/>
    <w:rsid w:val="000F075B"/>
    <w:rsid w:val="000F3EEB"/>
    <w:rsid w:val="000F44A6"/>
    <w:rsid w:val="000F5108"/>
    <w:rsid w:val="000F7662"/>
    <w:rsid w:val="000F78DC"/>
    <w:rsid w:val="00101785"/>
    <w:rsid w:val="00101B25"/>
    <w:rsid w:val="00101CF7"/>
    <w:rsid w:val="001020D2"/>
    <w:rsid w:val="00102CAE"/>
    <w:rsid w:val="00106F56"/>
    <w:rsid w:val="0010713B"/>
    <w:rsid w:val="00110AD5"/>
    <w:rsid w:val="001113AC"/>
    <w:rsid w:val="00112585"/>
    <w:rsid w:val="00113372"/>
    <w:rsid w:val="001140B7"/>
    <w:rsid w:val="00115AA2"/>
    <w:rsid w:val="00117ECD"/>
    <w:rsid w:val="0012097C"/>
    <w:rsid w:val="0012168F"/>
    <w:rsid w:val="00122ECF"/>
    <w:rsid w:val="00122F4F"/>
    <w:rsid w:val="00123398"/>
    <w:rsid w:val="00123BF9"/>
    <w:rsid w:val="00127595"/>
    <w:rsid w:val="0013178A"/>
    <w:rsid w:val="00132901"/>
    <w:rsid w:val="0013458A"/>
    <w:rsid w:val="00136BB5"/>
    <w:rsid w:val="00141A1A"/>
    <w:rsid w:val="00141F11"/>
    <w:rsid w:val="001446C3"/>
    <w:rsid w:val="001457FC"/>
    <w:rsid w:val="001462B5"/>
    <w:rsid w:val="0014678C"/>
    <w:rsid w:val="0014707D"/>
    <w:rsid w:val="00147302"/>
    <w:rsid w:val="00147902"/>
    <w:rsid w:val="00147DFA"/>
    <w:rsid w:val="00150C92"/>
    <w:rsid w:val="00150FCE"/>
    <w:rsid w:val="001512D9"/>
    <w:rsid w:val="00154848"/>
    <w:rsid w:val="001605E3"/>
    <w:rsid w:val="0016116F"/>
    <w:rsid w:val="0016406A"/>
    <w:rsid w:val="00165D57"/>
    <w:rsid w:val="00165F56"/>
    <w:rsid w:val="001761DF"/>
    <w:rsid w:val="00176B46"/>
    <w:rsid w:val="0017785E"/>
    <w:rsid w:val="00182B0C"/>
    <w:rsid w:val="00183E8F"/>
    <w:rsid w:val="00184714"/>
    <w:rsid w:val="00185F16"/>
    <w:rsid w:val="001902C5"/>
    <w:rsid w:val="00191ACB"/>
    <w:rsid w:val="00192287"/>
    <w:rsid w:val="00192376"/>
    <w:rsid w:val="00193C11"/>
    <w:rsid w:val="001977DD"/>
    <w:rsid w:val="001A102A"/>
    <w:rsid w:val="001A64DB"/>
    <w:rsid w:val="001A6AE8"/>
    <w:rsid w:val="001B065E"/>
    <w:rsid w:val="001B0B28"/>
    <w:rsid w:val="001B2AEB"/>
    <w:rsid w:val="001B41DE"/>
    <w:rsid w:val="001B595B"/>
    <w:rsid w:val="001B6463"/>
    <w:rsid w:val="001B7489"/>
    <w:rsid w:val="001C2E1F"/>
    <w:rsid w:val="001C33F3"/>
    <w:rsid w:val="001C3616"/>
    <w:rsid w:val="001D312B"/>
    <w:rsid w:val="001D48C1"/>
    <w:rsid w:val="001E1964"/>
    <w:rsid w:val="001E726F"/>
    <w:rsid w:val="001E7704"/>
    <w:rsid w:val="001F0924"/>
    <w:rsid w:val="001F1535"/>
    <w:rsid w:val="001F1576"/>
    <w:rsid w:val="001F2721"/>
    <w:rsid w:val="00202E5A"/>
    <w:rsid w:val="00204024"/>
    <w:rsid w:val="002050E6"/>
    <w:rsid w:val="0020731F"/>
    <w:rsid w:val="002114FB"/>
    <w:rsid w:val="0021171B"/>
    <w:rsid w:val="002119EB"/>
    <w:rsid w:val="002125BE"/>
    <w:rsid w:val="0021262F"/>
    <w:rsid w:val="002127A4"/>
    <w:rsid w:val="00212976"/>
    <w:rsid w:val="00212B19"/>
    <w:rsid w:val="00213319"/>
    <w:rsid w:val="0021349E"/>
    <w:rsid w:val="00214971"/>
    <w:rsid w:val="00217205"/>
    <w:rsid w:val="0022004A"/>
    <w:rsid w:val="00220C16"/>
    <w:rsid w:val="002269F6"/>
    <w:rsid w:val="00226AE5"/>
    <w:rsid w:val="00226FB6"/>
    <w:rsid w:val="002270D9"/>
    <w:rsid w:val="00227AC0"/>
    <w:rsid w:val="0023239B"/>
    <w:rsid w:val="002348A9"/>
    <w:rsid w:val="00235AEA"/>
    <w:rsid w:val="00236C9A"/>
    <w:rsid w:val="00240678"/>
    <w:rsid w:val="00242789"/>
    <w:rsid w:val="00245464"/>
    <w:rsid w:val="00245FC6"/>
    <w:rsid w:val="00246D9D"/>
    <w:rsid w:val="002508F6"/>
    <w:rsid w:val="00251C5E"/>
    <w:rsid w:val="00252F41"/>
    <w:rsid w:val="00252F7B"/>
    <w:rsid w:val="002536F4"/>
    <w:rsid w:val="00254192"/>
    <w:rsid w:val="00256515"/>
    <w:rsid w:val="00263225"/>
    <w:rsid w:val="00265B09"/>
    <w:rsid w:val="00272113"/>
    <w:rsid w:val="00272AFB"/>
    <w:rsid w:val="00272D87"/>
    <w:rsid w:val="002734F1"/>
    <w:rsid w:val="002762B4"/>
    <w:rsid w:val="00276386"/>
    <w:rsid w:val="00282675"/>
    <w:rsid w:val="00282CD3"/>
    <w:rsid w:val="00285381"/>
    <w:rsid w:val="00285A8A"/>
    <w:rsid w:val="00292C9E"/>
    <w:rsid w:val="002932EE"/>
    <w:rsid w:val="002937AD"/>
    <w:rsid w:val="002938F9"/>
    <w:rsid w:val="00296013"/>
    <w:rsid w:val="002A16EF"/>
    <w:rsid w:val="002A2B2F"/>
    <w:rsid w:val="002A3592"/>
    <w:rsid w:val="002A3B4E"/>
    <w:rsid w:val="002A3DA9"/>
    <w:rsid w:val="002A4DFC"/>
    <w:rsid w:val="002B0AA3"/>
    <w:rsid w:val="002B173F"/>
    <w:rsid w:val="002B1C4A"/>
    <w:rsid w:val="002B30E3"/>
    <w:rsid w:val="002B5E27"/>
    <w:rsid w:val="002B6902"/>
    <w:rsid w:val="002B737E"/>
    <w:rsid w:val="002B7451"/>
    <w:rsid w:val="002C047A"/>
    <w:rsid w:val="002C13F4"/>
    <w:rsid w:val="002C2E3F"/>
    <w:rsid w:val="002C3802"/>
    <w:rsid w:val="002C381E"/>
    <w:rsid w:val="002C5967"/>
    <w:rsid w:val="002C71A0"/>
    <w:rsid w:val="002D105C"/>
    <w:rsid w:val="002D18B8"/>
    <w:rsid w:val="002D2918"/>
    <w:rsid w:val="002D4375"/>
    <w:rsid w:val="002D4FFD"/>
    <w:rsid w:val="002D7899"/>
    <w:rsid w:val="002E06FC"/>
    <w:rsid w:val="002E1E5F"/>
    <w:rsid w:val="002E2B09"/>
    <w:rsid w:val="002E579E"/>
    <w:rsid w:val="002F16A2"/>
    <w:rsid w:val="002F1F3E"/>
    <w:rsid w:val="002F4E50"/>
    <w:rsid w:val="002F5B81"/>
    <w:rsid w:val="002F7B3A"/>
    <w:rsid w:val="003019E6"/>
    <w:rsid w:val="00302FC3"/>
    <w:rsid w:val="00303079"/>
    <w:rsid w:val="00303FC5"/>
    <w:rsid w:val="003051A1"/>
    <w:rsid w:val="00305469"/>
    <w:rsid w:val="00306832"/>
    <w:rsid w:val="003117D0"/>
    <w:rsid w:val="00312E05"/>
    <w:rsid w:val="003130CB"/>
    <w:rsid w:val="0031330A"/>
    <w:rsid w:val="00314E21"/>
    <w:rsid w:val="003153E5"/>
    <w:rsid w:val="00315ACC"/>
    <w:rsid w:val="00317BA0"/>
    <w:rsid w:val="00317DF5"/>
    <w:rsid w:val="00322A92"/>
    <w:rsid w:val="00325FAF"/>
    <w:rsid w:val="003304EE"/>
    <w:rsid w:val="00331BD4"/>
    <w:rsid w:val="00332F1D"/>
    <w:rsid w:val="00334885"/>
    <w:rsid w:val="003367C4"/>
    <w:rsid w:val="00336BAC"/>
    <w:rsid w:val="00337894"/>
    <w:rsid w:val="003379A8"/>
    <w:rsid w:val="00340C0B"/>
    <w:rsid w:val="00340CE7"/>
    <w:rsid w:val="003428E2"/>
    <w:rsid w:val="00345643"/>
    <w:rsid w:val="0034658F"/>
    <w:rsid w:val="003471B0"/>
    <w:rsid w:val="00350268"/>
    <w:rsid w:val="00350382"/>
    <w:rsid w:val="003524AC"/>
    <w:rsid w:val="00352976"/>
    <w:rsid w:val="00353D13"/>
    <w:rsid w:val="0035597B"/>
    <w:rsid w:val="00355B46"/>
    <w:rsid w:val="00355D77"/>
    <w:rsid w:val="00356231"/>
    <w:rsid w:val="00356C87"/>
    <w:rsid w:val="0036000B"/>
    <w:rsid w:val="0036291A"/>
    <w:rsid w:val="003642A6"/>
    <w:rsid w:val="00366137"/>
    <w:rsid w:val="003721BF"/>
    <w:rsid w:val="0037250D"/>
    <w:rsid w:val="00372BE2"/>
    <w:rsid w:val="003732B5"/>
    <w:rsid w:val="00374610"/>
    <w:rsid w:val="0037616D"/>
    <w:rsid w:val="00376421"/>
    <w:rsid w:val="003772F2"/>
    <w:rsid w:val="003829BD"/>
    <w:rsid w:val="0038453D"/>
    <w:rsid w:val="00385B20"/>
    <w:rsid w:val="003865B8"/>
    <w:rsid w:val="003941EA"/>
    <w:rsid w:val="003944C4"/>
    <w:rsid w:val="003952FF"/>
    <w:rsid w:val="003A33DA"/>
    <w:rsid w:val="003A34B8"/>
    <w:rsid w:val="003A5FFB"/>
    <w:rsid w:val="003B01AC"/>
    <w:rsid w:val="003B122D"/>
    <w:rsid w:val="003B1727"/>
    <w:rsid w:val="003B1D26"/>
    <w:rsid w:val="003B2C75"/>
    <w:rsid w:val="003B3050"/>
    <w:rsid w:val="003B4537"/>
    <w:rsid w:val="003B535D"/>
    <w:rsid w:val="003B7FCD"/>
    <w:rsid w:val="003C5BC3"/>
    <w:rsid w:val="003C6949"/>
    <w:rsid w:val="003C6D42"/>
    <w:rsid w:val="003D0549"/>
    <w:rsid w:val="003D3454"/>
    <w:rsid w:val="003D4F31"/>
    <w:rsid w:val="003D6BFB"/>
    <w:rsid w:val="003D6C75"/>
    <w:rsid w:val="003E22BC"/>
    <w:rsid w:val="003E48A9"/>
    <w:rsid w:val="003E4AD7"/>
    <w:rsid w:val="003E5029"/>
    <w:rsid w:val="003E529C"/>
    <w:rsid w:val="003E52C4"/>
    <w:rsid w:val="003E67BA"/>
    <w:rsid w:val="003E721D"/>
    <w:rsid w:val="003E777F"/>
    <w:rsid w:val="003E7B20"/>
    <w:rsid w:val="003E7C0F"/>
    <w:rsid w:val="003F1379"/>
    <w:rsid w:val="003F30AA"/>
    <w:rsid w:val="003F5062"/>
    <w:rsid w:val="003F6CC4"/>
    <w:rsid w:val="003F6E0E"/>
    <w:rsid w:val="003F6FD1"/>
    <w:rsid w:val="0040323D"/>
    <w:rsid w:val="00403287"/>
    <w:rsid w:val="004113F1"/>
    <w:rsid w:val="00412B54"/>
    <w:rsid w:val="00415D24"/>
    <w:rsid w:val="00416106"/>
    <w:rsid w:val="00416CB5"/>
    <w:rsid w:val="00417092"/>
    <w:rsid w:val="00420FDE"/>
    <w:rsid w:val="0042654A"/>
    <w:rsid w:val="0043218D"/>
    <w:rsid w:val="00432F18"/>
    <w:rsid w:val="0043343B"/>
    <w:rsid w:val="004337E4"/>
    <w:rsid w:val="0044020E"/>
    <w:rsid w:val="00440EB6"/>
    <w:rsid w:val="00441D72"/>
    <w:rsid w:val="004472A0"/>
    <w:rsid w:val="00450725"/>
    <w:rsid w:val="00452C5D"/>
    <w:rsid w:val="0045375F"/>
    <w:rsid w:val="0045416E"/>
    <w:rsid w:val="00454E75"/>
    <w:rsid w:val="004566FB"/>
    <w:rsid w:val="004601E2"/>
    <w:rsid w:val="00461963"/>
    <w:rsid w:val="004622EA"/>
    <w:rsid w:val="004678D3"/>
    <w:rsid w:val="004702F0"/>
    <w:rsid w:val="004713A4"/>
    <w:rsid w:val="004732B0"/>
    <w:rsid w:val="0047399F"/>
    <w:rsid w:val="00475F37"/>
    <w:rsid w:val="00476EB9"/>
    <w:rsid w:val="004869A8"/>
    <w:rsid w:val="0049124E"/>
    <w:rsid w:val="0049344A"/>
    <w:rsid w:val="00494492"/>
    <w:rsid w:val="0049476D"/>
    <w:rsid w:val="004961DB"/>
    <w:rsid w:val="00496B9F"/>
    <w:rsid w:val="00497EF4"/>
    <w:rsid w:val="004A0414"/>
    <w:rsid w:val="004A054E"/>
    <w:rsid w:val="004A0865"/>
    <w:rsid w:val="004A08F3"/>
    <w:rsid w:val="004A2C5D"/>
    <w:rsid w:val="004A4CD8"/>
    <w:rsid w:val="004A6D2E"/>
    <w:rsid w:val="004B11F3"/>
    <w:rsid w:val="004B20F8"/>
    <w:rsid w:val="004B4382"/>
    <w:rsid w:val="004B6751"/>
    <w:rsid w:val="004B70B3"/>
    <w:rsid w:val="004C16BE"/>
    <w:rsid w:val="004C1BDE"/>
    <w:rsid w:val="004C1C45"/>
    <w:rsid w:val="004C20C9"/>
    <w:rsid w:val="004C223F"/>
    <w:rsid w:val="004C3E45"/>
    <w:rsid w:val="004C41A9"/>
    <w:rsid w:val="004C6429"/>
    <w:rsid w:val="004C6CE7"/>
    <w:rsid w:val="004D1BC0"/>
    <w:rsid w:val="004D6CD5"/>
    <w:rsid w:val="004E0703"/>
    <w:rsid w:val="004E3D43"/>
    <w:rsid w:val="004E4F83"/>
    <w:rsid w:val="004E5F85"/>
    <w:rsid w:val="004E69C6"/>
    <w:rsid w:val="004F01D7"/>
    <w:rsid w:val="004F0FC0"/>
    <w:rsid w:val="004F15B9"/>
    <w:rsid w:val="004F2377"/>
    <w:rsid w:val="004F2E11"/>
    <w:rsid w:val="004F40D5"/>
    <w:rsid w:val="004F4953"/>
    <w:rsid w:val="004F7209"/>
    <w:rsid w:val="004F7AD2"/>
    <w:rsid w:val="00501324"/>
    <w:rsid w:val="005078DA"/>
    <w:rsid w:val="00510ADC"/>
    <w:rsid w:val="00515003"/>
    <w:rsid w:val="005156FA"/>
    <w:rsid w:val="00515A07"/>
    <w:rsid w:val="0051690A"/>
    <w:rsid w:val="0051717A"/>
    <w:rsid w:val="00520378"/>
    <w:rsid w:val="00520681"/>
    <w:rsid w:val="00521ABD"/>
    <w:rsid w:val="00521B9F"/>
    <w:rsid w:val="0052222F"/>
    <w:rsid w:val="00522293"/>
    <w:rsid w:val="00523943"/>
    <w:rsid w:val="005264AA"/>
    <w:rsid w:val="00530B55"/>
    <w:rsid w:val="005342C5"/>
    <w:rsid w:val="00535680"/>
    <w:rsid w:val="0053584D"/>
    <w:rsid w:val="00536FE0"/>
    <w:rsid w:val="00540C26"/>
    <w:rsid w:val="0054151A"/>
    <w:rsid w:val="005419B8"/>
    <w:rsid w:val="005466CD"/>
    <w:rsid w:val="00546887"/>
    <w:rsid w:val="00546D9D"/>
    <w:rsid w:val="00547423"/>
    <w:rsid w:val="0055007C"/>
    <w:rsid w:val="00552B45"/>
    <w:rsid w:val="005530BA"/>
    <w:rsid w:val="00557B1F"/>
    <w:rsid w:val="0056108B"/>
    <w:rsid w:val="005620A4"/>
    <w:rsid w:val="005634A6"/>
    <w:rsid w:val="00563558"/>
    <w:rsid w:val="0056573E"/>
    <w:rsid w:val="00566D70"/>
    <w:rsid w:val="00567145"/>
    <w:rsid w:val="00570D9F"/>
    <w:rsid w:val="005714F0"/>
    <w:rsid w:val="00571A9B"/>
    <w:rsid w:val="00573756"/>
    <w:rsid w:val="00573F3C"/>
    <w:rsid w:val="00576D90"/>
    <w:rsid w:val="005836CF"/>
    <w:rsid w:val="00585D9F"/>
    <w:rsid w:val="00587BDE"/>
    <w:rsid w:val="00594B93"/>
    <w:rsid w:val="00596A29"/>
    <w:rsid w:val="00596C4C"/>
    <w:rsid w:val="005972E7"/>
    <w:rsid w:val="00597BB3"/>
    <w:rsid w:val="00597D1F"/>
    <w:rsid w:val="005A0AD8"/>
    <w:rsid w:val="005A0F44"/>
    <w:rsid w:val="005A54A1"/>
    <w:rsid w:val="005A59EA"/>
    <w:rsid w:val="005B08FB"/>
    <w:rsid w:val="005B2733"/>
    <w:rsid w:val="005B3BA8"/>
    <w:rsid w:val="005B5F1D"/>
    <w:rsid w:val="005B5FDA"/>
    <w:rsid w:val="005B62E8"/>
    <w:rsid w:val="005B63B3"/>
    <w:rsid w:val="005B6671"/>
    <w:rsid w:val="005B6EA0"/>
    <w:rsid w:val="005B7020"/>
    <w:rsid w:val="005B79E5"/>
    <w:rsid w:val="005C019B"/>
    <w:rsid w:val="005C227B"/>
    <w:rsid w:val="005C2911"/>
    <w:rsid w:val="005C534F"/>
    <w:rsid w:val="005C70C1"/>
    <w:rsid w:val="005C7EBE"/>
    <w:rsid w:val="005D10BB"/>
    <w:rsid w:val="005D4B47"/>
    <w:rsid w:val="005D53F6"/>
    <w:rsid w:val="005E05C0"/>
    <w:rsid w:val="005E0965"/>
    <w:rsid w:val="005E0DC7"/>
    <w:rsid w:val="005E27D9"/>
    <w:rsid w:val="005E37D8"/>
    <w:rsid w:val="005E4F7E"/>
    <w:rsid w:val="005E626A"/>
    <w:rsid w:val="005E6FB4"/>
    <w:rsid w:val="005F1774"/>
    <w:rsid w:val="005F3042"/>
    <w:rsid w:val="005F315B"/>
    <w:rsid w:val="005F3B99"/>
    <w:rsid w:val="005F3E60"/>
    <w:rsid w:val="005F4C62"/>
    <w:rsid w:val="005F541A"/>
    <w:rsid w:val="005F5DE2"/>
    <w:rsid w:val="005F6E3D"/>
    <w:rsid w:val="006008D6"/>
    <w:rsid w:val="00602844"/>
    <w:rsid w:val="00602D25"/>
    <w:rsid w:val="00603D3B"/>
    <w:rsid w:val="00615108"/>
    <w:rsid w:val="00617288"/>
    <w:rsid w:val="0062072A"/>
    <w:rsid w:val="00622B56"/>
    <w:rsid w:val="00632DDF"/>
    <w:rsid w:val="00634CE0"/>
    <w:rsid w:val="006360FC"/>
    <w:rsid w:val="0064319C"/>
    <w:rsid w:val="00644D54"/>
    <w:rsid w:val="00647C0E"/>
    <w:rsid w:val="00650410"/>
    <w:rsid w:val="0065044B"/>
    <w:rsid w:val="00650C37"/>
    <w:rsid w:val="006516A4"/>
    <w:rsid w:val="00652616"/>
    <w:rsid w:val="00654B64"/>
    <w:rsid w:val="0066209A"/>
    <w:rsid w:val="00663211"/>
    <w:rsid w:val="0066342A"/>
    <w:rsid w:val="0066689B"/>
    <w:rsid w:val="00666A34"/>
    <w:rsid w:val="00672947"/>
    <w:rsid w:val="006803D5"/>
    <w:rsid w:val="00683155"/>
    <w:rsid w:val="006844AB"/>
    <w:rsid w:val="0068680A"/>
    <w:rsid w:val="00691632"/>
    <w:rsid w:val="00694A0A"/>
    <w:rsid w:val="00694F14"/>
    <w:rsid w:val="00694FBD"/>
    <w:rsid w:val="00694FF2"/>
    <w:rsid w:val="0069532C"/>
    <w:rsid w:val="0069659D"/>
    <w:rsid w:val="00697174"/>
    <w:rsid w:val="006A1C90"/>
    <w:rsid w:val="006A4AAF"/>
    <w:rsid w:val="006A56F0"/>
    <w:rsid w:val="006A73F2"/>
    <w:rsid w:val="006A7498"/>
    <w:rsid w:val="006A7958"/>
    <w:rsid w:val="006B10F4"/>
    <w:rsid w:val="006B1925"/>
    <w:rsid w:val="006B1FB2"/>
    <w:rsid w:val="006B2A46"/>
    <w:rsid w:val="006B303C"/>
    <w:rsid w:val="006B35C1"/>
    <w:rsid w:val="006B64E1"/>
    <w:rsid w:val="006B776C"/>
    <w:rsid w:val="006B7C28"/>
    <w:rsid w:val="006C1BFC"/>
    <w:rsid w:val="006C1D45"/>
    <w:rsid w:val="006C2814"/>
    <w:rsid w:val="006C51E6"/>
    <w:rsid w:val="006C5943"/>
    <w:rsid w:val="006C5AD1"/>
    <w:rsid w:val="006C63DB"/>
    <w:rsid w:val="006C6A98"/>
    <w:rsid w:val="006D0699"/>
    <w:rsid w:val="006D0B65"/>
    <w:rsid w:val="006D1731"/>
    <w:rsid w:val="006D4149"/>
    <w:rsid w:val="006D4524"/>
    <w:rsid w:val="006D483C"/>
    <w:rsid w:val="006D5409"/>
    <w:rsid w:val="006D6B12"/>
    <w:rsid w:val="006D72D9"/>
    <w:rsid w:val="006D7F34"/>
    <w:rsid w:val="006E152D"/>
    <w:rsid w:val="006E3CF7"/>
    <w:rsid w:val="006E4714"/>
    <w:rsid w:val="006F1F0A"/>
    <w:rsid w:val="006F2F78"/>
    <w:rsid w:val="006F49EA"/>
    <w:rsid w:val="006F6416"/>
    <w:rsid w:val="006F645C"/>
    <w:rsid w:val="006F7EED"/>
    <w:rsid w:val="00702B6E"/>
    <w:rsid w:val="00703F0C"/>
    <w:rsid w:val="0070428C"/>
    <w:rsid w:val="0070658F"/>
    <w:rsid w:val="00707524"/>
    <w:rsid w:val="00715A2B"/>
    <w:rsid w:val="00716763"/>
    <w:rsid w:val="007173A7"/>
    <w:rsid w:val="007211F6"/>
    <w:rsid w:val="00721DAB"/>
    <w:rsid w:val="00723FFD"/>
    <w:rsid w:val="007248A2"/>
    <w:rsid w:val="00725732"/>
    <w:rsid w:val="00725B1C"/>
    <w:rsid w:val="00726572"/>
    <w:rsid w:val="00726AEF"/>
    <w:rsid w:val="00726E71"/>
    <w:rsid w:val="00730AF7"/>
    <w:rsid w:val="00731F0E"/>
    <w:rsid w:val="00732137"/>
    <w:rsid w:val="00732EC3"/>
    <w:rsid w:val="00736695"/>
    <w:rsid w:val="00736E78"/>
    <w:rsid w:val="0073752C"/>
    <w:rsid w:val="00737B15"/>
    <w:rsid w:val="00740DF4"/>
    <w:rsid w:val="00740FE8"/>
    <w:rsid w:val="00742535"/>
    <w:rsid w:val="007439B8"/>
    <w:rsid w:val="00745EE3"/>
    <w:rsid w:val="00745F08"/>
    <w:rsid w:val="00746F7E"/>
    <w:rsid w:val="00750902"/>
    <w:rsid w:val="00752601"/>
    <w:rsid w:val="00753638"/>
    <w:rsid w:val="00756004"/>
    <w:rsid w:val="007600C9"/>
    <w:rsid w:val="00763673"/>
    <w:rsid w:val="007660A4"/>
    <w:rsid w:val="0076761B"/>
    <w:rsid w:val="007704E9"/>
    <w:rsid w:val="00777D0E"/>
    <w:rsid w:val="00783651"/>
    <w:rsid w:val="00785CD3"/>
    <w:rsid w:val="00786925"/>
    <w:rsid w:val="007917EC"/>
    <w:rsid w:val="00792189"/>
    <w:rsid w:val="00793840"/>
    <w:rsid w:val="007A1728"/>
    <w:rsid w:val="007A210C"/>
    <w:rsid w:val="007A7648"/>
    <w:rsid w:val="007B123C"/>
    <w:rsid w:val="007B3843"/>
    <w:rsid w:val="007B43B8"/>
    <w:rsid w:val="007B4855"/>
    <w:rsid w:val="007C0B60"/>
    <w:rsid w:val="007C0BB5"/>
    <w:rsid w:val="007C11EC"/>
    <w:rsid w:val="007C135A"/>
    <w:rsid w:val="007C4139"/>
    <w:rsid w:val="007C445E"/>
    <w:rsid w:val="007C448F"/>
    <w:rsid w:val="007C5C2B"/>
    <w:rsid w:val="007C7AA5"/>
    <w:rsid w:val="007D00BA"/>
    <w:rsid w:val="007D3772"/>
    <w:rsid w:val="007D3D9E"/>
    <w:rsid w:val="007D4D34"/>
    <w:rsid w:val="007D5858"/>
    <w:rsid w:val="007E1D86"/>
    <w:rsid w:val="007E237F"/>
    <w:rsid w:val="007E2D6B"/>
    <w:rsid w:val="007E2F87"/>
    <w:rsid w:val="007E45D7"/>
    <w:rsid w:val="007E59FD"/>
    <w:rsid w:val="007E5CE1"/>
    <w:rsid w:val="007E7C27"/>
    <w:rsid w:val="007F0699"/>
    <w:rsid w:val="007F09BF"/>
    <w:rsid w:val="007F49FD"/>
    <w:rsid w:val="00800B42"/>
    <w:rsid w:val="00801AC3"/>
    <w:rsid w:val="008045E2"/>
    <w:rsid w:val="00811533"/>
    <w:rsid w:val="0081233E"/>
    <w:rsid w:val="0081255A"/>
    <w:rsid w:val="00817E67"/>
    <w:rsid w:val="008214DC"/>
    <w:rsid w:val="0082681A"/>
    <w:rsid w:val="00826F26"/>
    <w:rsid w:val="0082705A"/>
    <w:rsid w:val="00827B5D"/>
    <w:rsid w:val="00836396"/>
    <w:rsid w:val="00837371"/>
    <w:rsid w:val="00842E0D"/>
    <w:rsid w:val="008433E9"/>
    <w:rsid w:val="008443BB"/>
    <w:rsid w:val="00845BB6"/>
    <w:rsid w:val="00853EBF"/>
    <w:rsid w:val="00857579"/>
    <w:rsid w:val="00857946"/>
    <w:rsid w:val="00862B57"/>
    <w:rsid w:val="0086440C"/>
    <w:rsid w:val="00864994"/>
    <w:rsid w:val="008655CF"/>
    <w:rsid w:val="00866A6A"/>
    <w:rsid w:val="008675E7"/>
    <w:rsid w:val="00867BAE"/>
    <w:rsid w:val="00871ED8"/>
    <w:rsid w:val="00872147"/>
    <w:rsid w:val="00872BA1"/>
    <w:rsid w:val="008735CE"/>
    <w:rsid w:val="00873A0A"/>
    <w:rsid w:val="00875942"/>
    <w:rsid w:val="00876D31"/>
    <w:rsid w:val="00877426"/>
    <w:rsid w:val="00877638"/>
    <w:rsid w:val="008837C6"/>
    <w:rsid w:val="00883C6A"/>
    <w:rsid w:val="00885329"/>
    <w:rsid w:val="00885A05"/>
    <w:rsid w:val="00886F95"/>
    <w:rsid w:val="00890E41"/>
    <w:rsid w:val="008926A4"/>
    <w:rsid w:val="008938D9"/>
    <w:rsid w:val="00897025"/>
    <w:rsid w:val="008973DF"/>
    <w:rsid w:val="008A115E"/>
    <w:rsid w:val="008A136F"/>
    <w:rsid w:val="008A21F3"/>
    <w:rsid w:val="008A523C"/>
    <w:rsid w:val="008A52DB"/>
    <w:rsid w:val="008A57B3"/>
    <w:rsid w:val="008B174E"/>
    <w:rsid w:val="008B570A"/>
    <w:rsid w:val="008B6027"/>
    <w:rsid w:val="008B66A4"/>
    <w:rsid w:val="008B75C4"/>
    <w:rsid w:val="008C0C78"/>
    <w:rsid w:val="008C42C6"/>
    <w:rsid w:val="008C6773"/>
    <w:rsid w:val="008C7B71"/>
    <w:rsid w:val="008D05BB"/>
    <w:rsid w:val="008D2A89"/>
    <w:rsid w:val="008D35DB"/>
    <w:rsid w:val="008D3A94"/>
    <w:rsid w:val="008D4252"/>
    <w:rsid w:val="008D4904"/>
    <w:rsid w:val="008D501F"/>
    <w:rsid w:val="008D58BF"/>
    <w:rsid w:val="008D784A"/>
    <w:rsid w:val="008E0A8D"/>
    <w:rsid w:val="008E27DA"/>
    <w:rsid w:val="008E2E5B"/>
    <w:rsid w:val="008E3C5F"/>
    <w:rsid w:val="008E607A"/>
    <w:rsid w:val="008E6DA0"/>
    <w:rsid w:val="008E6ED9"/>
    <w:rsid w:val="008E71BF"/>
    <w:rsid w:val="008E7FC1"/>
    <w:rsid w:val="008F07DB"/>
    <w:rsid w:val="008F0929"/>
    <w:rsid w:val="008F1021"/>
    <w:rsid w:val="008F19B5"/>
    <w:rsid w:val="008F2E90"/>
    <w:rsid w:val="008F39FC"/>
    <w:rsid w:val="008F4763"/>
    <w:rsid w:val="008F58F3"/>
    <w:rsid w:val="00900A78"/>
    <w:rsid w:val="0090114A"/>
    <w:rsid w:val="0090232B"/>
    <w:rsid w:val="0091264B"/>
    <w:rsid w:val="00913870"/>
    <w:rsid w:val="00913957"/>
    <w:rsid w:val="0092389E"/>
    <w:rsid w:val="00925042"/>
    <w:rsid w:val="0092585E"/>
    <w:rsid w:val="009264FA"/>
    <w:rsid w:val="00927502"/>
    <w:rsid w:val="009277B8"/>
    <w:rsid w:val="00930205"/>
    <w:rsid w:val="00930827"/>
    <w:rsid w:val="00932471"/>
    <w:rsid w:val="0093430C"/>
    <w:rsid w:val="00935720"/>
    <w:rsid w:val="00935DBE"/>
    <w:rsid w:val="009361B7"/>
    <w:rsid w:val="009369F5"/>
    <w:rsid w:val="00936F0B"/>
    <w:rsid w:val="009375C1"/>
    <w:rsid w:val="00940214"/>
    <w:rsid w:val="00941F4E"/>
    <w:rsid w:val="009445F9"/>
    <w:rsid w:val="009462B1"/>
    <w:rsid w:val="00946643"/>
    <w:rsid w:val="00946E1B"/>
    <w:rsid w:val="0094740B"/>
    <w:rsid w:val="00950366"/>
    <w:rsid w:val="00952AAE"/>
    <w:rsid w:val="009545A0"/>
    <w:rsid w:val="009618F6"/>
    <w:rsid w:val="0096277F"/>
    <w:rsid w:val="009628F1"/>
    <w:rsid w:val="0096293F"/>
    <w:rsid w:val="009646BC"/>
    <w:rsid w:val="00966F40"/>
    <w:rsid w:val="00967F9C"/>
    <w:rsid w:val="0097005B"/>
    <w:rsid w:val="00970512"/>
    <w:rsid w:val="00971121"/>
    <w:rsid w:val="00971B1E"/>
    <w:rsid w:val="00973A0B"/>
    <w:rsid w:val="009744EA"/>
    <w:rsid w:val="00974E48"/>
    <w:rsid w:val="0097524D"/>
    <w:rsid w:val="00976442"/>
    <w:rsid w:val="009801CC"/>
    <w:rsid w:val="00980820"/>
    <w:rsid w:val="00981DF1"/>
    <w:rsid w:val="009830CB"/>
    <w:rsid w:val="0098559B"/>
    <w:rsid w:val="009858EF"/>
    <w:rsid w:val="00985F07"/>
    <w:rsid w:val="009861D5"/>
    <w:rsid w:val="00986383"/>
    <w:rsid w:val="00987563"/>
    <w:rsid w:val="009875BC"/>
    <w:rsid w:val="00990DD6"/>
    <w:rsid w:val="00996CB2"/>
    <w:rsid w:val="00997615"/>
    <w:rsid w:val="00997839"/>
    <w:rsid w:val="00997C85"/>
    <w:rsid w:val="009A2470"/>
    <w:rsid w:val="009A2894"/>
    <w:rsid w:val="009A2EB6"/>
    <w:rsid w:val="009A6569"/>
    <w:rsid w:val="009A6670"/>
    <w:rsid w:val="009A6E11"/>
    <w:rsid w:val="009A7785"/>
    <w:rsid w:val="009B1AF5"/>
    <w:rsid w:val="009B1D99"/>
    <w:rsid w:val="009B267A"/>
    <w:rsid w:val="009B27C4"/>
    <w:rsid w:val="009B44B6"/>
    <w:rsid w:val="009B4DDC"/>
    <w:rsid w:val="009B5B44"/>
    <w:rsid w:val="009C0A8D"/>
    <w:rsid w:val="009C1171"/>
    <w:rsid w:val="009C5468"/>
    <w:rsid w:val="009C6FD7"/>
    <w:rsid w:val="009C7066"/>
    <w:rsid w:val="009D1CF2"/>
    <w:rsid w:val="009D2649"/>
    <w:rsid w:val="009D3651"/>
    <w:rsid w:val="009D40A8"/>
    <w:rsid w:val="009D481C"/>
    <w:rsid w:val="009D55B5"/>
    <w:rsid w:val="009D64B6"/>
    <w:rsid w:val="009D6638"/>
    <w:rsid w:val="009D75A5"/>
    <w:rsid w:val="009D75BF"/>
    <w:rsid w:val="009D7FC8"/>
    <w:rsid w:val="009E1921"/>
    <w:rsid w:val="009E65B2"/>
    <w:rsid w:val="009E6CE2"/>
    <w:rsid w:val="009E7183"/>
    <w:rsid w:val="009F0CC8"/>
    <w:rsid w:val="009F1E93"/>
    <w:rsid w:val="009F2A6C"/>
    <w:rsid w:val="009F2D12"/>
    <w:rsid w:val="009F4E17"/>
    <w:rsid w:val="009F4EBD"/>
    <w:rsid w:val="009F5449"/>
    <w:rsid w:val="009F5EA1"/>
    <w:rsid w:val="009F6F96"/>
    <w:rsid w:val="00A02EF1"/>
    <w:rsid w:val="00A031C0"/>
    <w:rsid w:val="00A03B79"/>
    <w:rsid w:val="00A03C2E"/>
    <w:rsid w:val="00A04D05"/>
    <w:rsid w:val="00A04D8A"/>
    <w:rsid w:val="00A0605F"/>
    <w:rsid w:val="00A0612A"/>
    <w:rsid w:val="00A13A2D"/>
    <w:rsid w:val="00A13F60"/>
    <w:rsid w:val="00A14484"/>
    <w:rsid w:val="00A176F5"/>
    <w:rsid w:val="00A20245"/>
    <w:rsid w:val="00A20E05"/>
    <w:rsid w:val="00A22B57"/>
    <w:rsid w:val="00A2443A"/>
    <w:rsid w:val="00A27998"/>
    <w:rsid w:val="00A3005C"/>
    <w:rsid w:val="00A30405"/>
    <w:rsid w:val="00A3068E"/>
    <w:rsid w:val="00A307C3"/>
    <w:rsid w:val="00A3111A"/>
    <w:rsid w:val="00A34126"/>
    <w:rsid w:val="00A35136"/>
    <w:rsid w:val="00A35C5B"/>
    <w:rsid w:val="00A35FFD"/>
    <w:rsid w:val="00A373C6"/>
    <w:rsid w:val="00A43DF2"/>
    <w:rsid w:val="00A43FA2"/>
    <w:rsid w:val="00A442DC"/>
    <w:rsid w:val="00A4482E"/>
    <w:rsid w:val="00A448B8"/>
    <w:rsid w:val="00A44CB5"/>
    <w:rsid w:val="00A464C2"/>
    <w:rsid w:val="00A46C7C"/>
    <w:rsid w:val="00A53324"/>
    <w:rsid w:val="00A53502"/>
    <w:rsid w:val="00A54465"/>
    <w:rsid w:val="00A545C7"/>
    <w:rsid w:val="00A54984"/>
    <w:rsid w:val="00A55453"/>
    <w:rsid w:val="00A557B5"/>
    <w:rsid w:val="00A56721"/>
    <w:rsid w:val="00A5797D"/>
    <w:rsid w:val="00A57FFD"/>
    <w:rsid w:val="00A60A8C"/>
    <w:rsid w:val="00A6379A"/>
    <w:rsid w:val="00A65F60"/>
    <w:rsid w:val="00A71F15"/>
    <w:rsid w:val="00A73946"/>
    <w:rsid w:val="00A7534C"/>
    <w:rsid w:val="00A763CE"/>
    <w:rsid w:val="00A80E85"/>
    <w:rsid w:val="00A839AF"/>
    <w:rsid w:val="00A853C1"/>
    <w:rsid w:val="00A85E37"/>
    <w:rsid w:val="00A91A48"/>
    <w:rsid w:val="00A92A4E"/>
    <w:rsid w:val="00A932D2"/>
    <w:rsid w:val="00A9606F"/>
    <w:rsid w:val="00A9622B"/>
    <w:rsid w:val="00AA051B"/>
    <w:rsid w:val="00AA071D"/>
    <w:rsid w:val="00AA1A3F"/>
    <w:rsid w:val="00AA41C5"/>
    <w:rsid w:val="00AA44F9"/>
    <w:rsid w:val="00AB0801"/>
    <w:rsid w:val="00AB103A"/>
    <w:rsid w:val="00AB1CEB"/>
    <w:rsid w:val="00AB1EBF"/>
    <w:rsid w:val="00AB2F22"/>
    <w:rsid w:val="00AB3879"/>
    <w:rsid w:val="00AB731A"/>
    <w:rsid w:val="00AC576F"/>
    <w:rsid w:val="00AD0220"/>
    <w:rsid w:val="00AD0892"/>
    <w:rsid w:val="00AD1D5B"/>
    <w:rsid w:val="00AD5FBB"/>
    <w:rsid w:val="00AD6F44"/>
    <w:rsid w:val="00AD7549"/>
    <w:rsid w:val="00AD773A"/>
    <w:rsid w:val="00AE002F"/>
    <w:rsid w:val="00AE14DF"/>
    <w:rsid w:val="00AE1E0F"/>
    <w:rsid w:val="00AE1EC3"/>
    <w:rsid w:val="00AE1EE2"/>
    <w:rsid w:val="00AE1FB3"/>
    <w:rsid w:val="00AE7A03"/>
    <w:rsid w:val="00AF07FA"/>
    <w:rsid w:val="00AF23F4"/>
    <w:rsid w:val="00AF6268"/>
    <w:rsid w:val="00AF6C99"/>
    <w:rsid w:val="00AF7347"/>
    <w:rsid w:val="00AF7F5D"/>
    <w:rsid w:val="00B002CE"/>
    <w:rsid w:val="00B00930"/>
    <w:rsid w:val="00B05A74"/>
    <w:rsid w:val="00B06825"/>
    <w:rsid w:val="00B0722E"/>
    <w:rsid w:val="00B10D38"/>
    <w:rsid w:val="00B117B6"/>
    <w:rsid w:val="00B12E45"/>
    <w:rsid w:val="00B200F1"/>
    <w:rsid w:val="00B20691"/>
    <w:rsid w:val="00B21998"/>
    <w:rsid w:val="00B2278F"/>
    <w:rsid w:val="00B229FB"/>
    <w:rsid w:val="00B23833"/>
    <w:rsid w:val="00B258C3"/>
    <w:rsid w:val="00B26142"/>
    <w:rsid w:val="00B273EC"/>
    <w:rsid w:val="00B3073F"/>
    <w:rsid w:val="00B30CB4"/>
    <w:rsid w:val="00B33B6F"/>
    <w:rsid w:val="00B34576"/>
    <w:rsid w:val="00B357E4"/>
    <w:rsid w:val="00B410F6"/>
    <w:rsid w:val="00B42CC7"/>
    <w:rsid w:val="00B452F2"/>
    <w:rsid w:val="00B46F49"/>
    <w:rsid w:val="00B478C0"/>
    <w:rsid w:val="00B47FF4"/>
    <w:rsid w:val="00B512FB"/>
    <w:rsid w:val="00B5204B"/>
    <w:rsid w:val="00B5258F"/>
    <w:rsid w:val="00B536C3"/>
    <w:rsid w:val="00B5485E"/>
    <w:rsid w:val="00B5586F"/>
    <w:rsid w:val="00B5784E"/>
    <w:rsid w:val="00B60DA9"/>
    <w:rsid w:val="00B622F6"/>
    <w:rsid w:val="00B626CF"/>
    <w:rsid w:val="00B6585E"/>
    <w:rsid w:val="00B670E6"/>
    <w:rsid w:val="00B703F5"/>
    <w:rsid w:val="00B70957"/>
    <w:rsid w:val="00B70EAD"/>
    <w:rsid w:val="00B7378F"/>
    <w:rsid w:val="00B7489F"/>
    <w:rsid w:val="00B778B6"/>
    <w:rsid w:val="00B818D4"/>
    <w:rsid w:val="00B83FFA"/>
    <w:rsid w:val="00B86009"/>
    <w:rsid w:val="00B86468"/>
    <w:rsid w:val="00B87915"/>
    <w:rsid w:val="00B87C2C"/>
    <w:rsid w:val="00B87F42"/>
    <w:rsid w:val="00B90A10"/>
    <w:rsid w:val="00B916C3"/>
    <w:rsid w:val="00B925EC"/>
    <w:rsid w:val="00B926AF"/>
    <w:rsid w:val="00B9318B"/>
    <w:rsid w:val="00B93315"/>
    <w:rsid w:val="00B93E2A"/>
    <w:rsid w:val="00B948F3"/>
    <w:rsid w:val="00B9533A"/>
    <w:rsid w:val="00B95763"/>
    <w:rsid w:val="00B961B6"/>
    <w:rsid w:val="00BA098B"/>
    <w:rsid w:val="00BA337D"/>
    <w:rsid w:val="00BA4E24"/>
    <w:rsid w:val="00BA69CB"/>
    <w:rsid w:val="00BB0981"/>
    <w:rsid w:val="00BB1127"/>
    <w:rsid w:val="00BB1A7B"/>
    <w:rsid w:val="00BB1DA6"/>
    <w:rsid w:val="00BB2D87"/>
    <w:rsid w:val="00BB47BD"/>
    <w:rsid w:val="00BB602B"/>
    <w:rsid w:val="00BB76F8"/>
    <w:rsid w:val="00BB7B0E"/>
    <w:rsid w:val="00BC0CC4"/>
    <w:rsid w:val="00BC36AD"/>
    <w:rsid w:val="00BC37D5"/>
    <w:rsid w:val="00BC40A9"/>
    <w:rsid w:val="00BC6CFF"/>
    <w:rsid w:val="00BC6E59"/>
    <w:rsid w:val="00BD1D82"/>
    <w:rsid w:val="00BD3842"/>
    <w:rsid w:val="00BD4C27"/>
    <w:rsid w:val="00BD52A9"/>
    <w:rsid w:val="00BD590D"/>
    <w:rsid w:val="00BD7643"/>
    <w:rsid w:val="00BE0D7C"/>
    <w:rsid w:val="00BE2057"/>
    <w:rsid w:val="00BE7199"/>
    <w:rsid w:val="00BF017E"/>
    <w:rsid w:val="00BF1C9E"/>
    <w:rsid w:val="00BF2F56"/>
    <w:rsid w:val="00BF4560"/>
    <w:rsid w:val="00BF57C4"/>
    <w:rsid w:val="00BF7640"/>
    <w:rsid w:val="00C00350"/>
    <w:rsid w:val="00C00F5A"/>
    <w:rsid w:val="00C02949"/>
    <w:rsid w:val="00C04059"/>
    <w:rsid w:val="00C077D3"/>
    <w:rsid w:val="00C07DDE"/>
    <w:rsid w:val="00C12274"/>
    <w:rsid w:val="00C12970"/>
    <w:rsid w:val="00C13532"/>
    <w:rsid w:val="00C140BE"/>
    <w:rsid w:val="00C158D6"/>
    <w:rsid w:val="00C16CBB"/>
    <w:rsid w:val="00C2022C"/>
    <w:rsid w:val="00C2245F"/>
    <w:rsid w:val="00C2277B"/>
    <w:rsid w:val="00C240C4"/>
    <w:rsid w:val="00C26893"/>
    <w:rsid w:val="00C26A24"/>
    <w:rsid w:val="00C27BFD"/>
    <w:rsid w:val="00C31524"/>
    <w:rsid w:val="00C319A4"/>
    <w:rsid w:val="00C32AEC"/>
    <w:rsid w:val="00C32E9A"/>
    <w:rsid w:val="00C339A8"/>
    <w:rsid w:val="00C34ED5"/>
    <w:rsid w:val="00C359C5"/>
    <w:rsid w:val="00C36014"/>
    <w:rsid w:val="00C417BC"/>
    <w:rsid w:val="00C41B8C"/>
    <w:rsid w:val="00C41CC1"/>
    <w:rsid w:val="00C433BB"/>
    <w:rsid w:val="00C43F73"/>
    <w:rsid w:val="00C456C3"/>
    <w:rsid w:val="00C51243"/>
    <w:rsid w:val="00C52B51"/>
    <w:rsid w:val="00C55999"/>
    <w:rsid w:val="00C55AAE"/>
    <w:rsid w:val="00C57B8D"/>
    <w:rsid w:val="00C609D7"/>
    <w:rsid w:val="00C61442"/>
    <w:rsid w:val="00C61C2B"/>
    <w:rsid w:val="00C623F9"/>
    <w:rsid w:val="00C6316C"/>
    <w:rsid w:val="00C63F61"/>
    <w:rsid w:val="00C6547D"/>
    <w:rsid w:val="00C65749"/>
    <w:rsid w:val="00C66D56"/>
    <w:rsid w:val="00C67839"/>
    <w:rsid w:val="00C67BFC"/>
    <w:rsid w:val="00C67FD3"/>
    <w:rsid w:val="00C70DB0"/>
    <w:rsid w:val="00C71EDC"/>
    <w:rsid w:val="00C720B6"/>
    <w:rsid w:val="00C725F0"/>
    <w:rsid w:val="00C72DF2"/>
    <w:rsid w:val="00C72EE3"/>
    <w:rsid w:val="00C739FE"/>
    <w:rsid w:val="00C75021"/>
    <w:rsid w:val="00C7770A"/>
    <w:rsid w:val="00C77F0F"/>
    <w:rsid w:val="00C80AA3"/>
    <w:rsid w:val="00C81AEA"/>
    <w:rsid w:val="00C8397C"/>
    <w:rsid w:val="00C86C19"/>
    <w:rsid w:val="00C87A2E"/>
    <w:rsid w:val="00C91C68"/>
    <w:rsid w:val="00C91FDE"/>
    <w:rsid w:val="00C966BC"/>
    <w:rsid w:val="00CA1A81"/>
    <w:rsid w:val="00CA1AED"/>
    <w:rsid w:val="00CA1F36"/>
    <w:rsid w:val="00CA3650"/>
    <w:rsid w:val="00CA3FD0"/>
    <w:rsid w:val="00CA49AF"/>
    <w:rsid w:val="00CA5796"/>
    <w:rsid w:val="00CA77C5"/>
    <w:rsid w:val="00CA7AD1"/>
    <w:rsid w:val="00CA7B03"/>
    <w:rsid w:val="00CB079C"/>
    <w:rsid w:val="00CB2D20"/>
    <w:rsid w:val="00CB396F"/>
    <w:rsid w:val="00CB44F9"/>
    <w:rsid w:val="00CB476A"/>
    <w:rsid w:val="00CB6CBC"/>
    <w:rsid w:val="00CB75F8"/>
    <w:rsid w:val="00CB7851"/>
    <w:rsid w:val="00CB7E75"/>
    <w:rsid w:val="00CC2EC6"/>
    <w:rsid w:val="00CC3B13"/>
    <w:rsid w:val="00CC49DE"/>
    <w:rsid w:val="00CC540B"/>
    <w:rsid w:val="00CD1FB8"/>
    <w:rsid w:val="00CD25D1"/>
    <w:rsid w:val="00CD2EFA"/>
    <w:rsid w:val="00CD5561"/>
    <w:rsid w:val="00CD776C"/>
    <w:rsid w:val="00CD7854"/>
    <w:rsid w:val="00CD7A10"/>
    <w:rsid w:val="00CE2112"/>
    <w:rsid w:val="00CE24DD"/>
    <w:rsid w:val="00CE2752"/>
    <w:rsid w:val="00CE4840"/>
    <w:rsid w:val="00CE4C78"/>
    <w:rsid w:val="00CE562D"/>
    <w:rsid w:val="00CF09B3"/>
    <w:rsid w:val="00CF181B"/>
    <w:rsid w:val="00CF1B8F"/>
    <w:rsid w:val="00CF4AB0"/>
    <w:rsid w:val="00CF4BFC"/>
    <w:rsid w:val="00CF5899"/>
    <w:rsid w:val="00CF758F"/>
    <w:rsid w:val="00CF7816"/>
    <w:rsid w:val="00CF7BE5"/>
    <w:rsid w:val="00D0355D"/>
    <w:rsid w:val="00D03BA2"/>
    <w:rsid w:val="00D03CC4"/>
    <w:rsid w:val="00D043DA"/>
    <w:rsid w:val="00D048AC"/>
    <w:rsid w:val="00D04C46"/>
    <w:rsid w:val="00D05B99"/>
    <w:rsid w:val="00D075F7"/>
    <w:rsid w:val="00D10127"/>
    <w:rsid w:val="00D13070"/>
    <w:rsid w:val="00D13EB7"/>
    <w:rsid w:val="00D16C40"/>
    <w:rsid w:val="00D20C11"/>
    <w:rsid w:val="00D21C5B"/>
    <w:rsid w:val="00D2277C"/>
    <w:rsid w:val="00D238A2"/>
    <w:rsid w:val="00D3004A"/>
    <w:rsid w:val="00D30173"/>
    <w:rsid w:val="00D326BE"/>
    <w:rsid w:val="00D33836"/>
    <w:rsid w:val="00D34334"/>
    <w:rsid w:val="00D40BDC"/>
    <w:rsid w:val="00D40D2F"/>
    <w:rsid w:val="00D41CBE"/>
    <w:rsid w:val="00D41FDE"/>
    <w:rsid w:val="00D4308F"/>
    <w:rsid w:val="00D43D98"/>
    <w:rsid w:val="00D45CAF"/>
    <w:rsid w:val="00D460EC"/>
    <w:rsid w:val="00D50BC9"/>
    <w:rsid w:val="00D51275"/>
    <w:rsid w:val="00D52B19"/>
    <w:rsid w:val="00D56F0C"/>
    <w:rsid w:val="00D5752C"/>
    <w:rsid w:val="00D57ABF"/>
    <w:rsid w:val="00D61D72"/>
    <w:rsid w:val="00D61DBC"/>
    <w:rsid w:val="00D6241F"/>
    <w:rsid w:val="00D663E5"/>
    <w:rsid w:val="00D70BCE"/>
    <w:rsid w:val="00D7105F"/>
    <w:rsid w:val="00D72CE8"/>
    <w:rsid w:val="00D75501"/>
    <w:rsid w:val="00D76AB1"/>
    <w:rsid w:val="00D7714B"/>
    <w:rsid w:val="00D806E7"/>
    <w:rsid w:val="00D809BA"/>
    <w:rsid w:val="00D809CE"/>
    <w:rsid w:val="00D80FE7"/>
    <w:rsid w:val="00D8274F"/>
    <w:rsid w:val="00D8508F"/>
    <w:rsid w:val="00D8552B"/>
    <w:rsid w:val="00D903AB"/>
    <w:rsid w:val="00D91CEC"/>
    <w:rsid w:val="00DA0FB7"/>
    <w:rsid w:val="00DA115A"/>
    <w:rsid w:val="00DA1548"/>
    <w:rsid w:val="00DA20BE"/>
    <w:rsid w:val="00DA2E5B"/>
    <w:rsid w:val="00DA5C8E"/>
    <w:rsid w:val="00DA7320"/>
    <w:rsid w:val="00DA7845"/>
    <w:rsid w:val="00DA7C30"/>
    <w:rsid w:val="00DB0997"/>
    <w:rsid w:val="00DB0C41"/>
    <w:rsid w:val="00DB12CF"/>
    <w:rsid w:val="00DB3DA4"/>
    <w:rsid w:val="00DB50D2"/>
    <w:rsid w:val="00DB5FEF"/>
    <w:rsid w:val="00DB6786"/>
    <w:rsid w:val="00DB6903"/>
    <w:rsid w:val="00DB6DE6"/>
    <w:rsid w:val="00DB7A2E"/>
    <w:rsid w:val="00DC076D"/>
    <w:rsid w:val="00DC1B81"/>
    <w:rsid w:val="00DC2036"/>
    <w:rsid w:val="00DC3951"/>
    <w:rsid w:val="00DC469D"/>
    <w:rsid w:val="00DC5728"/>
    <w:rsid w:val="00DD0C0F"/>
    <w:rsid w:val="00DD18B2"/>
    <w:rsid w:val="00DD3818"/>
    <w:rsid w:val="00DD4253"/>
    <w:rsid w:val="00DD5AF1"/>
    <w:rsid w:val="00DD740E"/>
    <w:rsid w:val="00DD75AF"/>
    <w:rsid w:val="00DE2451"/>
    <w:rsid w:val="00DE2A4D"/>
    <w:rsid w:val="00DE6785"/>
    <w:rsid w:val="00DF0AD3"/>
    <w:rsid w:val="00DF458E"/>
    <w:rsid w:val="00DF591F"/>
    <w:rsid w:val="00DF6E51"/>
    <w:rsid w:val="00DF7D8B"/>
    <w:rsid w:val="00E00545"/>
    <w:rsid w:val="00E00A68"/>
    <w:rsid w:val="00E012DE"/>
    <w:rsid w:val="00E03142"/>
    <w:rsid w:val="00E0429B"/>
    <w:rsid w:val="00E13B58"/>
    <w:rsid w:val="00E14A0B"/>
    <w:rsid w:val="00E16E82"/>
    <w:rsid w:val="00E21404"/>
    <w:rsid w:val="00E22051"/>
    <w:rsid w:val="00E221A2"/>
    <w:rsid w:val="00E223EF"/>
    <w:rsid w:val="00E22B9C"/>
    <w:rsid w:val="00E22E05"/>
    <w:rsid w:val="00E233BE"/>
    <w:rsid w:val="00E235CC"/>
    <w:rsid w:val="00E24A3E"/>
    <w:rsid w:val="00E2597B"/>
    <w:rsid w:val="00E27303"/>
    <w:rsid w:val="00E30550"/>
    <w:rsid w:val="00E32D4A"/>
    <w:rsid w:val="00E335F2"/>
    <w:rsid w:val="00E36262"/>
    <w:rsid w:val="00E37C81"/>
    <w:rsid w:val="00E41CF9"/>
    <w:rsid w:val="00E43076"/>
    <w:rsid w:val="00E435F6"/>
    <w:rsid w:val="00E4431E"/>
    <w:rsid w:val="00E458D7"/>
    <w:rsid w:val="00E461E5"/>
    <w:rsid w:val="00E51F63"/>
    <w:rsid w:val="00E55469"/>
    <w:rsid w:val="00E559B4"/>
    <w:rsid w:val="00E56565"/>
    <w:rsid w:val="00E63123"/>
    <w:rsid w:val="00E65288"/>
    <w:rsid w:val="00E6788C"/>
    <w:rsid w:val="00E709F5"/>
    <w:rsid w:val="00E7156A"/>
    <w:rsid w:val="00E72D87"/>
    <w:rsid w:val="00E7719D"/>
    <w:rsid w:val="00E84915"/>
    <w:rsid w:val="00E9026A"/>
    <w:rsid w:val="00E916C8"/>
    <w:rsid w:val="00E92931"/>
    <w:rsid w:val="00E93816"/>
    <w:rsid w:val="00E95E0D"/>
    <w:rsid w:val="00E96EA1"/>
    <w:rsid w:val="00EA2525"/>
    <w:rsid w:val="00EA6DCF"/>
    <w:rsid w:val="00EB12D5"/>
    <w:rsid w:val="00EB1AA1"/>
    <w:rsid w:val="00EB1AB2"/>
    <w:rsid w:val="00EB1B29"/>
    <w:rsid w:val="00EB3A24"/>
    <w:rsid w:val="00EB3ADE"/>
    <w:rsid w:val="00EB4634"/>
    <w:rsid w:val="00EB5369"/>
    <w:rsid w:val="00EB5EB7"/>
    <w:rsid w:val="00EB6082"/>
    <w:rsid w:val="00EB77B3"/>
    <w:rsid w:val="00EC0F46"/>
    <w:rsid w:val="00EC0F5B"/>
    <w:rsid w:val="00EC66FC"/>
    <w:rsid w:val="00EC72F2"/>
    <w:rsid w:val="00ED0A5C"/>
    <w:rsid w:val="00ED101D"/>
    <w:rsid w:val="00ED1145"/>
    <w:rsid w:val="00ED18BB"/>
    <w:rsid w:val="00ED3C15"/>
    <w:rsid w:val="00ED3F50"/>
    <w:rsid w:val="00ED5482"/>
    <w:rsid w:val="00ED7ECC"/>
    <w:rsid w:val="00ED7FEE"/>
    <w:rsid w:val="00EE2AE1"/>
    <w:rsid w:val="00EE31B1"/>
    <w:rsid w:val="00EE3E2F"/>
    <w:rsid w:val="00EE5DAB"/>
    <w:rsid w:val="00EE5DB2"/>
    <w:rsid w:val="00EE64C4"/>
    <w:rsid w:val="00EF379C"/>
    <w:rsid w:val="00EF463F"/>
    <w:rsid w:val="00F00C89"/>
    <w:rsid w:val="00F00D14"/>
    <w:rsid w:val="00F01FF7"/>
    <w:rsid w:val="00F02317"/>
    <w:rsid w:val="00F02AE8"/>
    <w:rsid w:val="00F04D87"/>
    <w:rsid w:val="00F067D6"/>
    <w:rsid w:val="00F11252"/>
    <w:rsid w:val="00F118EC"/>
    <w:rsid w:val="00F11900"/>
    <w:rsid w:val="00F12624"/>
    <w:rsid w:val="00F126F5"/>
    <w:rsid w:val="00F14920"/>
    <w:rsid w:val="00F17F73"/>
    <w:rsid w:val="00F20730"/>
    <w:rsid w:val="00F20B4F"/>
    <w:rsid w:val="00F2236B"/>
    <w:rsid w:val="00F22860"/>
    <w:rsid w:val="00F23CF2"/>
    <w:rsid w:val="00F25398"/>
    <w:rsid w:val="00F2581A"/>
    <w:rsid w:val="00F2742B"/>
    <w:rsid w:val="00F27434"/>
    <w:rsid w:val="00F305D5"/>
    <w:rsid w:val="00F31C8B"/>
    <w:rsid w:val="00F34357"/>
    <w:rsid w:val="00F34681"/>
    <w:rsid w:val="00F37A8D"/>
    <w:rsid w:val="00F37BDA"/>
    <w:rsid w:val="00F4010B"/>
    <w:rsid w:val="00F4054F"/>
    <w:rsid w:val="00F433B9"/>
    <w:rsid w:val="00F46594"/>
    <w:rsid w:val="00F50FF7"/>
    <w:rsid w:val="00F531DF"/>
    <w:rsid w:val="00F532F0"/>
    <w:rsid w:val="00F53353"/>
    <w:rsid w:val="00F537AA"/>
    <w:rsid w:val="00F55C1D"/>
    <w:rsid w:val="00F56100"/>
    <w:rsid w:val="00F57071"/>
    <w:rsid w:val="00F57641"/>
    <w:rsid w:val="00F57665"/>
    <w:rsid w:val="00F6333A"/>
    <w:rsid w:val="00F63B3F"/>
    <w:rsid w:val="00F63B85"/>
    <w:rsid w:val="00F664C5"/>
    <w:rsid w:val="00F665EE"/>
    <w:rsid w:val="00F6753D"/>
    <w:rsid w:val="00F7001F"/>
    <w:rsid w:val="00F71A70"/>
    <w:rsid w:val="00F71FFC"/>
    <w:rsid w:val="00F73965"/>
    <w:rsid w:val="00F755E8"/>
    <w:rsid w:val="00F75906"/>
    <w:rsid w:val="00F80CDA"/>
    <w:rsid w:val="00F815E8"/>
    <w:rsid w:val="00F8299A"/>
    <w:rsid w:val="00F83C9E"/>
    <w:rsid w:val="00F852D5"/>
    <w:rsid w:val="00F867B3"/>
    <w:rsid w:val="00F928EC"/>
    <w:rsid w:val="00F943B5"/>
    <w:rsid w:val="00F95DD9"/>
    <w:rsid w:val="00F96E33"/>
    <w:rsid w:val="00F96F9E"/>
    <w:rsid w:val="00F97772"/>
    <w:rsid w:val="00FA1160"/>
    <w:rsid w:val="00FA6511"/>
    <w:rsid w:val="00FB099C"/>
    <w:rsid w:val="00FB0C05"/>
    <w:rsid w:val="00FB2C87"/>
    <w:rsid w:val="00FB3A4B"/>
    <w:rsid w:val="00FB476A"/>
    <w:rsid w:val="00FB59E0"/>
    <w:rsid w:val="00FC06C4"/>
    <w:rsid w:val="00FC22F6"/>
    <w:rsid w:val="00FC4FC5"/>
    <w:rsid w:val="00FC5F21"/>
    <w:rsid w:val="00FD215F"/>
    <w:rsid w:val="00FD2421"/>
    <w:rsid w:val="00FD2C30"/>
    <w:rsid w:val="00FD39CB"/>
    <w:rsid w:val="00FD655D"/>
    <w:rsid w:val="00FD78C2"/>
    <w:rsid w:val="00FE0AAD"/>
    <w:rsid w:val="00FE0C9C"/>
    <w:rsid w:val="00FE11A3"/>
    <w:rsid w:val="00FE65DC"/>
    <w:rsid w:val="00FE7105"/>
    <w:rsid w:val="00FE7383"/>
    <w:rsid w:val="00FE767F"/>
    <w:rsid w:val="00FF002A"/>
    <w:rsid w:val="00FF00B2"/>
    <w:rsid w:val="00FF028C"/>
    <w:rsid w:val="00FF037F"/>
    <w:rsid w:val="00FF2435"/>
    <w:rsid w:val="00FF3289"/>
    <w:rsid w:val="00FF7BD1"/>
    <w:rsid w:val="00FF7F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DE6A6F"/>
  <w15:docId w15:val="{F2E20CD6-DA89-416F-BE9F-C1BAB1989A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F6CC4"/>
  </w:style>
  <w:style w:type="paragraph" w:styleId="Heading1">
    <w:name w:val="heading 1"/>
    <w:basedOn w:val="Normal"/>
    <w:next w:val="Normal"/>
    <w:link w:val="Heading1Char"/>
    <w:uiPriority w:val="1"/>
    <w:qFormat/>
    <w:rsid w:val="00A6379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1"/>
    <w:unhideWhenUsed/>
    <w:qFormat/>
    <w:rsid w:val="00A6379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1"/>
    <w:qFormat/>
    <w:rsid w:val="00322A92"/>
    <w:pPr>
      <w:keepNext/>
      <w:keepLines/>
      <w:spacing w:before="320" w:after="80" w:line="276" w:lineRule="auto"/>
      <w:outlineLvl w:val="2"/>
    </w:pPr>
    <w:rPr>
      <w:rFonts w:ascii="Times New Roman" w:eastAsia="Arial" w:hAnsi="Times New Roman" w:cs="Arial"/>
      <w:b/>
      <w:color w:val="434343"/>
      <w:sz w:val="24"/>
      <w:szCs w:val="28"/>
      <w:lang w:val="en"/>
    </w:rPr>
  </w:style>
  <w:style w:type="paragraph" w:styleId="Heading4">
    <w:name w:val="heading 4"/>
    <w:basedOn w:val="Normal"/>
    <w:next w:val="Normal"/>
    <w:link w:val="Heading4Char"/>
    <w:uiPriority w:val="1"/>
    <w:qFormat/>
    <w:rsid w:val="00191ACB"/>
    <w:pPr>
      <w:keepNext/>
      <w:keepLines/>
      <w:spacing w:before="280" w:after="80" w:line="276" w:lineRule="auto"/>
      <w:outlineLvl w:val="3"/>
    </w:pPr>
    <w:rPr>
      <w:rFonts w:ascii="Times New Roman" w:eastAsia="Arial" w:hAnsi="Times New Roman" w:cs="Arial"/>
      <w:b/>
      <w:sz w:val="24"/>
      <w:szCs w:val="24"/>
      <w:lang w:val="en"/>
    </w:rPr>
  </w:style>
  <w:style w:type="paragraph" w:styleId="Heading5">
    <w:name w:val="heading 5"/>
    <w:basedOn w:val="Normal"/>
    <w:next w:val="Normal"/>
    <w:link w:val="Heading5Char"/>
    <w:uiPriority w:val="1"/>
    <w:qFormat/>
    <w:rsid w:val="00F57641"/>
    <w:pPr>
      <w:keepNext/>
      <w:keepLines/>
      <w:spacing w:before="240" w:after="80" w:line="276" w:lineRule="auto"/>
      <w:outlineLvl w:val="4"/>
    </w:pPr>
    <w:rPr>
      <w:rFonts w:ascii="Times New Roman" w:eastAsia="Arial" w:hAnsi="Times New Roman" w:cs="Arial"/>
      <w:b/>
      <w:sz w:val="24"/>
      <w:lang w:val="en"/>
    </w:rPr>
  </w:style>
  <w:style w:type="paragraph" w:styleId="Heading6">
    <w:name w:val="heading 6"/>
    <w:basedOn w:val="Normal"/>
    <w:next w:val="Normal"/>
    <w:link w:val="Heading6Char"/>
    <w:uiPriority w:val="1"/>
    <w:qFormat/>
    <w:rsid w:val="00102CAE"/>
    <w:pPr>
      <w:keepNext/>
      <w:keepLines/>
      <w:spacing w:before="240" w:after="80" w:line="276" w:lineRule="auto"/>
      <w:outlineLvl w:val="5"/>
    </w:pPr>
    <w:rPr>
      <w:rFonts w:ascii="Arial" w:eastAsia="Arial" w:hAnsi="Arial" w:cs="Arial"/>
      <w:i/>
      <w:color w:val="666666"/>
      <w:lang w:val="en"/>
    </w:rPr>
  </w:style>
  <w:style w:type="paragraph" w:styleId="Heading7">
    <w:name w:val="heading 7"/>
    <w:basedOn w:val="Heading1"/>
    <w:next w:val="Normal"/>
    <w:link w:val="Heading7Char"/>
    <w:uiPriority w:val="1"/>
    <w:unhideWhenUsed/>
    <w:qFormat/>
    <w:rsid w:val="00102CAE"/>
    <w:pPr>
      <w:spacing w:before="40" w:after="120" w:line="276" w:lineRule="auto"/>
      <w:outlineLvl w:val="6"/>
    </w:pPr>
    <w:rPr>
      <w:i/>
      <w:iCs/>
      <w:color w:val="1F4D78" w:themeColor="accent1" w:themeShade="7F"/>
      <w:sz w:val="40"/>
      <w:szCs w:val="40"/>
      <w:lang w:val="en"/>
    </w:rPr>
  </w:style>
  <w:style w:type="paragraph" w:styleId="Heading8">
    <w:name w:val="heading 8"/>
    <w:basedOn w:val="Normal"/>
    <w:next w:val="Normal"/>
    <w:link w:val="Heading8Char"/>
    <w:uiPriority w:val="1"/>
    <w:unhideWhenUsed/>
    <w:qFormat/>
    <w:rsid w:val="00245464"/>
    <w:pPr>
      <w:keepNext/>
      <w:jc w:val="both"/>
      <w:outlineLvl w:val="7"/>
    </w:pPr>
    <w:rPr>
      <w:rFonts w:ascii="Garamond" w:eastAsia="Calibri" w:hAnsi="Garamond" w:cs="Times New Roman"/>
      <w:i/>
      <w:color w:val="C00000"/>
      <w:sz w:val="24"/>
      <w:szCs w:val="24"/>
    </w:rPr>
  </w:style>
  <w:style w:type="paragraph" w:styleId="Heading9">
    <w:name w:val="heading 9"/>
    <w:basedOn w:val="Normal"/>
    <w:next w:val="Normal"/>
    <w:link w:val="Heading9Char"/>
    <w:uiPriority w:val="1"/>
    <w:unhideWhenUsed/>
    <w:qFormat/>
    <w:rsid w:val="00245464"/>
    <w:pPr>
      <w:keepNext/>
      <w:outlineLvl w:val="8"/>
    </w:pPr>
    <w:rPr>
      <w:rFonts w:ascii="Garamond" w:eastAsia="Calibri" w:hAnsi="Garamond" w:cs="Times New Roman"/>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 (numbered (a)),List Paragraph1,Lapis Bulleted List,Dot pt,F5 List Paragraph,No Spacing1,List Paragraph Char Char Char,Indicator Text,Numbered Para 1,Bullet 1,List Paragraph12,Bullet Points,MAIN CONTENT,List 100s,L,Heading"/>
    <w:basedOn w:val="Normal"/>
    <w:link w:val="ListParagraphChar"/>
    <w:uiPriority w:val="34"/>
    <w:qFormat/>
    <w:rsid w:val="00A6379A"/>
    <w:pPr>
      <w:spacing w:after="0" w:line="276" w:lineRule="auto"/>
      <w:ind w:left="720"/>
      <w:contextualSpacing/>
    </w:pPr>
    <w:rPr>
      <w:rFonts w:ascii="Times New Roman" w:eastAsia="Times New Roman" w:hAnsi="Times New Roman" w:cs="Times New Roman"/>
      <w:sz w:val="24"/>
      <w:szCs w:val="24"/>
      <w:lang w:val="en"/>
    </w:rPr>
  </w:style>
  <w:style w:type="paragraph" w:customStyle="1" w:styleId="Default">
    <w:name w:val="Default"/>
    <w:rsid w:val="00A6379A"/>
    <w:pPr>
      <w:autoSpaceDE w:val="0"/>
      <w:autoSpaceDN w:val="0"/>
      <w:adjustRightInd w:val="0"/>
      <w:spacing w:after="0" w:line="240" w:lineRule="auto"/>
    </w:pPr>
    <w:rPr>
      <w:rFonts w:ascii="Calibri" w:eastAsia="Arial" w:hAnsi="Calibri" w:cs="Calibri"/>
      <w:color w:val="000000"/>
      <w:sz w:val="24"/>
      <w:szCs w:val="24"/>
    </w:rPr>
  </w:style>
  <w:style w:type="character" w:customStyle="1" w:styleId="Heading1Char">
    <w:name w:val="Heading 1 Char"/>
    <w:basedOn w:val="DefaultParagraphFont"/>
    <w:link w:val="Heading1"/>
    <w:uiPriority w:val="1"/>
    <w:rsid w:val="00A6379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1"/>
    <w:rsid w:val="00A6379A"/>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1"/>
    <w:rsid w:val="00322A92"/>
    <w:rPr>
      <w:rFonts w:ascii="Times New Roman" w:eastAsia="Arial" w:hAnsi="Times New Roman" w:cs="Arial"/>
      <w:b/>
      <w:color w:val="434343"/>
      <w:sz w:val="24"/>
      <w:szCs w:val="28"/>
      <w:lang w:val="en"/>
    </w:rPr>
  </w:style>
  <w:style w:type="character" w:customStyle="1" w:styleId="Heading4Char">
    <w:name w:val="Heading 4 Char"/>
    <w:basedOn w:val="DefaultParagraphFont"/>
    <w:link w:val="Heading4"/>
    <w:uiPriority w:val="1"/>
    <w:rsid w:val="00191ACB"/>
    <w:rPr>
      <w:rFonts w:ascii="Times New Roman" w:eastAsia="Arial" w:hAnsi="Times New Roman" w:cs="Arial"/>
      <w:b/>
      <w:sz w:val="24"/>
      <w:szCs w:val="24"/>
      <w:lang w:val="en"/>
    </w:rPr>
  </w:style>
  <w:style w:type="character" w:customStyle="1" w:styleId="Heading5Char">
    <w:name w:val="Heading 5 Char"/>
    <w:basedOn w:val="DefaultParagraphFont"/>
    <w:link w:val="Heading5"/>
    <w:uiPriority w:val="1"/>
    <w:rsid w:val="00F57641"/>
    <w:rPr>
      <w:rFonts w:ascii="Times New Roman" w:eastAsia="Arial" w:hAnsi="Times New Roman" w:cs="Arial"/>
      <w:b/>
      <w:sz w:val="24"/>
      <w:lang w:val="en"/>
    </w:rPr>
  </w:style>
  <w:style w:type="character" w:customStyle="1" w:styleId="Heading6Char">
    <w:name w:val="Heading 6 Char"/>
    <w:basedOn w:val="DefaultParagraphFont"/>
    <w:link w:val="Heading6"/>
    <w:uiPriority w:val="1"/>
    <w:rsid w:val="00102CAE"/>
    <w:rPr>
      <w:rFonts w:ascii="Arial" w:eastAsia="Arial" w:hAnsi="Arial" w:cs="Arial"/>
      <w:i/>
      <w:color w:val="666666"/>
      <w:lang w:val="en"/>
    </w:rPr>
  </w:style>
  <w:style w:type="character" w:customStyle="1" w:styleId="Heading7Char">
    <w:name w:val="Heading 7 Char"/>
    <w:basedOn w:val="DefaultParagraphFont"/>
    <w:link w:val="Heading7"/>
    <w:uiPriority w:val="1"/>
    <w:rsid w:val="00102CAE"/>
    <w:rPr>
      <w:rFonts w:asciiTheme="majorHAnsi" w:eastAsiaTheme="majorEastAsia" w:hAnsiTheme="majorHAnsi" w:cstheme="majorBidi"/>
      <w:i/>
      <w:iCs/>
      <w:color w:val="1F4D78" w:themeColor="accent1" w:themeShade="7F"/>
      <w:sz w:val="40"/>
      <w:szCs w:val="40"/>
      <w:lang w:val="en"/>
    </w:rPr>
  </w:style>
  <w:style w:type="paragraph" w:styleId="Title">
    <w:name w:val="Title"/>
    <w:basedOn w:val="Normal"/>
    <w:next w:val="Normal"/>
    <w:link w:val="TitleChar"/>
    <w:uiPriority w:val="10"/>
    <w:qFormat/>
    <w:rsid w:val="00102CAE"/>
    <w:pPr>
      <w:keepNext/>
      <w:keepLines/>
      <w:spacing w:after="60" w:line="276" w:lineRule="auto"/>
    </w:pPr>
    <w:rPr>
      <w:rFonts w:ascii="Arial" w:eastAsia="Arial" w:hAnsi="Arial" w:cs="Arial"/>
      <w:sz w:val="52"/>
      <w:szCs w:val="52"/>
      <w:lang w:val="en"/>
    </w:rPr>
  </w:style>
  <w:style w:type="character" w:customStyle="1" w:styleId="TitleChar">
    <w:name w:val="Title Char"/>
    <w:basedOn w:val="DefaultParagraphFont"/>
    <w:link w:val="Title"/>
    <w:uiPriority w:val="10"/>
    <w:rsid w:val="00102CAE"/>
    <w:rPr>
      <w:rFonts w:ascii="Arial" w:eastAsia="Arial" w:hAnsi="Arial" w:cs="Arial"/>
      <w:sz w:val="52"/>
      <w:szCs w:val="52"/>
      <w:lang w:val="en"/>
    </w:rPr>
  </w:style>
  <w:style w:type="paragraph" w:styleId="Subtitle">
    <w:name w:val="Subtitle"/>
    <w:basedOn w:val="Normal"/>
    <w:next w:val="Normal"/>
    <w:link w:val="SubtitleChar"/>
    <w:rsid w:val="00102CAE"/>
    <w:pPr>
      <w:keepNext/>
      <w:keepLines/>
      <w:spacing w:after="320" w:line="276" w:lineRule="auto"/>
    </w:pPr>
    <w:rPr>
      <w:rFonts w:ascii="Arial" w:eastAsia="Arial" w:hAnsi="Arial" w:cs="Arial"/>
      <w:color w:val="666666"/>
      <w:sz w:val="30"/>
      <w:szCs w:val="30"/>
      <w:lang w:val="en"/>
    </w:rPr>
  </w:style>
  <w:style w:type="character" w:customStyle="1" w:styleId="SubtitleChar">
    <w:name w:val="Subtitle Char"/>
    <w:basedOn w:val="DefaultParagraphFont"/>
    <w:link w:val="Subtitle"/>
    <w:rsid w:val="00102CAE"/>
    <w:rPr>
      <w:rFonts w:ascii="Arial" w:eastAsia="Arial" w:hAnsi="Arial" w:cs="Arial"/>
      <w:color w:val="666666"/>
      <w:sz w:val="30"/>
      <w:szCs w:val="30"/>
      <w:lang w:val="en"/>
    </w:rPr>
  </w:style>
  <w:style w:type="table" w:customStyle="1" w:styleId="8">
    <w:name w:val="8"/>
    <w:basedOn w:val="TableNormal"/>
    <w:rsid w:val="00102CAE"/>
    <w:pPr>
      <w:spacing w:after="0" w:line="276" w:lineRule="auto"/>
    </w:pPr>
    <w:rPr>
      <w:rFonts w:ascii="Arial" w:eastAsia="Arial" w:hAnsi="Arial" w:cs="Arial"/>
      <w:lang w:val="en"/>
    </w:rPr>
    <w:tblPr>
      <w:tblStyleRowBandSize w:val="1"/>
      <w:tblStyleColBandSize w:val="1"/>
      <w:tblCellMar>
        <w:top w:w="100" w:type="dxa"/>
        <w:left w:w="100" w:type="dxa"/>
        <w:bottom w:w="100" w:type="dxa"/>
        <w:right w:w="100" w:type="dxa"/>
      </w:tblCellMar>
    </w:tblPr>
  </w:style>
  <w:style w:type="table" w:customStyle="1" w:styleId="7">
    <w:name w:val="7"/>
    <w:basedOn w:val="TableNormal"/>
    <w:rsid w:val="00102CAE"/>
    <w:pPr>
      <w:spacing w:after="0" w:line="276" w:lineRule="auto"/>
    </w:pPr>
    <w:rPr>
      <w:rFonts w:ascii="Arial" w:eastAsia="Arial" w:hAnsi="Arial" w:cs="Arial"/>
      <w:lang w:val="en"/>
    </w:rPr>
    <w:tblPr>
      <w:tblStyleRowBandSize w:val="1"/>
      <w:tblStyleColBandSize w:val="1"/>
      <w:tblCellMar>
        <w:top w:w="100" w:type="dxa"/>
        <w:left w:w="100" w:type="dxa"/>
        <w:bottom w:w="100" w:type="dxa"/>
        <w:right w:w="100" w:type="dxa"/>
      </w:tblCellMar>
    </w:tblPr>
  </w:style>
  <w:style w:type="table" w:customStyle="1" w:styleId="6">
    <w:name w:val="6"/>
    <w:basedOn w:val="TableNormal"/>
    <w:rsid w:val="00102CAE"/>
    <w:pPr>
      <w:spacing w:after="0" w:line="276" w:lineRule="auto"/>
    </w:pPr>
    <w:rPr>
      <w:rFonts w:ascii="Arial" w:eastAsia="Arial" w:hAnsi="Arial" w:cs="Arial"/>
      <w:lang w:val="en"/>
    </w:rPr>
    <w:tblPr>
      <w:tblStyleRowBandSize w:val="1"/>
      <w:tblStyleColBandSize w:val="1"/>
      <w:tblCellMar>
        <w:top w:w="100" w:type="dxa"/>
        <w:left w:w="100" w:type="dxa"/>
        <w:bottom w:w="100" w:type="dxa"/>
        <w:right w:w="100" w:type="dxa"/>
      </w:tblCellMar>
    </w:tblPr>
  </w:style>
  <w:style w:type="table" w:customStyle="1" w:styleId="5">
    <w:name w:val="5"/>
    <w:basedOn w:val="TableNormal"/>
    <w:rsid w:val="00102CAE"/>
    <w:pPr>
      <w:spacing w:after="0" w:line="276" w:lineRule="auto"/>
    </w:pPr>
    <w:rPr>
      <w:rFonts w:ascii="Arial" w:eastAsia="Arial" w:hAnsi="Arial" w:cs="Arial"/>
      <w:lang w:val="en"/>
    </w:rPr>
    <w:tblPr>
      <w:tblStyleRowBandSize w:val="1"/>
      <w:tblStyleColBandSize w:val="1"/>
      <w:tblCellMar>
        <w:top w:w="100" w:type="dxa"/>
        <w:left w:w="100" w:type="dxa"/>
        <w:bottom w:w="100" w:type="dxa"/>
        <w:right w:w="100" w:type="dxa"/>
      </w:tblCellMar>
    </w:tblPr>
  </w:style>
  <w:style w:type="table" w:customStyle="1" w:styleId="4">
    <w:name w:val="4"/>
    <w:basedOn w:val="TableNormal"/>
    <w:rsid w:val="00102CAE"/>
    <w:pPr>
      <w:spacing w:after="0" w:line="276" w:lineRule="auto"/>
    </w:pPr>
    <w:rPr>
      <w:rFonts w:ascii="Arial" w:eastAsia="Arial" w:hAnsi="Arial" w:cs="Arial"/>
      <w:lang w:val="en"/>
    </w:rPr>
    <w:tblPr>
      <w:tblStyleRowBandSize w:val="1"/>
      <w:tblStyleColBandSize w:val="1"/>
      <w:tblCellMar>
        <w:top w:w="100" w:type="dxa"/>
        <w:left w:w="100" w:type="dxa"/>
        <w:bottom w:w="100" w:type="dxa"/>
        <w:right w:w="100" w:type="dxa"/>
      </w:tblCellMar>
    </w:tblPr>
  </w:style>
  <w:style w:type="table" w:customStyle="1" w:styleId="3">
    <w:name w:val="3"/>
    <w:basedOn w:val="TableNormal"/>
    <w:rsid w:val="00102CAE"/>
    <w:pPr>
      <w:spacing w:after="0" w:line="276" w:lineRule="auto"/>
    </w:pPr>
    <w:rPr>
      <w:rFonts w:ascii="Arial" w:eastAsia="Arial" w:hAnsi="Arial" w:cs="Arial"/>
      <w:lang w:val="en"/>
    </w:rPr>
    <w:tblPr>
      <w:tblStyleRowBandSize w:val="1"/>
      <w:tblStyleColBandSize w:val="1"/>
      <w:tblCellMar>
        <w:top w:w="100" w:type="dxa"/>
        <w:left w:w="100" w:type="dxa"/>
        <w:bottom w:w="100" w:type="dxa"/>
        <w:right w:w="100" w:type="dxa"/>
      </w:tblCellMar>
    </w:tblPr>
  </w:style>
  <w:style w:type="table" w:customStyle="1" w:styleId="2">
    <w:name w:val="2"/>
    <w:basedOn w:val="TableNormal"/>
    <w:rsid w:val="00102CAE"/>
    <w:pPr>
      <w:spacing w:after="0" w:line="276" w:lineRule="auto"/>
    </w:pPr>
    <w:rPr>
      <w:rFonts w:ascii="Arial" w:eastAsia="Arial" w:hAnsi="Arial" w:cs="Arial"/>
      <w:lang w:val="en"/>
    </w:rPr>
    <w:tblPr>
      <w:tblStyleRowBandSize w:val="1"/>
      <w:tblStyleColBandSize w:val="1"/>
      <w:tblCellMar>
        <w:top w:w="100" w:type="dxa"/>
        <w:left w:w="100" w:type="dxa"/>
        <w:bottom w:w="100" w:type="dxa"/>
        <w:right w:w="100" w:type="dxa"/>
      </w:tblCellMar>
    </w:tblPr>
  </w:style>
  <w:style w:type="table" w:customStyle="1" w:styleId="1">
    <w:name w:val="1"/>
    <w:basedOn w:val="TableNormal"/>
    <w:rsid w:val="00102CAE"/>
    <w:pPr>
      <w:spacing w:after="0" w:line="276" w:lineRule="auto"/>
    </w:pPr>
    <w:rPr>
      <w:rFonts w:ascii="Arial" w:eastAsia="Arial" w:hAnsi="Arial" w:cs="Arial"/>
      <w:lang w:val="en"/>
    </w:rPr>
    <w:tblPr>
      <w:tblStyleRowBandSize w:val="1"/>
      <w:tblStyleColBandSize w:val="1"/>
      <w:tblCellMar>
        <w:top w:w="100" w:type="dxa"/>
        <w:left w:w="100" w:type="dxa"/>
        <w:bottom w:w="100" w:type="dxa"/>
        <w:right w:w="100" w:type="dxa"/>
      </w:tblCellMar>
    </w:tblPr>
  </w:style>
  <w:style w:type="paragraph" w:styleId="Caption">
    <w:name w:val="caption"/>
    <w:basedOn w:val="Normal"/>
    <w:next w:val="Normal"/>
    <w:uiPriority w:val="35"/>
    <w:unhideWhenUsed/>
    <w:qFormat/>
    <w:rsid w:val="00102CAE"/>
    <w:pPr>
      <w:spacing w:after="200" w:line="240" w:lineRule="auto"/>
    </w:pPr>
    <w:rPr>
      <w:rFonts w:ascii="Times New Roman" w:eastAsia="Times New Roman" w:hAnsi="Times New Roman" w:cs="Times New Roman"/>
      <w:i/>
      <w:iCs/>
      <w:color w:val="44546A" w:themeColor="text2"/>
      <w:sz w:val="18"/>
      <w:szCs w:val="18"/>
      <w:lang w:val="en"/>
    </w:rPr>
  </w:style>
  <w:style w:type="paragraph" w:styleId="NoSpacing">
    <w:name w:val="No Spacing"/>
    <w:link w:val="NoSpacingChar"/>
    <w:uiPriority w:val="1"/>
    <w:qFormat/>
    <w:rsid w:val="00102CAE"/>
    <w:pPr>
      <w:spacing w:after="0" w:line="240" w:lineRule="auto"/>
    </w:pPr>
    <w:rPr>
      <w:rFonts w:ascii="Arial" w:eastAsia="Arial" w:hAnsi="Arial" w:cs="Arial"/>
      <w:lang w:val="en"/>
    </w:rPr>
  </w:style>
  <w:style w:type="character" w:customStyle="1" w:styleId="NoSpacingChar">
    <w:name w:val="No Spacing Char"/>
    <w:link w:val="NoSpacing"/>
    <w:uiPriority w:val="1"/>
    <w:locked/>
    <w:rsid w:val="00102CAE"/>
    <w:rPr>
      <w:rFonts w:ascii="Arial" w:eastAsia="Arial" w:hAnsi="Arial" w:cs="Arial"/>
      <w:lang w:val="en"/>
    </w:rPr>
  </w:style>
  <w:style w:type="table" w:styleId="TableGrid">
    <w:name w:val="Table Grid"/>
    <w:basedOn w:val="TableNormal"/>
    <w:uiPriority w:val="59"/>
    <w:rsid w:val="00102C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02CAE"/>
    <w:pPr>
      <w:outlineLvl w:val="9"/>
    </w:pPr>
  </w:style>
  <w:style w:type="paragraph" w:styleId="TOC1">
    <w:name w:val="toc 1"/>
    <w:basedOn w:val="Normal"/>
    <w:next w:val="Normal"/>
    <w:autoRedefine/>
    <w:uiPriority w:val="39"/>
    <w:unhideWhenUsed/>
    <w:qFormat/>
    <w:rsid w:val="00102CAE"/>
    <w:pPr>
      <w:spacing w:after="100" w:line="276" w:lineRule="auto"/>
    </w:pPr>
    <w:rPr>
      <w:rFonts w:ascii="Times New Roman" w:eastAsia="Times New Roman" w:hAnsi="Times New Roman" w:cs="Times New Roman"/>
      <w:sz w:val="24"/>
      <w:szCs w:val="24"/>
      <w:lang w:val="en"/>
    </w:rPr>
  </w:style>
  <w:style w:type="paragraph" w:styleId="TOC2">
    <w:name w:val="toc 2"/>
    <w:basedOn w:val="Normal"/>
    <w:next w:val="Normal"/>
    <w:autoRedefine/>
    <w:uiPriority w:val="39"/>
    <w:unhideWhenUsed/>
    <w:qFormat/>
    <w:rsid w:val="00F943B5"/>
    <w:pPr>
      <w:tabs>
        <w:tab w:val="left" w:pos="1100"/>
        <w:tab w:val="right" w:leader="dot" w:pos="9782"/>
      </w:tabs>
      <w:spacing w:after="100" w:line="276" w:lineRule="auto"/>
      <w:ind w:left="240"/>
    </w:pPr>
    <w:rPr>
      <w:rFonts w:ascii="Times New Roman" w:eastAsia="Times New Roman" w:hAnsi="Times New Roman" w:cs="Times New Roman"/>
      <w:sz w:val="24"/>
      <w:szCs w:val="24"/>
      <w:lang w:val="en"/>
    </w:rPr>
  </w:style>
  <w:style w:type="character" w:styleId="Hyperlink">
    <w:name w:val="Hyperlink"/>
    <w:basedOn w:val="DefaultParagraphFont"/>
    <w:uiPriority w:val="99"/>
    <w:unhideWhenUsed/>
    <w:rsid w:val="00102CAE"/>
    <w:rPr>
      <w:color w:val="0563C1" w:themeColor="hyperlink"/>
      <w:u w:val="single"/>
    </w:rPr>
  </w:style>
  <w:style w:type="paragraph" w:styleId="NormalWeb">
    <w:name w:val="Normal (Web)"/>
    <w:basedOn w:val="Normal"/>
    <w:uiPriority w:val="99"/>
    <w:unhideWhenUsed/>
    <w:rsid w:val="00102CAE"/>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102CAE"/>
    <w:pPr>
      <w:spacing w:after="0" w:line="240" w:lineRule="auto"/>
    </w:pPr>
    <w:rPr>
      <w:rFonts w:ascii="Times New Roman" w:eastAsia="Times New Roman" w:hAnsi="Times New Roman" w:cs="Times New Roman"/>
      <w:sz w:val="18"/>
      <w:szCs w:val="18"/>
      <w:lang w:val="en"/>
    </w:rPr>
  </w:style>
  <w:style w:type="character" w:customStyle="1" w:styleId="BalloonTextChar">
    <w:name w:val="Balloon Text Char"/>
    <w:basedOn w:val="DefaultParagraphFont"/>
    <w:link w:val="BalloonText"/>
    <w:uiPriority w:val="99"/>
    <w:semiHidden/>
    <w:rsid w:val="00102CAE"/>
    <w:rPr>
      <w:rFonts w:ascii="Times New Roman" w:eastAsia="Times New Roman" w:hAnsi="Times New Roman" w:cs="Times New Roman"/>
      <w:sz w:val="18"/>
      <w:szCs w:val="18"/>
      <w:lang w:val="en"/>
    </w:rPr>
  </w:style>
  <w:style w:type="character" w:styleId="CommentReference">
    <w:name w:val="annotation reference"/>
    <w:basedOn w:val="DefaultParagraphFont"/>
    <w:uiPriority w:val="99"/>
    <w:unhideWhenUsed/>
    <w:rsid w:val="00102CAE"/>
    <w:rPr>
      <w:sz w:val="16"/>
      <w:szCs w:val="16"/>
    </w:rPr>
  </w:style>
  <w:style w:type="paragraph" w:styleId="CommentText">
    <w:name w:val="annotation text"/>
    <w:basedOn w:val="Normal"/>
    <w:link w:val="CommentTextChar"/>
    <w:unhideWhenUsed/>
    <w:rsid w:val="00102CAE"/>
    <w:pPr>
      <w:spacing w:after="0" w:line="240" w:lineRule="auto"/>
    </w:pPr>
    <w:rPr>
      <w:rFonts w:ascii="Times New Roman" w:eastAsia="Times New Roman" w:hAnsi="Times New Roman" w:cs="Times New Roman"/>
      <w:sz w:val="20"/>
      <w:szCs w:val="20"/>
      <w:lang w:val="en"/>
    </w:rPr>
  </w:style>
  <w:style w:type="character" w:customStyle="1" w:styleId="CommentTextChar">
    <w:name w:val="Comment Text Char"/>
    <w:basedOn w:val="DefaultParagraphFont"/>
    <w:link w:val="CommentText"/>
    <w:rsid w:val="00102CAE"/>
    <w:rPr>
      <w:rFonts w:ascii="Times New Roman" w:eastAsia="Times New Roman" w:hAnsi="Times New Roman" w:cs="Times New Roman"/>
      <w:sz w:val="20"/>
      <w:szCs w:val="20"/>
      <w:lang w:val="en"/>
    </w:rPr>
  </w:style>
  <w:style w:type="paragraph" w:styleId="CommentSubject">
    <w:name w:val="annotation subject"/>
    <w:basedOn w:val="CommentText"/>
    <w:next w:val="CommentText"/>
    <w:link w:val="CommentSubjectChar"/>
    <w:uiPriority w:val="99"/>
    <w:semiHidden/>
    <w:unhideWhenUsed/>
    <w:rsid w:val="00102CAE"/>
    <w:rPr>
      <w:b/>
      <w:bCs/>
    </w:rPr>
  </w:style>
  <w:style w:type="character" w:customStyle="1" w:styleId="CommentSubjectChar">
    <w:name w:val="Comment Subject Char"/>
    <w:basedOn w:val="CommentTextChar"/>
    <w:link w:val="CommentSubject"/>
    <w:uiPriority w:val="99"/>
    <w:semiHidden/>
    <w:rsid w:val="00102CAE"/>
    <w:rPr>
      <w:rFonts w:ascii="Times New Roman" w:eastAsia="Times New Roman" w:hAnsi="Times New Roman" w:cs="Times New Roman"/>
      <w:b/>
      <w:bCs/>
      <w:sz w:val="20"/>
      <w:szCs w:val="20"/>
      <w:lang w:val="en"/>
    </w:rPr>
  </w:style>
  <w:style w:type="paragraph" w:styleId="Revision">
    <w:name w:val="Revision"/>
    <w:hidden/>
    <w:uiPriority w:val="99"/>
    <w:semiHidden/>
    <w:rsid w:val="00102CAE"/>
    <w:pPr>
      <w:spacing w:after="0" w:line="240" w:lineRule="auto"/>
    </w:pPr>
    <w:rPr>
      <w:rFonts w:ascii="Times New Roman" w:eastAsia="Times New Roman" w:hAnsi="Times New Roman" w:cs="Times New Roman"/>
      <w:sz w:val="24"/>
      <w:szCs w:val="24"/>
      <w:lang w:val="en"/>
    </w:rPr>
  </w:style>
  <w:style w:type="paragraph" w:styleId="FootnoteText">
    <w:name w:val="footnote text"/>
    <w:aliases w:val="Geneva 9,Font: Geneva 9,Boston 10,f,ft,Footnote Text Char Char Char Char Char Char,Footnote Text Char Char Char Char1,Footnote Text Char Char Char Char Char1,Footnote Text Char Char Char Char Char"/>
    <w:basedOn w:val="Normal"/>
    <w:link w:val="FootnoteTextChar"/>
    <w:uiPriority w:val="99"/>
    <w:unhideWhenUsed/>
    <w:rsid w:val="00102CAE"/>
    <w:pPr>
      <w:spacing w:after="0" w:line="240" w:lineRule="auto"/>
    </w:pPr>
    <w:rPr>
      <w:rFonts w:ascii="Times New Roman" w:eastAsia="Times New Roman" w:hAnsi="Times New Roman" w:cs="Times New Roman"/>
      <w:sz w:val="20"/>
      <w:szCs w:val="20"/>
      <w:lang w:val="en"/>
    </w:rPr>
  </w:style>
  <w:style w:type="character" w:customStyle="1" w:styleId="FootnoteTextChar">
    <w:name w:val="Footnote Text Char"/>
    <w:aliases w:val="Geneva 9 Char,Font: Geneva 9 Char,Boston 10 Char,f Char,ft Char,Footnote Text Char Char Char Char Char Char Char,Footnote Text Char Char Char Char1 Char,Footnote Text Char Char Char Char Char1 Char"/>
    <w:basedOn w:val="DefaultParagraphFont"/>
    <w:link w:val="FootnoteText"/>
    <w:uiPriority w:val="99"/>
    <w:rsid w:val="00102CAE"/>
    <w:rPr>
      <w:rFonts w:ascii="Times New Roman" w:eastAsia="Times New Roman" w:hAnsi="Times New Roman" w:cs="Times New Roman"/>
      <w:sz w:val="20"/>
      <w:szCs w:val="20"/>
      <w:lang w:val="en"/>
    </w:rPr>
  </w:style>
  <w:style w:type="character" w:styleId="FootnoteReference">
    <w:name w:val="footnote reference"/>
    <w:aliases w:val="16 Point,Superscript 6 Point,ftref,fr"/>
    <w:basedOn w:val="DefaultParagraphFont"/>
    <w:uiPriority w:val="99"/>
    <w:unhideWhenUsed/>
    <w:rsid w:val="00102CAE"/>
    <w:rPr>
      <w:vertAlign w:val="superscript"/>
    </w:rPr>
  </w:style>
  <w:style w:type="numbering" w:customStyle="1" w:styleId="NoList1">
    <w:name w:val="No List1"/>
    <w:next w:val="NoList"/>
    <w:uiPriority w:val="99"/>
    <w:semiHidden/>
    <w:unhideWhenUsed/>
    <w:rsid w:val="00102CAE"/>
  </w:style>
  <w:style w:type="character" w:styleId="FollowedHyperlink">
    <w:name w:val="FollowedHyperlink"/>
    <w:basedOn w:val="DefaultParagraphFont"/>
    <w:uiPriority w:val="99"/>
    <w:semiHidden/>
    <w:unhideWhenUsed/>
    <w:rsid w:val="00102CAE"/>
    <w:rPr>
      <w:color w:val="954F72"/>
      <w:u w:val="single"/>
    </w:rPr>
  </w:style>
  <w:style w:type="paragraph" w:customStyle="1" w:styleId="xl66">
    <w:name w:val="xl66"/>
    <w:basedOn w:val="Normal"/>
    <w:rsid w:val="00102CAE"/>
    <w:pPr>
      <w:spacing w:before="100" w:beforeAutospacing="1" w:after="100" w:afterAutospacing="1" w:line="240" w:lineRule="auto"/>
    </w:pPr>
    <w:rPr>
      <w:rFonts w:ascii="Arial" w:eastAsia="Times New Roman" w:hAnsi="Arial" w:cs="Arial"/>
      <w:sz w:val="24"/>
      <w:szCs w:val="24"/>
    </w:rPr>
  </w:style>
  <w:style w:type="paragraph" w:customStyle="1" w:styleId="xl67">
    <w:name w:val="xl67"/>
    <w:basedOn w:val="Normal"/>
    <w:rsid w:val="00102CAE"/>
    <w:pPr>
      <w:pBdr>
        <w:top w:val="single" w:sz="4" w:space="0" w:color="auto"/>
        <w:left w:val="single" w:sz="4" w:space="0" w:color="auto"/>
        <w:bottom w:val="single" w:sz="4" w:space="0" w:color="auto"/>
        <w:right w:val="single" w:sz="4" w:space="0" w:color="auto"/>
      </w:pBdr>
      <w:shd w:val="clear" w:color="FFFFFF" w:fill="5987D6"/>
      <w:spacing w:before="100" w:beforeAutospacing="1" w:after="100" w:afterAutospacing="1" w:line="240" w:lineRule="auto"/>
      <w:jc w:val="center"/>
      <w:textAlignment w:val="center"/>
    </w:pPr>
    <w:rPr>
      <w:rFonts w:ascii="Times New Roman" w:eastAsia="Times New Roman" w:hAnsi="Times New Roman" w:cs="Times New Roman"/>
      <w:color w:val="FFFFFF"/>
      <w:sz w:val="16"/>
      <w:szCs w:val="16"/>
    </w:rPr>
  </w:style>
  <w:style w:type="paragraph" w:customStyle="1" w:styleId="xl68">
    <w:name w:val="xl68"/>
    <w:basedOn w:val="Normal"/>
    <w:rsid w:val="00102CAE"/>
    <w:pPr>
      <w:pBdr>
        <w:top w:val="single" w:sz="4" w:space="0" w:color="auto"/>
        <w:left w:val="single" w:sz="4" w:space="0" w:color="auto"/>
        <w:bottom w:val="single" w:sz="4" w:space="0" w:color="auto"/>
        <w:right w:val="single" w:sz="4" w:space="0" w:color="auto"/>
      </w:pBdr>
      <w:shd w:val="clear" w:color="FFFFFF" w:fill="D3D3D3"/>
      <w:spacing w:before="100" w:beforeAutospacing="1" w:after="100" w:afterAutospacing="1" w:line="240" w:lineRule="auto"/>
      <w:textAlignment w:val="top"/>
    </w:pPr>
    <w:rPr>
      <w:rFonts w:ascii="Microsoft Sans Serif" w:eastAsia="Times New Roman" w:hAnsi="Microsoft Sans Serif" w:cs="Microsoft Sans Serif"/>
      <w:b/>
      <w:bCs/>
      <w:color w:val="000000"/>
      <w:sz w:val="16"/>
      <w:szCs w:val="16"/>
    </w:rPr>
  </w:style>
  <w:style w:type="paragraph" w:customStyle="1" w:styleId="xl69">
    <w:name w:val="xl69"/>
    <w:basedOn w:val="Normal"/>
    <w:rsid w:val="00102CAE"/>
    <w:pPr>
      <w:pBdr>
        <w:top w:val="single" w:sz="4" w:space="0" w:color="auto"/>
        <w:left w:val="single" w:sz="4" w:space="0" w:color="auto"/>
        <w:bottom w:val="single" w:sz="4" w:space="0" w:color="auto"/>
        <w:right w:val="single" w:sz="4" w:space="0" w:color="auto"/>
      </w:pBdr>
      <w:shd w:val="clear" w:color="FFFFFF" w:fill="90EE90"/>
      <w:spacing w:before="100" w:beforeAutospacing="1" w:after="100" w:afterAutospacing="1" w:line="240" w:lineRule="auto"/>
      <w:jc w:val="right"/>
      <w:textAlignment w:val="top"/>
    </w:pPr>
    <w:rPr>
      <w:rFonts w:ascii="Microsoft Sans Serif" w:eastAsia="Times New Roman" w:hAnsi="Microsoft Sans Serif" w:cs="Microsoft Sans Serif"/>
      <w:color w:val="000000"/>
      <w:sz w:val="16"/>
      <w:szCs w:val="16"/>
    </w:rPr>
  </w:style>
  <w:style w:type="paragraph" w:customStyle="1" w:styleId="xl70">
    <w:name w:val="xl70"/>
    <w:basedOn w:val="Normal"/>
    <w:rsid w:val="00102CAE"/>
    <w:pPr>
      <w:pBdr>
        <w:top w:val="single" w:sz="4" w:space="0" w:color="auto"/>
        <w:left w:val="single" w:sz="4" w:space="0" w:color="auto"/>
        <w:bottom w:val="single" w:sz="4" w:space="0" w:color="auto"/>
        <w:right w:val="single" w:sz="4" w:space="0" w:color="auto"/>
      </w:pBdr>
      <w:shd w:val="clear" w:color="FFFFFF" w:fill="D3D3D3"/>
      <w:spacing w:before="100" w:beforeAutospacing="1" w:after="100" w:afterAutospacing="1" w:line="240" w:lineRule="auto"/>
      <w:textAlignment w:val="top"/>
    </w:pPr>
    <w:rPr>
      <w:rFonts w:ascii="Microsoft Sans Serif" w:eastAsia="Times New Roman" w:hAnsi="Microsoft Sans Serif" w:cs="Microsoft Sans Serif"/>
      <w:color w:val="000000"/>
      <w:sz w:val="16"/>
      <w:szCs w:val="16"/>
    </w:rPr>
  </w:style>
  <w:style w:type="paragraph" w:customStyle="1" w:styleId="xl71">
    <w:name w:val="xl71"/>
    <w:basedOn w:val="Normal"/>
    <w:rsid w:val="00102C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6"/>
      <w:szCs w:val="16"/>
    </w:rPr>
  </w:style>
  <w:style w:type="paragraph" w:customStyle="1" w:styleId="xl72">
    <w:name w:val="xl72"/>
    <w:basedOn w:val="Normal"/>
    <w:rsid w:val="00102CAE"/>
    <w:pPr>
      <w:pBdr>
        <w:top w:val="single" w:sz="4" w:space="0" w:color="auto"/>
        <w:left w:val="single" w:sz="4" w:space="0" w:color="auto"/>
        <w:bottom w:val="single" w:sz="4" w:space="0" w:color="auto"/>
        <w:right w:val="single" w:sz="4" w:space="0" w:color="auto"/>
      </w:pBdr>
      <w:shd w:val="clear" w:color="FFFFFF" w:fill="D3D3D3"/>
      <w:spacing w:before="100" w:beforeAutospacing="1" w:after="100" w:afterAutospacing="1" w:line="240" w:lineRule="auto"/>
      <w:jc w:val="right"/>
      <w:textAlignment w:val="top"/>
    </w:pPr>
    <w:rPr>
      <w:rFonts w:ascii="Microsoft Sans Serif" w:eastAsia="Times New Roman" w:hAnsi="Microsoft Sans Serif" w:cs="Microsoft Sans Serif"/>
      <w:color w:val="000000"/>
      <w:sz w:val="16"/>
      <w:szCs w:val="16"/>
    </w:rPr>
  </w:style>
  <w:style w:type="paragraph" w:customStyle="1" w:styleId="xl73">
    <w:name w:val="xl73"/>
    <w:basedOn w:val="Normal"/>
    <w:rsid w:val="00102C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Normal"/>
    <w:rsid w:val="00102CAE"/>
    <w:pPr>
      <w:pBdr>
        <w:top w:val="single" w:sz="4" w:space="0" w:color="auto"/>
        <w:left w:val="single" w:sz="4" w:space="0" w:color="auto"/>
        <w:bottom w:val="single" w:sz="4" w:space="0" w:color="auto"/>
      </w:pBdr>
      <w:shd w:val="clear" w:color="FFFFFF" w:fill="5987D6"/>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75">
    <w:name w:val="xl75"/>
    <w:basedOn w:val="Normal"/>
    <w:rsid w:val="00102CAE"/>
    <w:pPr>
      <w:pBdr>
        <w:top w:val="single" w:sz="4" w:space="0" w:color="auto"/>
        <w:bottom w:val="single" w:sz="4" w:space="0" w:color="auto"/>
      </w:pBdr>
      <w:shd w:val="clear" w:color="FFFFFF" w:fill="5987D6"/>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76">
    <w:name w:val="xl76"/>
    <w:basedOn w:val="Normal"/>
    <w:rsid w:val="00102CAE"/>
    <w:pPr>
      <w:pBdr>
        <w:top w:val="single" w:sz="4" w:space="0" w:color="auto"/>
        <w:bottom w:val="single" w:sz="4" w:space="0" w:color="auto"/>
        <w:right w:val="single" w:sz="4" w:space="0" w:color="auto"/>
      </w:pBdr>
      <w:shd w:val="clear" w:color="FFFFFF" w:fill="5987D6"/>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77">
    <w:name w:val="xl77"/>
    <w:basedOn w:val="Normal"/>
    <w:rsid w:val="00102CAE"/>
    <w:pPr>
      <w:pBdr>
        <w:top w:val="single" w:sz="4" w:space="0" w:color="auto"/>
        <w:left w:val="single" w:sz="4" w:space="0" w:color="auto"/>
        <w:bottom w:val="single" w:sz="4" w:space="0" w:color="auto"/>
        <w:right w:val="single" w:sz="4" w:space="0" w:color="auto"/>
      </w:pBdr>
      <w:shd w:val="clear" w:color="FFFFFF" w:fill="5987D6"/>
      <w:spacing w:before="100" w:beforeAutospacing="1" w:after="100" w:afterAutospacing="1" w:line="240" w:lineRule="auto"/>
      <w:jc w:val="center"/>
      <w:textAlignment w:val="center"/>
    </w:pPr>
    <w:rPr>
      <w:rFonts w:ascii="Times New Roman" w:eastAsia="Times New Roman" w:hAnsi="Times New Roman" w:cs="Times New Roman"/>
      <w:color w:val="FFFFFF"/>
      <w:sz w:val="16"/>
      <w:szCs w:val="16"/>
    </w:rPr>
  </w:style>
  <w:style w:type="character" w:styleId="PlaceholderText">
    <w:name w:val="Placeholder Text"/>
    <w:basedOn w:val="DefaultParagraphFont"/>
    <w:uiPriority w:val="99"/>
    <w:semiHidden/>
    <w:rsid w:val="00102CAE"/>
    <w:rPr>
      <w:color w:val="808080"/>
    </w:rPr>
  </w:style>
  <w:style w:type="paragraph" w:styleId="Header">
    <w:name w:val="header"/>
    <w:basedOn w:val="Normal"/>
    <w:link w:val="HeaderChar"/>
    <w:uiPriority w:val="99"/>
    <w:unhideWhenUsed/>
    <w:rsid w:val="00102CAE"/>
    <w:pPr>
      <w:tabs>
        <w:tab w:val="center" w:pos="4680"/>
        <w:tab w:val="right" w:pos="9360"/>
      </w:tabs>
      <w:spacing w:after="0" w:line="240" w:lineRule="auto"/>
    </w:pPr>
    <w:rPr>
      <w:rFonts w:ascii="Times New Roman" w:eastAsia="Times New Roman" w:hAnsi="Times New Roman" w:cs="Times New Roman"/>
      <w:sz w:val="24"/>
      <w:szCs w:val="24"/>
      <w:lang w:val="en"/>
    </w:rPr>
  </w:style>
  <w:style w:type="character" w:customStyle="1" w:styleId="HeaderChar">
    <w:name w:val="Header Char"/>
    <w:basedOn w:val="DefaultParagraphFont"/>
    <w:link w:val="Header"/>
    <w:uiPriority w:val="99"/>
    <w:rsid w:val="00102CAE"/>
    <w:rPr>
      <w:rFonts w:ascii="Times New Roman" w:eastAsia="Times New Roman" w:hAnsi="Times New Roman" w:cs="Times New Roman"/>
      <w:sz w:val="24"/>
      <w:szCs w:val="24"/>
      <w:lang w:val="en"/>
    </w:rPr>
  </w:style>
  <w:style w:type="paragraph" w:styleId="Footer">
    <w:name w:val="footer"/>
    <w:basedOn w:val="Normal"/>
    <w:link w:val="FooterChar"/>
    <w:uiPriority w:val="99"/>
    <w:unhideWhenUsed/>
    <w:rsid w:val="00102CAE"/>
    <w:pPr>
      <w:tabs>
        <w:tab w:val="center" w:pos="4680"/>
        <w:tab w:val="right" w:pos="9360"/>
      </w:tabs>
      <w:spacing w:after="0" w:line="240" w:lineRule="auto"/>
    </w:pPr>
    <w:rPr>
      <w:rFonts w:ascii="Times New Roman" w:eastAsia="Times New Roman" w:hAnsi="Times New Roman" w:cs="Times New Roman"/>
      <w:sz w:val="24"/>
      <w:szCs w:val="24"/>
      <w:lang w:val="en"/>
    </w:rPr>
  </w:style>
  <w:style w:type="character" w:customStyle="1" w:styleId="FooterChar">
    <w:name w:val="Footer Char"/>
    <w:basedOn w:val="DefaultParagraphFont"/>
    <w:link w:val="Footer"/>
    <w:uiPriority w:val="99"/>
    <w:rsid w:val="00102CAE"/>
    <w:rPr>
      <w:rFonts w:ascii="Times New Roman" w:eastAsia="Times New Roman" w:hAnsi="Times New Roman" w:cs="Times New Roman"/>
      <w:sz w:val="24"/>
      <w:szCs w:val="24"/>
      <w:lang w:val="en"/>
    </w:rPr>
  </w:style>
  <w:style w:type="paragraph" w:styleId="TableofFigures">
    <w:name w:val="table of figures"/>
    <w:basedOn w:val="Normal"/>
    <w:next w:val="Normal"/>
    <w:link w:val="TableofFiguresChar"/>
    <w:autoRedefine/>
    <w:uiPriority w:val="99"/>
    <w:unhideWhenUsed/>
    <w:rsid w:val="00AA051B"/>
    <w:pPr>
      <w:tabs>
        <w:tab w:val="right" w:pos="9782"/>
      </w:tabs>
      <w:spacing w:after="0"/>
      <w:ind w:left="360"/>
    </w:pPr>
    <w:rPr>
      <w:rFonts w:ascii="Garamond" w:hAnsi="Garamond" w:cstheme="minorHAnsi"/>
      <w:bCs/>
      <w:noProof/>
      <w:sz w:val="24"/>
      <w:szCs w:val="20"/>
    </w:rPr>
  </w:style>
  <w:style w:type="paragraph" w:customStyle="1" w:styleId="xl65">
    <w:name w:val="xl65"/>
    <w:basedOn w:val="Normal"/>
    <w:rsid w:val="00102CAE"/>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3">
    <w:name w:val="xl63"/>
    <w:basedOn w:val="Normal"/>
    <w:rsid w:val="00102CAE"/>
    <w:pPr>
      <w:spacing w:before="100" w:beforeAutospacing="1" w:after="100" w:afterAutospacing="1" w:line="240" w:lineRule="auto"/>
    </w:pPr>
    <w:rPr>
      <w:rFonts w:ascii="Arial" w:eastAsia="Times New Roman" w:hAnsi="Arial" w:cs="Arial"/>
      <w:sz w:val="24"/>
      <w:szCs w:val="24"/>
    </w:rPr>
  </w:style>
  <w:style w:type="paragraph" w:customStyle="1" w:styleId="xl64">
    <w:name w:val="xl64"/>
    <w:basedOn w:val="Normal"/>
    <w:rsid w:val="00102CAE"/>
    <w:pPr>
      <w:pBdr>
        <w:top w:val="single" w:sz="4" w:space="0" w:color="auto"/>
        <w:left w:val="single" w:sz="4" w:space="0" w:color="auto"/>
        <w:bottom w:val="single" w:sz="4" w:space="0" w:color="auto"/>
        <w:right w:val="single" w:sz="4" w:space="0" w:color="auto"/>
      </w:pBdr>
      <w:shd w:val="clear" w:color="FFFFFF" w:fill="5987D6"/>
      <w:spacing w:before="100" w:beforeAutospacing="1" w:after="100" w:afterAutospacing="1" w:line="240" w:lineRule="auto"/>
      <w:jc w:val="center"/>
      <w:textAlignment w:val="center"/>
    </w:pPr>
    <w:rPr>
      <w:rFonts w:ascii="Times New Roman" w:eastAsia="Times New Roman" w:hAnsi="Times New Roman" w:cs="Times New Roman"/>
      <w:color w:val="FFFFFF"/>
      <w:sz w:val="16"/>
      <w:szCs w:val="16"/>
    </w:rPr>
  </w:style>
  <w:style w:type="paragraph" w:styleId="TOC3">
    <w:name w:val="toc 3"/>
    <w:basedOn w:val="Normal"/>
    <w:next w:val="Normal"/>
    <w:autoRedefine/>
    <w:uiPriority w:val="39"/>
    <w:unhideWhenUsed/>
    <w:qFormat/>
    <w:rsid w:val="00102CAE"/>
    <w:pPr>
      <w:spacing w:after="100"/>
      <w:ind w:left="440"/>
    </w:pPr>
    <w:rPr>
      <w:rFonts w:eastAsiaTheme="minorEastAsia"/>
    </w:rPr>
  </w:style>
  <w:style w:type="paragraph" w:styleId="TOC4">
    <w:name w:val="toc 4"/>
    <w:basedOn w:val="Normal"/>
    <w:next w:val="Normal"/>
    <w:autoRedefine/>
    <w:uiPriority w:val="39"/>
    <w:unhideWhenUsed/>
    <w:qFormat/>
    <w:rsid w:val="00102CAE"/>
    <w:pPr>
      <w:spacing w:after="100"/>
      <w:ind w:left="660"/>
    </w:pPr>
    <w:rPr>
      <w:rFonts w:eastAsiaTheme="minorEastAsia"/>
    </w:rPr>
  </w:style>
  <w:style w:type="paragraph" w:styleId="TOC5">
    <w:name w:val="toc 5"/>
    <w:basedOn w:val="Normal"/>
    <w:next w:val="Normal"/>
    <w:autoRedefine/>
    <w:uiPriority w:val="39"/>
    <w:unhideWhenUsed/>
    <w:qFormat/>
    <w:rsid w:val="00102CAE"/>
    <w:pPr>
      <w:spacing w:after="100"/>
      <w:ind w:left="880"/>
    </w:pPr>
    <w:rPr>
      <w:rFonts w:eastAsiaTheme="minorEastAsia"/>
    </w:rPr>
  </w:style>
  <w:style w:type="paragraph" w:styleId="TOC6">
    <w:name w:val="toc 6"/>
    <w:basedOn w:val="Normal"/>
    <w:next w:val="Normal"/>
    <w:autoRedefine/>
    <w:uiPriority w:val="39"/>
    <w:unhideWhenUsed/>
    <w:qFormat/>
    <w:rsid w:val="00102CAE"/>
    <w:pPr>
      <w:spacing w:after="100"/>
      <w:ind w:left="1100"/>
    </w:pPr>
    <w:rPr>
      <w:rFonts w:eastAsiaTheme="minorEastAsia"/>
    </w:rPr>
  </w:style>
  <w:style w:type="paragraph" w:styleId="TOC7">
    <w:name w:val="toc 7"/>
    <w:basedOn w:val="Normal"/>
    <w:next w:val="Normal"/>
    <w:autoRedefine/>
    <w:uiPriority w:val="39"/>
    <w:unhideWhenUsed/>
    <w:rsid w:val="00102CAE"/>
    <w:pPr>
      <w:spacing w:after="100"/>
      <w:ind w:left="1320"/>
    </w:pPr>
    <w:rPr>
      <w:rFonts w:eastAsiaTheme="minorEastAsia"/>
    </w:rPr>
  </w:style>
  <w:style w:type="paragraph" w:styleId="TOC8">
    <w:name w:val="toc 8"/>
    <w:basedOn w:val="Normal"/>
    <w:next w:val="Normal"/>
    <w:autoRedefine/>
    <w:uiPriority w:val="39"/>
    <w:unhideWhenUsed/>
    <w:rsid w:val="00102CAE"/>
    <w:pPr>
      <w:spacing w:after="100"/>
      <w:ind w:left="1540"/>
    </w:pPr>
    <w:rPr>
      <w:rFonts w:eastAsiaTheme="minorEastAsia"/>
    </w:rPr>
  </w:style>
  <w:style w:type="paragraph" w:styleId="TOC9">
    <w:name w:val="toc 9"/>
    <w:basedOn w:val="Normal"/>
    <w:next w:val="Normal"/>
    <w:autoRedefine/>
    <w:uiPriority w:val="39"/>
    <w:unhideWhenUsed/>
    <w:rsid w:val="00102CAE"/>
    <w:pPr>
      <w:spacing w:after="100"/>
      <w:ind w:left="1760"/>
    </w:pPr>
    <w:rPr>
      <w:rFonts w:eastAsiaTheme="minorEastAsia"/>
    </w:rPr>
  </w:style>
  <w:style w:type="paragraph" w:customStyle="1" w:styleId="xl78">
    <w:name w:val="xl78"/>
    <w:basedOn w:val="Normal"/>
    <w:rsid w:val="00102CAE"/>
    <w:pPr>
      <w:pBdr>
        <w:top w:val="single" w:sz="4" w:space="0" w:color="auto"/>
        <w:left w:val="single" w:sz="4" w:space="0" w:color="auto"/>
        <w:bottom w:val="single" w:sz="4" w:space="0" w:color="auto"/>
        <w:right w:val="single" w:sz="4" w:space="0" w:color="auto"/>
      </w:pBdr>
      <w:shd w:val="clear" w:color="FFFFFF" w:fill="D3D3D3"/>
      <w:spacing w:before="100" w:beforeAutospacing="1" w:after="100" w:afterAutospacing="1" w:line="240" w:lineRule="auto"/>
      <w:jc w:val="right"/>
      <w:textAlignment w:val="top"/>
    </w:pPr>
    <w:rPr>
      <w:rFonts w:ascii="Microsoft Sans Serif" w:eastAsia="Times New Roman" w:hAnsi="Microsoft Sans Serif" w:cs="Microsoft Sans Serif"/>
      <w:color w:val="000000"/>
      <w:sz w:val="16"/>
      <w:szCs w:val="16"/>
    </w:rPr>
  </w:style>
  <w:style w:type="paragraph" w:customStyle="1" w:styleId="xl79">
    <w:name w:val="xl79"/>
    <w:basedOn w:val="Normal"/>
    <w:rsid w:val="00102CAE"/>
    <w:pPr>
      <w:pBdr>
        <w:top w:val="single" w:sz="4" w:space="0" w:color="auto"/>
        <w:left w:val="single" w:sz="4" w:space="0" w:color="auto"/>
        <w:bottom w:val="single" w:sz="4" w:space="0" w:color="auto"/>
      </w:pBdr>
      <w:shd w:val="clear" w:color="FFFFFF" w:fill="5987D6"/>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0">
    <w:name w:val="xl80"/>
    <w:basedOn w:val="Normal"/>
    <w:rsid w:val="00102CAE"/>
    <w:pPr>
      <w:pBdr>
        <w:top w:val="single" w:sz="4" w:space="0" w:color="auto"/>
        <w:bottom w:val="single" w:sz="4" w:space="0" w:color="auto"/>
      </w:pBdr>
      <w:shd w:val="clear" w:color="FFFFFF" w:fill="5987D6"/>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1">
    <w:name w:val="xl81"/>
    <w:basedOn w:val="Normal"/>
    <w:rsid w:val="00102CAE"/>
    <w:pPr>
      <w:pBdr>
        <w:top w:val="single" w:sz="4" w:space="0" w:color="auto"/>
        <w:bottom w:val="single" w:sz="4" w:space="0" w:color="auto"/>
        <w:right w:val="single" w:sz="4" w:space="0" w:color="auto"/>
      </w:pBdr>
      <w:shd w:val="clear" w:color="FFFFFF" w:fill="5987D6"/>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2">
    <w:name w:val="xl82"/>
    <w:basedOn w:val="Normal"/>
    <w:rsid w:val="00102CAE"/>
    <w:pPr>
      <w:pBdr>
        <w:top w:val="single" w:sz="4" w:space="0" w:color="auto"/>
        <w:left w:val="single" w:sz="4" w:space="0" w:color="auto"/>
        <w:bottom w:val="single" w:sz="4" w:space="0" w:color="auto"/>
        <w:right w:val="single" w:sz="4" w:space="0" w:color="auto"/>
      </w:pBdr>
      <w:shd w:val="clear" w:color="FFFFFF" w:fill="5987D6"/>
      <w:spacing w:before="100" w:beforeAutospacing="1" w:after="100" w:afterAutospacing="1" w:line="240" w:lineRule="auto"/>
      <w:jc w:val="center"/>
      <w:textAlignment w:val="center"/>
    </w:pPr>
    <w:rPr>
      <w:rFonts w:ascii="Times New Roman" w:eastAsia="Times New Roman" w:hAnsi="Times New Roman" w:cs="Times New Roman"/>
      <w:color w:val="FFFFFF"/>
      <w:sz w:val="16"/>
      <w:szCs w:val="16"/>
    </w:rPr>
  </w:style>
  <w:style w:type="paragraph" w:customStyle="1" w:styleId="xl83">
    <w:name w:val="xl83"/>
    <w:basedOn w:val="Normal"/>
    <w:rsid w:val="00102CAE"/>
    <w:pPr>
      <w:pBdr>
        <w:top w:val="single" w:sz="4" w:space="0" w:color="auto"/>
        <w:left w:val="single" w:sz="4" w:space="0" w:color="auto"/>
        <w:bottom w:val="single" w:sz="4" w:space="0" w:color="auto"/>
        <w:right w:val="single" w:sz="4" w:space="0" w:color="auto"/>
      </w:pBdr>
      <w:shd w:val="clear" w:color="FFFFFF" w:fill="90EE90"/>
      <w:spacing w:before="100" w:beforeAutospacing="1" w:after="100" w:afterAutospacing="1" w:line="240" w:lineRule="auto"/>
      <w:jc w:val="right"/>
      <w:textAlignment w:val="top"/>
    </w:pPr>
    <w:rPr>
      <w:rFonts w:ascii="Microsoft Sans Serif" w:eastAsia="Times New Roman" w:hAnsi="Microsoft Sans Serif" w:cs="Microsoft Sans Serif"/>
      <w:color w:val="000000"/>
      <w:sz w:val="16"/>
      <w:szCs w:val="16"/>
    </w:rPr>
  </w:style>
  <w:style w:type="paragraph" w:customStyle="1" w:styleId="xl84">
    <w:name w:val="xl84"/>
    <w:basedOn w:val="Normal"/>
    <w:rsid w:val="00102C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6"/>
      <w:szCs w:val="16"/>
    </w:rPr>
  </w:style>
  <w:style w:type="paragraph" w:customStyle="1" w:styleId="xl85">
    <w:name w:val="xl85"/>
    <w:basedOn w:val="Normal"/>
    <w:rsid w:val="00102CAE"/>
    <w:pPr>
      <w:pBdr>
        <w:top w:val="single" w:sz="4" w:space="0" w:color="auto"/>
        <w:left w:val="single" w:sz="4" w:space="0" w:color="auto"/>
        <w:bottom w:val="single" w:sz="4" w:space="0" w:color="auto"/>
        <w:right w:val="single" w:sz="4" w:space="0" w:color="auto"/>
      </w:pBdr>
      <w:shd w:val="clear" w:color="FFFFFF" w:fill="A9A9A9"/>
      <w:spacing w:before="100" w:beforeAutospacing="1" w:after="100" w:afterAutospacing="1" w:line="240" w:lineRule="auto"/>
      <w:jc w:val="right"/>
      <w:textAlignment w:val="top"/>
    </w:pPr>
    <w:rPr>
      <w:rFonts w:ascii="Microsoft Sans Serif" w:eastAsia="Times New Roman" w:hAnsi="Microsoft Sans Serif" w:cs="Microsoft Sans Serif"/>
      <w:color w:val="000000"/>
      <w:sz w:val="16"/>
      <w:szCs w:val="16"/>
    </w:rPr>
  </w:style>
  <w:style w:type="paragraph" w:customStyle="1" w:styleId="xl86">
    <w:name w:val="xl86"/>
    <w:basedOn w:val="Normal"/>
    <w:rsid w:val="00102CAE"/>
    <w:pPr>
      <w:pBdr>
        <w:top w:val="single" w:sz="4" w:space="0" w:color="auto"/>
        <w:left w:val="single" w:sz="4" w:space="0" w:color="auto"/>
        <w:bottom w:val="single" w:sz="4" w:space="0" w:color="auto"/>
        <w:right w:val="single" w:sz="4" w:space="0" w:color="auto"/>
      </w:pBdr>
      <w:shd w:val="clear" w:color="FFFFFF" w:fill="FFA07A"/>
      <w:spacing w:before="100" w:beforeAutospacing="1" w:after="100" w:afterAutospacing="1" w:line="240" w:lineRule="auto"/>
      <w:jc w:val="right"/>
      <w:textAlignment w:val="top"/>
    </w:pPr>
    <w:rPr>
      <w:rFonts w:ascii="Microsoft Sans Serif" w:eastAsia="Times New Roman" w:hAnsi="Microsoft Sans Serif" w:cs="Microsoft Sans Serif"/>
      <w:color w:val="000000"/>
      <w:sz w:val="16"/>
      <w:szCs w:val="16"/>
    </w:rPr>
  </w:style>
  <w:style w:type="paragraph" w:customStyle="1" w:styleId="xl87">
    <w:name w:val="xl87"/>
    <w:basedOn w:val="Normal"/>
    <w:rsid w:val="00102CAE"/>
    <w:pPr>
      <w:pBdr>
        <w:top w:val="single" w:sz="4" w:space="0" w:color="auto"/>
        <w:left w:val="single" w:sz="4" w:space="0" w:color="auto"/>
        <w:bottom w:val="single" w:sz="4" w:space="0" w:color="auto"/>
        <w:right w:val="single" w:sz="4" w:space="0" w:color="auto"/>
      </w:pBdr>
      <w:shd w:val="clear" w:color="FFFFFF" w:fill="D3D3D3"/>
      <w:spacing w:before="100" w:beforeAutospacing="1" w:after="100" w:afterAutospacing="1" w:line="240" w:lineRule="auto"/>
      <w:jc w:val="right"/>
      <w:textAlignment w:val="top"/>
    </w:pPr>
    <w:rPr>
      <w:rFonts w:ascii="Microsoft Sans Serif" w:eastAsia="Times New Roman" w:hAnsi="Microsoft Sans Serif" w:cs="Microsoft Sans Serif"/>
      <w:color w:val="000000"/>
      <w:sz w:val="16"/>
      <w:szCs w:val="16"/>
    </w:rPr>
  </w:style>
  <w:style w:type="paragraph" w:customStyle="1" w:styleId="font5">
    <w:name w:val="font5"/>
    <w:basedOn w:val="Normal"/>
    <w:rsid w:val="00102CAE"/>
    <w:pPr>
      <w:spacing w:before="100" w:beforeAutospacing="1" w:after="100" w:afterAutospacing="1" w:line="240" w:lineRule="auto"/>
    </w:pPr>
    <w:rPr>
      <w:rFonts w:ascii="Arial" w:eastAsia="Times New Roman" w:hAnsi="Arial" w:cs="Arial"/>
      <w:color w:val="FFFFFF"/>
      <w:sz w:val="16"/>
      <w:szCs w:val="16"/>
    </w:rPr>
  </w:style>
  <w:style w:type="paragraph" w:styleId="Quote">
    <w:name w:val="Quote"/>
    <w:basedOn w:val="Normal"/>
    <w:next w:val="Normal"/>
    <w:link w:val="QuoteChar"/>
    <w:uiPriority w:val="29"/>
    <w:qFormat/>
    <w:rsid w:val="00102CAE"/>
    <w:pPr>
      <w:spacing w:before="200" w:line="276" w:lineRule="auto"/>
      <w:ind w:left="864" w:right="864"/>
      <w:jc w:val="center"/>
    </w:pPr>
    <w:rPr>
      <w:rFonts w:ascii="Arial" w:eastAsia="Arial" w:hAnsi="Arial" w:cs="Arial"/>
      <w:i/>
      <w:iCs/>
      <w:color w:val="404040" w:themeColor="text1" w:themeTint="BF"/>
      <w:lang w:val="en"/>
    </w:rPr>
  </w:style>
  <w:style w:type="character" w:customStyle="1" w:styleId="QuoteChar">
    <w:name w:val="Quote Char"/>
    <w:basedOn w:val="DefaultParagraphFont"/>
    <w:link w:val="Quote"/>
    <w:uiPriority w:val="29"/>
    <w:rsid w:val="00102CAE"/>
    <w:rPr>
      <w:rFonts w:ascii="Arial" w:eastAsia="Arial" w:hAnsi="Arial" w:cs="Arial"/>
      <w:i/>
      <w:iCs/>
      <w:color w:val="404040" w:themeColor="text1" w:themeTint="BF"/>
      <w:lang w:val="en"/>
    </w:rPr>
  </w:style>
  <w:style w:type="paragraph" w:customStyle="1" w:styleId="xl88">
    <w:name w:val="xl88"/>
    <w:basedOn w:val="Normal"/>
    <w:rsid w:val="00102CAE"/>
    <w:pPr>
      <w:pBdr>
        <w:bottom w:val="single" w:sz="8" w:space="0" w:color="auto"/>
        <w:right w:val="single" w:sz="8" w:space="0" w:color="auto"/>
      </w:pBdr>
      <w:shd w:val="clear" w:color="000000" w:fill="90EE90"/>
      <w:spacing w:before="100" w:beforeAutospacing="1" w:after="100" w:afterAutospacing="1" w:line="240" w:lineRule="auto"/>
      <w:jc w:val="right"/>
      <w:textAlignment w:val="center"/>
    </w:pPr>
    <w:rPr>
      <w:rFonts w:ascii="Garamond" w:eastAsia="Times New Roman" w:hAnsi="Garamond" w:cs="Times New Roman"/>
      <w:color w:val="000000"/>
      <w:sz w:val="20"/>
      <w:szCs w:val="20"/>
    </w:rPr>
  </w:style>
  <w:style w:type="paragraph" w:customStyle="1" w:styleId="xl89">
    <w:name w:val="xl89"/>
    <w:basedOn w:val="Normal"/>
    <w:rsid w:val="00102CAE"/>
    <w:pPr>
      <w:pBdr>
        <w:bottom w:val="single" w:sz="8" w:space="0" w:color="auto"/>
        <w:right w:val="single" w:sz="8" w:space="0" w:color="auto"/>
      </w:pBdr>
      <w:spacing w:before="100" w:beforeAutospacing="1" w:after="100" w:afterAutospacing="1" w:line="240" w:lineRule="auto"/>
      <w:jc w:val="right"/>
      <w:textAlignment w:val="center"/>
    </w:pPr>
    <w:rPr>
      <w:rFonts w:ascii="Garamond" w:eastAsia="Times New Roman" w:hAnsi="Garamond" w:cs="Times New Roman"/>
      <w:color w:val="000000"/>
      <w:sz w:val="20"/>
      <w:szCs w:val="20"/>
    </w:rPr>
  </w:style>
  <w:style w:type="paragraph" w:customStyle="1" w:styleId="xl90">
    <w:name w:val="xl90"/>
    <w:basedOn w:val="Normal"/>
    <w:rsid w:val="00102CAE"/>
    <w:pPr>
      <w:pBdr>
        <w:bottom w:val="single" w:sz="8" w:space="0" w:color="auto"/>
        <w:right w:val="single" w:sz="8" w:space="0" w:color="auto"/>
      </w:pBdr>
      <w:spacing w:before="100" w:beforeAutospacing="1" w:after="100" w:afterAutospacing="1" w:line="240" w:lineRule="auto"/>
      <w:jc w:val="right"/>
      <w:textAlignment w:val="center"/>
    </w:pPr>
    <w:rPr>
      <w:rFonts w:ascii="Garamond" w:eastAsia="Times New Roman" w:hAnsi="Garamond" w:cs="Times New Roman"/>
      <w:color w:val="000000"/>
      <w:sz w:val="20"/>
      <w:szCs w:val="20"/>
    </w:rPr>
  </w:style>
  <w:style w:type="paragraph" w:customStyle="1" w:styleId="xl91">
    <w:name w:val="xl91"/>
    <w:basedOn w:val="Normal"/>
    <w:rsid w:val="00102CAE"/>
    <w:pPr>
      <w:pBdr>
        <w:bottom w:val="single" w:sz="8" w:space="0" w:color="auto"/>
        <w:right w:val="single" w:sz="8" w:space="0" w:color="auto"/>
      </w:pBdr>
      <w:shd w:val="clear" w:color="000000" w:fill="FFFFFF"/>
      <w:spacing w:before="100" w:beforeAutospacing="1" w:after="100" w:afterAutospacing="1" w:line="240" w:lineRule="auto"/>
      <w:jc w:val="right"/>
      <w:textAlignment w:val="center"/>
    </w:pPr>
    <w:rPr>
      <w:rFonts w:ascii="Garamond" w:eastAsia="Times New Roman" w:hAnsi="Garamond" w:cs="Times New Roman"/>
      <w:color w:val="000000"/>
      <w:sz w:val="20"/>
      <w:szCs w:val="20"/>
    </w:rPr>
  </w:style>
  <w:style w:type="paragraph" w:customStyle="1" w:styleId="xl92">
    <w:name w:val="xl92"/>
    <w:basedOn w:val="Normal"/>
    <w:rsid w:val="00102CAE"/>
    <w:pPr>
      <w:pBdr>
        <w:bottom w:val="single" w:sz="8" w:space="0" w:color="auto"/>
        <w:right w:val="single" w:sz="8" w:space="0" w:color="auto"/>
      </w:pBdr>
      <w:shd w:val="clear" w:color="000000" w:fill="FFFFFF"/>
      <w:spacing w:before="100" w:beforeAutospacing="1" w:after="100" w:afterAutospacing="1" w:line="240" w:lineRule="auto"/>
      <w:jc w:val="right"/>
      <w:textAlignment w:val="center"/>
    </w:pPr>
    <w:rPr>
      <w:rFonts w:ascii="Garamond" w:eastAsia="Times New Roman" w:hAnsi="Garamond" w:cs="Times New Roman"/>
      <w:color w:val="000000"/>
      <w:sz w:val="20"/>
      <w:szCs w:val="20"/>
    </w:rPr>
  </w:style>
  <w:style w:type="paragraph" w:customStyle="1" w:styleId="xl93">
    <w:name w:val="xl93"/>
    <w:basedOn w:val="Normal"/>
    <w:rsid w:val="00102CAE"/>
    <w:pPr>
      <w:pBdr>
        <w:bottom w:val="single" w:sz="8" w:space="0" w:color="auto"/>
        <w:right w:val="single" w:sz="8" w:space="0" w:color="auto"/>
      </w:pBdr>
      <w:shd w:val="clear" w:color="000000" w:fill="FFFFFF"/>
      <w:spacing w:before="100" w:beforeAutospacing="1" w:after="100" w:afterAutospacing="1" w:line="240" w:lineRule="auto"/>
      <w:jc w:val="right"/>
      <w:textAlignment w:val="center"/>
    </w:pPr>
    <w:rPr>
      <w:rFonts w:ascii="Microsoft Sans Serif" w:eastAsia="Times New Roman" w:hAnsi="Microsoft Sans Serif" w:cs="Microsoft Sans Serif"/>
      <w:color w:val="000000"/>
      <w:sz w:val="16"/>
      <w:szCs w:val="16"/>
    </w:rPr>
  </w:style>
  <w:style w:type="paragraph" w:customStyle="1" w:styleId="xl94">
    <w:name w:val="xl94"/>
    <w:basedOn w:val="Normal"/>
    <w:rsid w:val="00102CAE"/>
    <w:pPr>
      <w:pBdr>
        <w:bottom w:val="single" w:sz="8" w:space="0" w:color="auto"/>
        <w:right w:val="single" w:sz="8" w:space="0" w:color="auto"/>
      </w:pBdr>
      <w:spacing w:before="100" w:beforeAutospacing="1" w:after="100" w:afterAutospacing="1" w:line="240" w:lineRule="auto"/>
      <w:jc w:val="right"/>
      <w:textAlignment w:val="center"/>
    </w:pPr>
    <w:rPr>
      <w:rFonts w:ascii="Microsoft Sans Serif" w:eastAsia="Times New Roman" w:hAnsi="Microsoft Sans Serif" w:cs="Microsoft Sans Serif"/>
      <w:color w:val="000000"/>
      <w:sz w:val="16"/>
      <w:szCs w:val="16"/>
    </w:rPr>
  </w:style>
  <w:style w:type="paragraph" w:customStyle="1" w:styleId="xl95">
    <w:name w:val="xl95"/>
    <w:basedOn w:val="Normal"/>
    <w:rsid w:val="00102CAE"/>
    <w:pPr>
      <w:pBdr>
        <w:top w:val="single" w:sz="8" w:space="0" w:color="auto"/>
        <w:bottom w:val="single" w:sz="8" w:space="0" w:color="auto"/>
        <w:right w:val="single" w:sz="8" w:space="0" w:color="auto"/>
      </w:pBdr>
      <w:shd w:val="clear" w:color="000000" w:fill="33CC33"/>
      <w:spacing w:before="100" w:beforeAutospacing="1" w:after="100" w:afterAutospacing="1" w:line="240" w:lineRule="auto"/>
      <w:jc w:val="right"/>
      <w:textAlignment w:val="center"/>
    </w:pPr>
    <w:rPr>
      <w:rFonts w:ascii="Garamond" w:eastAsia="Times New Roman" w:hAnsi="Garamond" w:cs="Times New Roman"/>
      <w:color w:val="000000"/>
      <w:sz w:val="20"/>
      <w:szCs w:val="20"/>
    </w:rPr>
  </w:style>
  <w:style w:type="paragraph" w:customStyle="1" w:styleId="xl96">
    <w:name w:val="xl96"/>
    <w:basedOn w:val="Normal"/>
    <w:rsid w:val="00102CAE"/>
    <w:pPr>
      <w:pBdr>
        <w:bottom w:val="single" w:sz="8" w:space="0" w:color="auto"/>
        <w:right w:val="single" w:sz="8" w:space="0" w:color="auto"/>
      </w:pBdr>
      <w:shd w:val="clear" w:color="000000" w:fill="33CC33"/>
      <w:spacing w:before="100" w:beforeAutospacing="1" w:after="100" w:afterAutospacing="1" w:line="240" w:lineRule="auto"/>
      <w:jc w:val="right"/>
      <w:textAlignment w:val="center"/>
    </w:pPr>
    <w:rPr>
      <w:rFonts w:ascii="Garamond" w:eastAsia="Times New Roman" w:hAnsi="Garamond" w:cs="Times New Roman"/>
      <w:color w:val="000000"/>
      <w:sz w:val="20"/>
      <w:szCs w:val="20"/>
    </w:rPr>
  </w:style>
  <w:style w:type="paragraph" w:customStyle="1" w:styleId="xl97">
    <w:name w:val="xl97"/>
    <w:basedOn w:val="Normal"/>
    <w:rsid w:val="00102CAE"/>
    <w:pPr>
      <w:pBdr>
        <w:bottom w:val="single" w:sz="8" w:space="0" w:color="auto"/>
        <w:right w:val="single" w:sz="8" w:space="0" w:color="auto"/>
      </w:pBdr>
      <w:shd w:val="clear" w:color="000000" w:fill="90EE90"/>
      <w:spacing w:before="100" w:beforeAutospacing="1" w:after="100" w:afterAutospacing="1" w:line="240" w:lineRule="auto"/>
      <w:jc w:val="right"/>
      <w:textAlignment w:val="center"/>
    </w:pPr>
    <w:rPr>
      <w:rFonts w:ascii="Microsoft Sans Serif" w:eastAsia="Times New Roman" w:hAnsi="Microsoft Sans Serif" w:cs="Microsoft Sans Serif"/>
      <w:color w:val="000000"/>
      <w:sz w:val="16"/>
      <w:szCs w:val="16"/>
    </w:rPr>
  </w:style>
  <w:style w:type="paragraph" w:customStyle="1" w:styleId="xl98">
    <w:name w:val="xl98"/>
    <w:basedOn w:val="Normal"/>
    <w:rsid w:val="00102CAE"/>
    <w:pPr>
      <w:pBdr>
        <w:top w:val="single" w:sz="4" w:space="0" w:color="auto"/>
        <w:left w:val="single" w:sz="4" w:space="0" w:color="auto"/>
        <w:bottom w:val="single" w:sz="4" w:space="0" w:color="auto"/>
        <w:right w:val="single" w:sz="4" w:space="0" w:color="auto"/>
      </w:pBdr>
      <w:shd w:val="clear" w:color="000000" w:fill="00CC66"/>
      <w:spacing w:before="100" w:beforeAutospacing="1" w:after="100" w:afterAutospacing="1" w:line="240" w:lineRule="auto"/>
      <w:jc w:val="right"/>
      <w:textAlignment w:val="center"/>
    </w:pPr>
    <w:rPr>
      <w:rFonts w:ascii="Garamond" w:eastAsia="Times New Roman" w:hAnsi="Garamond" w:cs="Times New Roman"/>
      <w:color w:val="000000"/>
      <w:sz w:val="20"/>
      <w:szCs w:val="20"/>
    </w:rPr>
  </w:style>
  <w:style w:type="paragraph" w:customStyle="1" w:styleId="xl99">
    <w:name w:val="xl99"/>
    <w:basedOn w:val="Normal"/>
    <w:rsid w:val="00102CAE"/>
    <w:pPr>
      <w:pBdr>
        <w:top w:val="single" w:sz="4" w:space="0" w:color="auto"/>
        <w:left w:val="single" w:sz="4" w:space="0" w:color="auto"/>
        <w:bottom w:val="single" w:sz="4" w:space="0" w:color="auto"/>
        <w:right w:val="single" w:sz="4" w:space="0" w:color="auto"/>
      </w:pBdr>
      <w:shd w:val="clear" w:color="000000" w:fill="00CC66"/>
      <w:spacing w:before="100" w:beforeAutospacing="1" w:after="100" w:afterAutospacing="1" w:line="240" w:lineRule="auto"/>
      <w:jc w:val="right"/>
      <w:textAlignment w:val="center"/>
    </w:pPr>
    <w:rPr>
      <w:rFonts w:ascii="Garamond" w:eastAsia="Times New Roman" w:hAnsi="Garamond" w:cs="Times New Roman"/>
      <w:color w:val="000000"/>
      <w:sz w:val="20"/>
      <w:szCs w:val="20"/>
    </w:rPr>
  </w:style>
  <w:style w:type="paragraph" w:customStyle="1" w:styleId="font6">
    <w:name w:val="font6"/>
    <w:basedOn w:val="Normal"/>
    <w:rsid w:val="00102CAE"/>
    <w:pPr>
      <w:spacing w:before="100" w:beforeAutospacing="1" w:after="100" w:afterAutospacing="1" w:line="240" w:lineRule="auto"/>
    </w:pPr>
    <w:rPr>
      <w:rFonts w:ascii="Garamond" w:eastAsia="Times New Roman" w:hAnsi="Garamond" w:cs="Times New Roman"/>
      <w:color w:val="FFFFFF"/>
      <w:sz w:val="18"/>
      <w:szCs w:val="18"/>
    </w:rPr>
  </w:style>
  <w:style w:type="character" w:customStyle="1" w:styleId="Heading8Char">
    <w:name w:val="Heading 8 Char"/>
    <w:basedOn w:val="DefaultParagraphFont"/>
    <w:link w:val="Heading8"/>
    <w:uiPriority w:val="1"/>
    <w:rsid w:val="00245464"/>
    <w:rPr>
      <w:rFonts w:ascii="Garamond" w:eastAsia="Calibri" w:hAnsi="Garamond" w:cs="Times New Roman"/>
      <w:i/>
      <w:color w:val="C00000"/>
      <w:sz w:val="24"/>
      <w:szCs w:val="24"/>
    </w:rPr>
  </w:style>
  <w:style w:type="character" w:customStyle="1" w:styleId="Heading9Char">
    <w:name w:val="Heading 9 Char"/>
    <w:basedOn w:val="DefaultParagraphFont"/>
    <w:link w:val="Heading9"/>
    <w:uiPriority w:val="1"/>
    <w:rsid w:val="00245464"/>
    <w:rPr>
      <w:rFonts w:ascii="Garamond" w:eastAsia="Calibri" w:hAnsi="Garamond" w:cs="Times New Roman"/>
      <w:b/>
      <w:sz w:val="20"/>
      <w:szCs w:val="20"/>
    </w:rPr>
  </w:style>
  <w:style w:type="numbering" w:customStyle="1" w:styleId="NoList2">
    <w:name w:val="No List2"/>
    <w:next w:val="NoList"/>
    <w:uiPriority w:val="99"/>
    <w:semiHidden/>
    <w:unhideWhenUsed/>
    <w:rsid w:val="00245464"/>
  </w:style>
  <w:style w:type="paragraph" w:styleId="BodyTextIndent">
    <w:name w:val="Body Text Indent"/>
    <w:basedOn w:val="Normal"/>
    <w:link w:val="BodyTextIndentChar"/>
    <w:uiPriority w:val="99"/>
    <w:unhideWhenUsed/>
    <w:rsid w:val="00245464"/>
    <w:pPr>
      <w:spacing w:after="0" w:line="240" w:lineRule="auto"/>
      <w:ind w:left="720"/>
    </w:pPr>
    <w:rPr>
      <w:rFonts w:ascii="Times New Roman" w:eastAsia="Calibri" w:hAnsi="Times New Roman" w:cs="Times New Roman"/>
      <w:sz w:val="24"/>
      <w:szCs w:val="24"/>
    </w:rPr>
  </w:style>
  <w:style w:type="character" w:customStyle="1" w:styleId="BodyTextIndentChar">
    <w:name w:val="Body Text Indent Char"/>
    <w:basedOn w:val="DefaultParagraphFont"/>
    <w:link w:val="BodyTextIndent"/>
    <w:uiPriority w:val="99"/>
    <w:rsid w:val="00245464"/>
    <w:rPr>
      <w:rFonts w:ascii="Times New Roman" w:eastAsia="Calibri" w:hAnsi="Times New Roman" w:cs="Times New Roman"/>
      <w:sz w:val="24"/>
      <w:szCs w:val="24"/>
    </w:rPr>
  </w:style>
  <w:style w:type="paragraph" w:customStyle="1" w:styleId="RegHChG">
    <w:name w:val="Reg_H__Ch_G"/>
    <w:basedOn w:val="Normal"/>
    <w:next w:val="RegH1G"/>
    <w:rsid w:val="00245464"/>
    <w:pPr>
      <w:keepNext/>
      <w:keepLines/>
      <w:numPr>
        <w:ilvl w:val="1"/>
        <w:numId w:val="4"/>
      </w:numPr>
      <w:suppressAutoHyphens/>
      <w:spacing w:before="360" w:after="240" w:line="300" w:lineRule="exact"/>
      <w:ind w:right="1134"/>
    </w:pPr>
    <w:rPr>
      <w:rFonts w:ascii="Times New Roman" w:eastAsia="SimSun" w:hAnsi="Times New Roman" w:cs="Times New Roman"/>
      <w:b/>
      <w:sz w:val="28"/>
      <w:szCs w:val="20"/>
      <w:lang w:val="en-GB" w:eastAsia="zh-CN"/>
    </w:rPr>
  </w:style>
  <w:style w:type="paragraph" w:customStyle="1" w:styleId="RegH1G">
    <w:name w:val="Reg_H_1_G"/>
    <w:basedOn w:val="Normal"/>
    <w:next w:val="RegH23G"/>
    <w:rsid w:val="00245464"/>
    <w:pPr>
      <w:keepNext/>
      <w:keepLines/>
      <w:tabs>
        <w:tab w:val="num" w:pos="1135"/>
      </w:tabs>
      <w:suppressAutoHyphens/>
      <w:spacing w:before="360" w:after="240" w:line="270" w:lineRule="exact"/>
      <w:ind w:left="1135" w:right="1134" w:hanging="284"/>
    </w:pPr>
    <w:rPr>
      <w:rFonts w:ascii="Times New Roman" w:eastAsia="SimSun" w:hAnsi="Times New Roman" w:cs="Times New Roman"/>
      <w:b/>
      <w:sz w:val="24"/>
      <w:szCs w:val="20"/>
      <w:lang w:val="en-GB" w:eastAsia="zh-CN"/>
    </w:rPr>
  </w:style>
  <w:style w:type="paragraph" w:customStyle="1" w:styleId="RegH23G">
    <w:name w:val="Reg_H_2/3_G"/>
    <w:basedOn w:val="Normal"/>
    <w:next w:val="RegSingleTxtG"/>
    <w:rsid w:val="00245464"/>
    <w:pPr>
      <w:keepNext/>
      <w:keepLines/>
      <w:tabs>
        <w:tab w:val="num" w:pos="852"/>
      </w:tabs>
      <w:suppressAutoHyphens/>
      <w:spacing w:before="240" w:after="120" w:line="240" w:lineRule="exact"/>
      <w:ind w:left="852" w:right="1134" w:hanging="284"/>
    </w:pPr>
    <w:rPr>
      <w:rFonts w:ascii="Times New Roman" w:eastAsia="SimSun" w:hAnsi="Times New Roman" w:cs="Times New Roman"/>
      <w:b/>
      <w:sz w:val="20"/>
      <w:szCs w:val="20"/>
      <w:lang w:val="en-GB" w:eastAsia="zh-CN"/>
    </w:rPr>
  </w:style>
  <w:style w:type="paragraph" w:customStyle="1" w:styleId="RegSingleTxtG">
    <w:name w:val="Reg_Single Txt_G"/>
    <w:basedOn w:val="Normal"/>
    <w:rsid w:val="00245464"/>
    <w:pPr>
      <w:tabs>
        <w:tab w:val="num" w:pos="709"/>
        <w:tab w:val="left" w:pos="1701"/>
      </w:tabs>
      <w:suppressAutoHyphens/>
      <w:spacing w:after="120" w:line="240" w:lineRule="atLeast"/>
      <w:ind w:left="1276" w:right="1134"/>
      <w:jc w:val="both"/>
    </w:pPr>
    <w:rPr>
      <w:rFonts w:ascii="Times New Roman" w:eastAsia="SimSun" w:hAnsi="Times New Roman" w:cs="Times New Roman"/>
      <w:sz w:val="20"/>
      <w:szCs w:val="20"/>
      <w:lang w:val="en-GB" w:eastAsia="zh-CN"/>
    </w:rPr>
  </w:style>
  <w:style w:type="paragraph" w:styleId="BodyText">
    <w:name w:val="Body Text"/>
    <w:basedOn w:val="Normal"/>
    <w:link w:val="BodyTextChar"/>
    <w:uiPriority w:val="1"/>
    <w:unhideWhenUsed/>
    <w:qFormat/>
    <w:rsid w:val="00245464"/>
    <w:rPr>
      <w:rFonts w:ascii="Tahoma" w:eastAsia="Calibri" w:hAnsi="Tahoma" w:cs="Tahoma"/>
      <w:i/>
      <w:sz w:val="20"/>
      <w:szCs w:val="20"/>
    </w:rPr>
  </w:style>
  <w:style w:type="character" w:customStyle="1" w:styleId="BodyTextChar">
    <w:name w:val="Body Text Char"/>
    <w:basedOn w:val="DefaultParagraphFont"/>
    <w:link w:val="BodyText"/>
    <w:uiPriority w:val="1"/>
    <w:rsid w:val="00245464"/>
    <w:rPr>
      <w:rFonts w:ascii="Tahoma" w:eastAsia="Calibri" w:hAnsi="Tahoma" w:cs="Tahoma"/>
      <w:i/>
      <w:sz w:val="20"/>
      <w:szCs w:val="20"/>
    </w:rPr>
  </w:style>
  <w:style w:type="table" w:customStyle="1" w:styleId="TableGrid1">
    <w:name w:val="Table Grid1"/>
    <w:basedOn w:val="TableNormal"/>
    <w:next w:val="TableGrid"/>
    <w:uiPriority w:val="59"/>
    <w:rsid w:val="0024546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TableNormal"/>
    <w:uiPriority w:val="49"/>
    <w:rsid w:val="00245464"/>
    <w:pPr>
      <w:spacing w:after="0" w:line="240" w:lineRule="auto"/>
    </w:pPr>
    <w:rPr>
      <w:rFonts w:ascii="Calibri" w:eastAsia="Calibri" w:hAnsi="Calibri" w:cs="Times New Roman"/>
      <w:sz w:val="20"/>
      <w:szCs w:val="20"/>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BodyText3">
    <w:name w:val="Body Text 3"/>
    <w:basedOn w:val="Normal"/>
    <w:link w:val="BodyText3Char"/>
    <w:uiPriority w:val="99"/>
    <w:unhideWhenUsed/>
    <w:rsid w:val="00245464"/>
    <w:pPr>
      <w:spacing w:after="120"/>
    </w:pPr>
    <w:rPr>
      <w:rFonts w:ascii="Calibri" w:eastAsia="Calibri" w:hAnsi="Calibri" w:cs="Times New Roman"/>
      <w:sz w:val="16"/>
      <w:szCs w:val="16"/>
    </w:rPr>
  </w:style>
  <w:style w:type="character" w:customStyle="1" w:styleId="BodyText3Char">
    <w:name w:val="Body Text 3 Char"/>
    <w:basedOn w:val="DefaultParagraphFont"/>
    <w:link w:val="BodyText3"/>
    <w:uiPriority w:val="99"/>
    <w:rsid w:val="00245464"/>
    <w:rPr>
      <w:rFonts w:ascii="Calibri" w:eastAsia="Calibri" w:hAnsi="Calibri" w:cs="Times New Roman"/>
      <w:sz w:val="16"/>
      <w:szCs w:val="16"/>
    </w:rPr>
  </w:style>
  <w:style w:type="character" w:customStyle="1" w:styleId="ListParagraphChar">
    <w:name w:val="List Paragraph Char"/>
    <w:aliases w:val="List Paragraph (numbered (a)) Char,List Paragraph1 Char,Lapis Bulleted List Char,Dot pt Char,F5 List Paragraph Char,No Spacing1 Char,List Paragraph Char Char Char Char,Indicator Text Char,Numbered Para 1 Char,Bullet 1 Char,L Char"/>
    <w:link w:val="ListParagraph"/>
    <w:uiPriority w:val="34"/>
    <w:qFormat/>
    <w:locked/>
    <w:rsid w:val="00245464"/>
    <w:rPr>
      <w:rFonts w:ascii="Times New Roman" w:eastAsia="Times New Roman" w:hAnsi="Times New Roman" w:cs="Times New Roman"/>
      <w:sz w:val="24"/>
      <w:szCs w:val="24"/>
      <w:lang w:val="en"/>
    </w:rPr>
  </w:style>
  <w:style w:type="paragraph" w:styleId="BodyText2">
    <w:name w:val="Body Text 2"/>
    <w:basedOn w:val="Normal"/>
    <w:link w:val="BodyText2Char"/>
    <w:uiPriority w:val="99"/>
    <w:unhideWhenUsed/>
    <w:rsid w:val="00245464"/>
    <w:pPr>
      <w:jc w:val="center"/>
    </w:pPr>
    <w:rPr>
      <w:rFonts w:ascii="Arial Narrow" w:eastAsia="Calibri" w:hAnsi="Arial Narrow" w:cs="Times New Roman"/>
      <w:b/>
      <w:sz w:val="24"/>
      <w:szCs w:val="24"/>
    </w:rPr>
  </w:style>
  <w:style w:type="character" w:customStyle="1" w:styleId="BodyText2Char">
    <w:name w:val="Body Text 2 Char"/>
    <w:basedOn w:val="DefaultParagraphFont"/>
    <w:link w:val="BodyText2"/>
    <w:uiPriority w:val="99"/>
    <w:rsid w:val="00245464"/>
    <w:rPr>
      <w:rFonts w:ascii="Arial Narrow" w:eastAsia="Calibri" w:hAnsi="Arial Narrow" w:cs="Times New Roman"/>
      <w:b/>
      <w:sz w:val="24"/>
      <w:szCs w:val="24"/>
    </w:rPr>
  </w:style>
  <w:style w:type="paragraph" w:styleId="EndnoteText">
    <w:name w:val="endnote text"/>
    <w:basedOn w:val="Normal"/>
    <w:link w:val="EndnoteTextChar"/>
    <w:uiPriority w:val="99"/>
    <w:unhideWhenUsed/>
    <w:rsid w:val="00245464"/>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en-GB" w:eastAsia="da-DK"/>
    </w:rPr>
  </w:style>
  <w:style w:type="character" w:customStyle="1" w:styleId="EndnoteTextChar">
    <w:name w:val="Endnote Text Char"/>
    <w:basedOn w:val="DefaultParagraphFont"/>
    <w:link w:val="EndnoteText"/>
    <w:uiPriority w:val="99"/>
    <w:rsid w:val="00245464"/>
    <w:rPr>
      <w:rFonts w:ascii="Times New Roman" w:eastAsia="Times New Roman" w:hAnsi="Times New Roman" w:cs="Times New Roman"/>
      <w:sz w:val="20"/>
      <w:szCs w:val="20"/>
      <w:lang w:val="en-GB" w:eastAsia="da-DK"/>
    </w:rPr>
  </w:style>
  <w:style w:type="character" w:styleId="Emphasis">
    <w:name w:val="Emphasis"/>
    <w:basedOn w:val="DefaultParagraphFont"/>
    <w:uiPriority w:val="20"/>
    <w:qFormat/>
    <w:rsid w:val="00245464"/>
    <w:rPr>
      <w:i/>
      <w:iCs/>
    </w:rPr>
  </w:style>
  <w:style w:type="table" w:customStyle="1" w:styleId="TableGrid11">
    <w:name w:val="Table Grid11"/>
    <w:basedOn w:val="TableNormal"/>
    <w:next w:val="TableGrid"/>
    <w:uiPriority w:val="59"/>
    <w:rsid w:val="0024546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34">
    <w:name w:val="Pa34"/>
    <w:basedOn w:val="Default"/>
    <w:next w:val="Default"/>
    <w:uiPriority w:val="99"/>
    <w:rsid w:val="00245464"/>
    <w:pPr>
      <w:spacing w:line="201" w:lineRule="atLeast"/>
    </w:pPr>
    <w:rPr>
      <w:rFonts w:ascii="Arno Pro" w:eastAsia="Calibri" w:hAnsi="Arno Pro" w:cs="Times New Roman"/>
      <w:color w:val="auto"/>
    </w:rPr>
  </w:style>
  <w:style w:type="paragraph" w:styleId="BodyTextIndent2">
    <w:name w:val="Body Text Indent 2"/>
    <w:basedOn w:val="Normal"/>
    <w:link w:val="BodyTextIndent2Char"/>
    <w:uiPriority w:val="99"/>
    <w:unhideWhenUsed/>
    <w:rsid w:val="00245464"/>
    <w:pPr>
      <w:spacing w:after="120" w:line="480" w:lineRule="auto"/>
      <w:ind w:left="360"/>
    </w:pPr>
    <w:rPr>
      <w:rFonts w:ascii="Calibri" w:eastAsia="Calibri" w:hAnsi="Calibri" w:cs="Times New Roman"/>
    </w:rPr>
  </w:style>
  <w:style w:type="character" w:customStyle="1" w:styleId="BodyTextIndent2Char">
    <w:name w:val="Body Text Indent 2 Char"/>
    <w:basedOn w:val="DefaultParagraphFont"/>
    <w:link w:val="BodyTextIndent2"/>
    <w:uiPriority w:val="99"/>
    <w:rsid w:val="00245464"/>
    <w:rPr>
      <w:rFonts w:ascii="Calibri" w:eastAsia="Calibri" w:hAnsi="Calibri" w:cs="Times New Roman"/>
    </w:rPr>
  </w:style>
  <w:style w:type="table" w:customStyle="1" w:styleId="TableGrid2">
    <w:name w:val="Table Grid2"/>
    <w:basedOn w:val="TableNormal"/>
    <w:next w:val="TableGrid"/>
    <w:uiPriority w:val="59"/>
    <w:rsid w:val="0024546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rsid w:val="00245464"/>
    <w:pPr>
      <w:spacing w:after="0" w:line="240" w:lineRule="auto"/>
    </w:pPr>
    <w:rPr>
      <w:rFonts w:ascii="Calibri" w:eastAsia="Calibri" w:hAnsi="Calibri" w:cs="Times New Roman"/>
      <w:sz w:val="20"/>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4-Accent11">
    <w:name w:val="Grid Table 4 - Accent 11"/>
    <w:basedOn w:val="TableNormal"/>
    <w:uiPriority w:val="49"/>
    <w:rsid w:val="00245464"/>
    <w:pPr>
      <w:spacing w:after="0" w:line="240" w:lineRule="auto"/>
    </w:pPr>
    <w:rPr>
      <w:rFonts w:ascii="Calibri" w:eastAsia="Calibri" w:hAnsi="Calibri" w:cs="Times New Roman"/>
      <w:sz w:val="20"/>
      <w:szCs w:val="20"/>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3">
    <w:name w:val="Table Grid3"/>
    <w:basedOn w:val="TableNormal"/>
    <w:next w:val="TableGrid"/>
    <w:uiPriority w:val="59"/>
    <w:rsid w:val="0024546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24546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5464"/>
  </w:style>
  <w:style w:type="table" w:customStyle="1" w:styleId="TableGrid5">
    <w:name w:val="Table Grid5"/>
    <w:basedOn w:val="TableNormal"/>
    <w:next w:val="TableGrid"/>
    <w:uiPriority w:val="59"/>
    <w:rsid w:val="0024546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35">
    <w:name w:val="Pa35"/>
    <w:basedOn w:val="Default"/>
    <w:next w:val="Default"/>
    <w:uiPriority w:val="99"/>
    <w:rsid w:val="00245464"/>
    <w:pPr>
      <w:spacing w:line="201" w:lineRule="atLeast"/>
    </w:pPr>
    <w:rPr>
      <w:rFonts w:ascii="Arno Pro" w:eastAsia="Calibri" w:hAnsi="Arno Pro" w:cs="Times New Roman"/>
      <w:color w:val="auto"/>
    </w:rPr>
  </w:style>
  <w:style w:type="paragraph" w:customStyle="1" w:styleId="Pa10">
    <w:name w:val="Pa10"/>
    <w:basedOn w:val="Default"/>
    <w:next w:val="Default"/>
    <w:uiPriority w:val="99"/>
    <w:rsid w:val="00245464"/>
    <w:pPr>
      <w:spacing w:line="241" w:lineRule="atLeast"/>
    </w:pPr>
    <w:rPr>
      <w:rFonts w:ascii="Franklin Gothic Demi" w:eastAsia="Calibri" w:hAnsi="Franklin Gothic Demi" w:cs="Times New Roman"/>
      <w:color w:val="auto"/>
    </w:rPr>
  </w:style>
  <w:style w:type="character" w:customStyle="1" w:styleId="A5">
    <w:name w:val="A5"/>
    <w:uiPriority w:val="99"/>
    <w:rsid w:val="00245464"/>
    <w:rPr>
      <w:rFonts w:cs="Franklin Gothic Demi"/>
      <w:color w:val="000000"/>
      <w:sz w:val="18"/>
      <w:szCs w:val="18"/>
    </w:rPr>
  </w:style>
  <w:style w:type="paragraph" w:customStyle="1" w:styleId="Pa2">
    <w:name w:val="Pa2"/>
    <w:basedOn w:val="Default"/>
    <w:next w:val="Default"/>
    <w:uiPriority w:val="99"/>
    <w:rsid w:val="00245464"/>
    <w:pPr>
      <w:spacing w:line="241" w:lineRule="atLeast"/>
    </w:pPr>
    <w:rPr>
      <w:rFonts w:ascii="Franklin Gothic Demi" w:eastAsia="Calibri" w:hAnsi="Franklin Gothic Demi" w:cs="Times New Roman"/>
      <w:color w:val="auto"/>
    </w:rPr>
  </w:style>
  <w:style w:type="paragraph" w:customStyle="1" w:styleId="Pa9">
    <w:name w:val="Pa9"/>
    <w:basedOn w:val="Default"/>
    <w:next w:val="Default"/>
    <w:uiPriority w:val="99"/>
    <w:rsid w:val="00245464"/>
    <w:pPr>
      <w:spacing w:line="241" w:lineRule="atLeast"/>
    </w:pPr>
    <w:rPr>
      <w:rFonts w:ascii="Franklin Gothic Demi" w:eastAsia="Calibri" w:hAnsi="Franklin Gothic Demi" w:cs="Times New Roman"/>
      <w:color w:val="auto"/>
    </w:rPr>
  </w:style>
  <w:style w:type="character" w:styleId="EndnoteReference">
    <w:name w:val="endnote reference"/>
    <w:basedOn w:val="DefaultParagraphFont"/>
    <w:uiPriority w:val="99"/>
    <w:semiHidden/>
    <w:unhideWhenUsed/>
    <w:rsid w:val="00245464"/>
    <w:rPr>
      <w:vertAlign w:val="superscript"/>
    </w:rPr>
  </w:style>
  <w:style w:type="table" w:customStyle="1" w:styleId="GridTable2-Accent12">
    <w:name w:val="Grid Table 2 - Accent 12"/>
    <w:basedOn w:val="TableNormal"/>
    <w:uiPriority w:val="47"/>
    <w:rsid w:val="00245464"/>
    <w:pPr>
      <w:spacing w:after="0" w:line="240" w:lineRule="auto"/>
    </w:pPr>
    <w:rPr>
      <w:rFonts w:ascii="Times New Roman" w:eastAsia="Times New Roman" w:hAnsi="Times New Roman" w:cs="Times New Roman"/>
      <w:sz w:val="20"/>
      <w:szCs w:val="20"/>
      <w:lang w:val="da-DK" w:eastAsia="da-DK"/>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21">
    <w:name w:val="Table Grid21"/>
    <w:basedOn w:val="TableNormal"/>
    <w:next w:val="TableGrid"/>
    <w:uiPriority w:val="59"/>
    <w:rsid w:val="0024546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24546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24546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24546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245464"/>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A92A4E"/>
    <w:rPr>
      <w:b/>
      <w:bCs/>
    </w:rPr>
  </w:style>
  <w:style w:type="character" w:customStyle="1" w:styleId="UnresolvedMention1">
    <w:name w:val="Unresolved Mention1"/>
    <w:basedOn w:val="DefaultParagraphFont"/>
    <w:uiPriority w:val="99"/>
    <w:semiHidden/>
    <w:unhideWhenUsed/>
    <w:rsid w:val="00DB6DE6"/>
    <w:rPr>
      <w:color w:val="605E5C"/>
      <w:shd w:val="clear" w:color="auto" w:fill="E1DFDD"/>
    </w:rPr>
  </w:style>
  <w:style w:type="numbering" w:customStyle="1" w:styleId="NoList3">
    <w:name w:val="No List3"/>
    <w:next w:val="NoList"/>
    <w:uiPriority w:val="99"/>
    <w:semiHidden/>
    <w:unhideWhenUsed/>
    <w:rsid w:val="00683155"/>
  </w:style>
  <w:style w:type="paragraph" w:customStyle="1" w:styleId="xAEAbackocverStyleRGB7015635LeftAfter10pt">
    <w:name w:val="xAEA back ocver Style (RGB(7015635)) Left After: 10 pt"/>
    <w:basedOn w:val="Normal"/>
    <w:uiPriority w:val="99"/>
    <w:rsid w:val="00683155"/>
    <w:pPr>
      <w:spacing w:after="240" w:line="240" w:lineRule="auto"/>
    </w:pPr>
    <w:rPr>
      <w:rFonts w:ascii="Arial" w:eastAsia="SimSun" w:hAnsi="Arial" w:cs="Times New Roman"/>
      <w:color w:val="469C23"/>
      <w:sz w:val="20"/>
      <w:szCs w:val="20"/>
      <w:lang w:val="en-GB"/>
    </w:rPr>
  </w:style>
  <w:style w:type="character" w:styleId="PageNumber">
    <w:name w:val="page number"/>
    <w:basedOn w:val="DefaultParagraphFont"/>
    <w:uiPriority w:val="99"/>
    <w:semiHidden/>
    <w:unhideWhenUsed/>
    <w:rsid w:val="00683155"/>
    <w:rPr>
      <w:rFonts w:ascii="Arial" w:hAnsi="Arial"/>
      <w:sz w:val="20"/>
    </w:rPr>
  </w:style>
  <w:style w:type="paragraph" w:customStyle="1" w:styleId="Tableheading">
    <w:name w:val="Table heading"/>
    <w:basedOn w:val="Normal"/>
    <w:uiPriority w:val="1"/>
    <w:rsid w:val="00683155"/>
    <w:pPr>
      <w:spacing w:after="120" w:line="240" w:lineRule="auto"/>
      <w:jc w:val="both"/>
    </w:pPr>
    <w:rPr>
      <w:rFonts w:ascii="Arial" w:eastAsia="SimSun" w:hAnsi="Arial" w:cs="Times New Roman"/>
      <w:b/>
      <w:sz w:val="20"/>
      <w:szCs w:val="24"/>
      <w:lang w:val="en-GB"/>
    </w:rPr>
  </w:style>
  <w:style w:type="paragraph" w:customStyle="1" w:styleId="Tablecolumnheading">
    <w:name w:val="Table column heading"/>
    <w:basedOn w:val="Tablecontent"/>
    <w:uiPriority w:val="1"/>
    <w:rsid w:val="00683155"/>
    <w:rPr>
      <w:b/>
      <w:color w:val="FFFFFF"/>
    </w:rPr>
  </w:style>
  <w:style w:type="paragraph" w:customStyle="1" w:styleId="Tablecontent">
    <w:name w:val="Table content"/>
    <w:basedOn w:val="Normal"/>
    <w:uiPriority w:val="1"/>
    <w:rsid w:val="00683155"/>
    <w:pPr>
      <w:spacing w:after="0" w:line="240" w:lineRule="auto"/>
    </w:pPr>
    <w:rPr>
      <w:rFonts w:ascii="Arial" w:eastAsia="SimSun" w:hAnsi="Arial" w:cs="Times New Roman"/>
      <w:sz w:val="20"/>
      <w:szCs w:val="20"/>
      <w:lang w:val="en-GB"/>
    </w:rPr>
  </w:style>
  <w:style w:type="paragraph" w:customStyle="1" w:styleId="Bulletedtext">
    <w:name w:val="Bulleted text"/>
    <w:basedOn w:val="Normal"/>
    <w:uiPriority w:val="3"/>
    <w:rsid w:val="00683155"/>
    <w:pPr>
      <w:spacing w:after="60" w:line="240" w:lineRule="auto"/>
      <w:jc w:val="both"/>
    </w:pPr>
    <w:rPr>
      <w:rFonts w:ascii="Arial" w:eastAsia="SimSun" w:hAnsi="Arial" w:cs="Times New Roman"/>
      <w:sz w:val="20"/>
      <w:szCs w:val="24"/>
      <w:lang w:val="en-GB"/>
    </w:rPr>
  </w:style>
  <w:style w:type="paragraph" w:customStyle="1" w:styleId="QAQC-question">
    <w:name w:val="QA/QC - question"/>
    <w:uiPriority w:val="99"/>
    <w:rsid w:val="00683155"/>
    <w:pPr>
      <w:spacing w:after="120" w:line="240" w:lineRule="auto"/>
    </w:pPr>
    <w:rPr>
      <w:rFonts w:ascii="Arial" w:eastAsia="SimSun" w:hAnsi="Arial" w:cs="Times New Roman"/>
      <w:b/>
      <w:bCs/>
      <w:noProof/>
      <w:color w:val="008000"/>
      <w:sz w:val="20"/>
      <w:szCs w:val="20"/>
      <w:lang w:val="en-GB"/>
    </w:rPr>
  </w:style>
  <w:style w:type="table" w:customStyle="1" w:styleId="CZMTableGrid1">
    <w:name w:val="CZM Table Grid1"/>
    <w:basedOn w:val="TableNormal"/>
    <w:next w:val="TableGrid"/>
    <w:uiPriority w:val="59"/>
    <w:rsid w:val="00683155"/>
    <w:pPr>
      <w:spacing w:after="0" w:line="240" w:lineRule="auto"/>
    </w:pPr>
    <w:rPr>
      <w:rFonts w:ascii="Arial" w:eastAsia="SimSun" w:hAnsi="Arial"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main-Coverpage">
    <w:name w:val="Title-main - Coverpage"/>
    <w:basedOn w:val="Header"/>
    <w:uiPriority w:val="3"/>
    <w:rsid w:val="00683155"/>
    <w:pPr>
      <w:tabs>
        <w:tab w:val="clear" w:pos="4680"/>
        <w:tab w:val="clear" w:pos="9360"/>
        <w:tab w:val="right" w:pos="9072"/>
      </w:tabs>
      <w:spacing w:after="240"/>
      <w:jc w:val="right"/>
    </w:pPr>
    <w:rPr>
      <w:rFonts w:ascii="Arial" w:eastAsia="SimSun" w:hAnsi="Arial"/>
      <w:b/>
      <w:bCs/>
      <w:color w:val="4D4D4D"/>
      <w:kern w:val="72"/>
      <w:sz w:val="52"/>
      <w:szCs w:val="20"/>
      <w:lang w:val="en-GB"/>
    </w:rPr>
  </w:style>
  <w:style w:type="paragraph" w:customStyle="1" w:styleId="Tital-sub-Coverpage">
    <w:name w:val="Tital-sub - Coverpage"/>
    <w:basedOn w:val="Header"/>
    <w:uiPriority w:val="3"/>
    <w:rsid w:val="00683155"/>
    <w:pPr>
      <w:tabs>
        <w:tab w:val="clear" w:pos="4680"/>
        <w:tab w:val="clear" w:pos="9360"/>
        <w:tab w:val="right" w:pos="9072"/>
      </w:tabs>
      <w:ind w:right="-1"/>
      <w:jc w:val="right"/>
    </w:pPr>
    <w:rPr>
      <w:rFonts w:ascii="Arial" w:eastAsia="SimSun" w:hAnsi="Arial"/>
      <w:color w:val="008000"/>
      <w:kern w:val="72"/>
      <w:sz w:val="40"/>
      <w:szCs w:val="40"/>
      <w:lang w:val="en-GB"/>
    </w:rPr>
  </w:style>
  <w:style w:type="paragraph" w:customStyle="1" w:styleId="Title-Ref-Coverpage">
    <w:name w:val="Title-Ref - Coverpage"/>
    <w:basedOn w:val="Header"/>
    <w:uiPriority w:val="3"/>
    <w:rsid w:val="00683155"/>
    <w:pPr>
      <w:tabs>
        <w:tab w:val="clear" w:pos="4680"/>
        <w:tab w:val="clear" w:pos="9360"/>
        <w:tab w:val="right" w:pos="9072"/>
      </w:tabs>
      <w:ind w:right="-1"/>
      <w:jc w:val="right"/>
    </w:pPr>
    <w:rPr>
      <w:rFonts w:ascii="Arial" w:eastAsia="SimSun" w:hAnsi="Arial"/>
      <w:color w:val="92D050"/>
      <w:kern w:val="72"/>
      <w:sz w:val="28"/>
      <w:szCs w:val="28"/>
      <w:lang w:val="en-GB"/>
    </w:rPr>
  </w:style>
  <w:style w:type="character" w:customStyle="1" w:styleId="Heading-ExecSum">
    <w:name w:val="Heading - ExecSum"/>
    <w:basedOn w:val="DefaultParagraphFont"/>
    <w:uiPriority w:val="3"/>
    <w:rsid w:val="00683155"/>
    <w:rPr>
      <w:b/>
      <w:bCs/>
      <w:color w:val="008000"/>
      <w:sz w:val="40"/>
    </w:rPr>
  </w:style>
  <w:style w:type="paragraph" w:customStyle="1" w:styleId="Heading-Appendix">
    <w:name w:val="Heading - Appendix"/>
    <w:next w:val="Normal"/>
    <w:uiPriority w:val="3"/>
    <w:qFormat/>
    <w:rsid w:val="00683155"/>
    <w:pPr>
      <w:keepNext/>
      <w:pageBreakBefore/>
      <w:spacing w:before="120" w:after="240" w:line="240" w:lineRule="auto"/>
    </w:pPr>
    <w:rPr>
      <w:rFonts w:ascii="Arial" w:eastAsia="SimSun" w:hAnsi="Arial" w:cs="Arial"/>
      <w:b/>
      <w:bCs/>
      <w:color w:val="008000"/>
      <w:sz w:val="40"/>
      <w:szCs w:val="32"/>
      <w:lang w:val="en-GB"/>
    </w:rPr>
  </w:style>
  <w:style w:type="paragraph" w:customStyle="1" w:styleId="Heading-TOC">
    <w:name w:val="Heading - TOC"/>
    <w:uiPriority w:val="3"/>
    <w:rsid w:val="00683155"/>
    <w:pPr>
      <w:spacing w:before="120" w:after="240" w:line="240" w:lineRule="auto"/>
    </w:pPr>
    <w:rPr>
      <w:rFonts w:ascii="Arial" w:eastAsia="SimSun" w:hAnsi="Arial" w:cs="Arial"/>
      <w:b/>
      <w:bCs/>
      <w:color w:val="008000"/>
      <w:sz w:val="40"/>
      <w:szCs w:val="32"/>
      <w:lang w:val="en-GB"/>
    </w:rPr>
  </w:style>
  <w:style w:type="table" w:customStyle="1" w:styleId="AEATableStyle">
    <w:name w:val="AEA Table Style"/>
    <w:basedOn w:val="TableNormal"/>
    <w:uiPriority w:val="99"/>
    <w:qFormat/>
    <w:rsid w:val="00683155"/>
    <w:pPr>
      <w:spacing w:before="20" w:after="20" w:line="240" w:lineRule="auto"/>
    </w:pPr>
    <w:rPr>
      <w:rFonts w:ascii="Arial" w:eastAsia="SimSun" w:hAnsi="Arial" w:cs="Times New Roman"/>
      <w:sz w:val="20"/>
      <w:szCs w:val="20"/>
      <w:lang w:val="en-GB" w:eastAsia="en-GB"/>
    </w:rPr>
    <w:tblPr>
      <w:tblStyleRowBandSize w:val="1"/>
      <w:tblStyleColBandSize w:val="1"/>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7" w:type="dxa"/>
        <w:right w:w="57" w:type="dxa"/>
      </w:tblCellMar>
    </w:tblPr>
    <w:tblStylePr w:type="firstRow">
      <w:pPr>
        <w:wordWrap/>
        <w:spacing w:beforeLines="0" w:beforeAutospacing="0" w:afterLines="0" w:afterAutospacing="0" w:line="240" w:lineRule="auto"/>
        <w:contextualSpacing w:val="0"/>
      </w:pPr>
      <w:rPr>
        <w:rFonts w:ascii="Arial" w:hAnsi="Arial"/>
        <w:b/>
        <w:color w:val="FFFFFF"/>
        <w:sz w:val="20"/>
      </w:rPr>
      <w:tblPr/>
      <w:tcPr>
        <w:shd w:val="clear" w:color="auto" w:fill="C00000"/>
      </w:tcPr>
    </w:tblStylePr>
    <w:tblStylePr w:type="firstCol">
      <w:rPr>
        <w:rFonts w:ascii="Arial" w:hAnsi="Arial"/>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pct15" w:color="auto" w:fill="auto"/>
      </w:tcPr>
    </w:tblStylePr>
  </w:style>
  <w:style w:type="paragraph" w:customStyle="1" w:styleId="AEAToC">
    <w:name w:val="AEA ToC"/>
    <w:uiPriority w:val="99"/>
    <w:rsid w:val="00683155"/>
    <w:pPr>
      <w:spacing w:after="200" w:line="276" w:lineRule="auto"/>
    </w:pPr>
    <w:rPr>
      <w:rFonts w:eastAsia="SimSun"/>
    </w:rPr>
  </w:style>
  <w:style w:type="table" w:customStyle="1" w:styleId="LightShading-Accent21">
    <w:name w:val="Light Shading - Accent 21"/>
    <w:basedOn w:val="TableNormal"/>
    <w:next w:val="LightShading-Accent2"/>
    <w:uiPriority w:val="60"/>
    <w:rsid w:val="00683155"/>
    <w:pPr>
      <w:spacing w:after="0" w:line="240" w:lineRule="auto"/>
    </w:pPr>
    <w:rPr>
      <w:rFonts w:ascii="Arial" w:eastAsia="SimSun" w:hAnsi="Arial" w:cs="Times New Roman"/>
      <w:color w:val="943634"/>
      <w:sz w:val="20"/>
      <w:szCs w:val="20"/>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
    <w:name w:val="Light Shading - Accent 31"/>
    <w:basedOn w:val="TableNormal"/>
    <w:next w:val="LightShading-Accent3"/>
    <w:uiPriority w:val="60"/>
    <w:rsid w:val="00683155"/>
    <w:pPr>
      <w:spacing w:after="0" w:line="240" w:lineRule="auto"/>
    </w:pPr>
    <w:rPr>
      <w:rFonts w:ascii="Arial" w:eastAsia="SimSun" w:hAnsi="Arial" w:cs="Times New Roman"/>
      <w:color w:val="76923C"/>
      <w:sz w:val="20"/>
      <w:szCs w:val="20"/>
      <w:lang w:val="en-GB" w:eastAsia="en-GB"/>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
    <w:name w:val="Light Shading - Accent 41"/>
    <w:basedOn w:val="TableNormal"/>
    <w:next w:val="LightShading-Accent4"/>
    <w:uiPriority w:val="60"/>
    <w:rsid w:val="00683155"/>
    <w:pPr>
      <w:spacing w:after="0" w:line="240" w:lineRule="auto"/>
    </w:pPr>
    <w:rPr>
      <w:rFonts w:ascii="Arial" w:eastAsia="SimSun" w:hAnsi="Arial" w:cs="Times New Roman"/>
      <w:color w:val="5F497A"/>
      <w:sz w:val="20"/>
      <w:szCs w:val="20"/>
      <w:lang w:val="en-GB" w:eastAsia="en-GB"/>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CoverHeader2">
    <w:name w:val="CoverHeader2"/>
    <w:uiPriority w:val="1"/>
    <w:qFormat/>
    <w:rsid w:val="00683155"/>
    <w:rPr>
      <w:b/>
      <w:color w:val="92D050"/>
      <w:sz w:val="36"/>
      <w:szCs w:val="40"/>
    </w:rPr>
  </w:style>
  <w:style w:type="character" w:customStyle="1" w:styleId="CoverHeader1">
    <w:name w:val="CoverHeader1"/>
    <w:uiPriority w:val="1"/>
    <w:qFormat/>
    <w:rsid w:val="00683155"/>
    <w:rPr>
      <w:b/>
      <w:color w:val="808080"/>
      <w:sz w:val="36"/>
      <w:szCs w:val="40"/>
    </w:rPr>
  </w:style>
  <w:style w:type="paragraph" w:customStyle="1" w:styleId="QA-Page">
    <w:name w:val="QA-Page"/>
    <w:rsid w:val="00683155"/>
    <w:pPr>
      <w:tabs>
        <w:tab w:val="left" w:pos="2366"/>
      </w:tabs>
      <w:spacing w:after="0" w:line="240" w:lineRule="auto"/>
    </w:pPr>
    <w:rPr>
      <w:rFonts w:ascii="Arial" w:eastAsia="SimSun" w:hAnsi="Arial" w:cs="Times New Roman"/>
      <w:sz w:val="20"/>
      <w:szCs w:val="24"/>
      <w:lang w:val="en-GB"/>
    </w:rPr>
  </w:style>
  <w:style w:type="paragraph" w:customStyle="1" w:styleId="CoverQA">
    <w:name w:val="CoverQA"/>
    <w:next w:val="Normal"/>
    <w:rsid w:val="00683155"/>
    <w:pPr>
      <w:spacing w:after="0" w:line="240" w:lineRule="auto"/>
    </w:pPr>
    <w:rPr>
      <w:rFonts w:ascii="Arial" w:eastAsia="SimSun" w:hAnsi="Arial" w:cs="Times New Roman"/>
      <w:color w:val="7F7F7F"/>
      <w:sz w:val="20"/>
      <w:szCs w:val="24"/>
      <w:lang w:val="en-GB"/>
    </w:rPr>
  </w:style>
  <w:style w:type="character" w:customStyle="1" w:styleId="QuotationsCallout">
    <w:name w:val="Quotations / Callout"/>
    <w:basedOn w:val="DefaultParagraphFont"/>
    <w:qFormat/>
    <w:rsid w:val="00683155"/>
    <w:rPr>
      <w:rFonts w:ascii="Calibri" w:hAnsi="Calibri"/>
      <w:color w:val="595959"/>
      <w:sz w:val="24"/>
    </w:rPr>
  </w:style>
  <w:style w:type="paragraph" w:customStyle="1" w:styleId="BalloonText1">
    <w:name w:val="Balloon Text1"/>
    <w:basedOn w:val="Normal"/>
    <w:semiHidden/>
    <w:rsid w:val="00683155"/>
    <w:pPr>
      <w:spacing w:after="0" w:line="240" w:lineRule="auto"/>
    </w:pPr>
    <w:rPr>
      <w:rFonts w:ascii="Tahoma" w:eastAsia="Times New Roman" w:hAnsi="Tahoma" w:cs="Tahoma"/>
      <w:sz w:val="16"/>
      <w:szCs w:val="16"/>
      <w:lang w:val="en-GB" w:eastAsia="de-DE"/>
    </w:rPr>
  </w:style>
  <w:style w:type="paragraph" w:customStyle="1" w:styleId="TableParagraph">
    <w:name w:val="Table Paragraph"/>
    <w:basedOn w:val="Normal"/>
    <w:uiPriority w:val="1"/>
    <w:qFormat/>
    <w:rsid w:val="00683155"/>
    <w:pPr>
      <w:widowControl w:val="0"/>
      <w:spacing w:after="0" w:line="240" w:lineRule="auto"/>
    </w:pPr>
    <w:rPr>
      <w:b/>
    </w:rPr>
  </w:style>
  <w:style w:type="numbering" w:customStyle="1" w:styleId="NoList12">
    <w:name w:val="No List12"/>
    <w:next w:val="NoList"/>
    <w:uiPriority w:val="99"/>
    <w:semiHidden/>
    <w:unhideWhenUsed/>
    <w:rsid w:val="00683155"/>
  </w:style>
  <w:style w:type="character" w:styleId="HTMLCite">
    <w:name w:val="HTML Cite"/>
    <w:basedOn w:val="DefaultParagraphFont"/>
    <w:uiPriority w:val="99"/>
    <w:semiHidden/>
    <w:unhideWhenUsed/>
    <w:rsid w:val="00683155"/>
    <w:rPr>
      <w:i/>
      <w:iCs/>
    </w:rPr>
  </w:style>
  <w:style w:type="paragraph" w:styleId="DocumentMap">
    <w:name w:val="Document Map"/>
    <w:basedOn w:val="Normal"/>
    <w:link w:val="DocumentMapChar"/>
    <w:uiPriority w:val="99"/>
    <w:semiHidden/>
    <w:unhideWhenUsed/>
    <w:rsid w:val="00683155"/>
    <w:pPr>
      <w:spacing w:after="0" w:line="240" w:lineRule="auto"/>
      <w:jc w:val="both"/>
    </w:pPr>
    <w:rPr>
      <w:rFonts w:ascii="Times New Roman" w:eastAsia="SimSun" w:hAnsi="Times New Roman" w:cs="Times New Roman"/>
      <w:sz w:val="24"/>
      <w:szCs w:val="24"/>
      <w:lang w:val="en-GB"/>
    </w:rPr>
  </w:style>
  <w:style w:type="character" w:customStyle="1" w:styleId="DocumentMapChar">
    <w:name w:val="Document Map Char"/>
    <w:basedOn w:val="DefaultParagraphFont"/>
    <w:link w:val="DocumentMap"/>
    <w:uiPriority w:val="99"/>
    <w:semiHidden/>
    <w:rsid w:val="00683155"/>
    <w:rPr>
      <w:rFonts w:ascii="Times New Roman" w:eastAsia="SimSun" w:hAnsi="Times New Roman" w:cs="Times New Roman"/>
      <w:sz w:val="24"/>
      <w:szCs w:val="24"/>
      <w:lang w:val="en-GB"/>
    </w:rPr>
  </w:style>
  <w:style w:type="paragraph" w:customStyle="1" w:styleId="Tableparagraphappendix">
    <w:name w:val="Table paragraph appendix"/>
    <w:basedOn w:val="TableParagraph"/>
    <w:qFormat/>
    <w:rsid w:val="00683155"/>
    <w:pPr>
      <w:spacing w:before="240" w:after="120"/>
    </w:pPr>
    <w:rPr>
      <w:rFonts w:ascii="Arial" w:hAnsi="Arial" w:cs="Arial"/>
      <w:sz w:val="20"/>
      <w:szCs w:val="20"/>
      <w:lang w:val="en-GB"/>
    </w:rPr>
  </w:style>
  <w:style w:type="paragraph" w:customStyle="1" w:styleId="sub-heading-appendix">
    <w:name w:val="sub-heading - appendix"/>
    <w:basedOn w:val="Heading-Appendix"/>
    <w:qFormat/>
    <w:rsid w:val="00683155"/>
    <w:rPr>
      <w:noProof/>
      <w:lang w:val="en-US"/>
    </w:rPr>
  </w:style>
  <w:style w:type="paragraph" w:customStyle="1" w:styleId="ParaAttribute23">
    <w:name w:val="ParaAttribute23"/>
    <w:rsid w:val="00683155"/>
    <w:pPr>
      <w:widowControl w:val="0"/>
      <w:wordWrap w:val="0"/>
      <w:spacing w:after="200" w:line="240" w:lineRule="auto"/>
      <w:jc w:val="both"/>
    </w:pPr>
    <w:rPr>
      <w:rFonts w:ascii="Times New Roman" w:eastAsia="Batang" w:hAnsi="Times New Roman" w:cs="Times New Roman"/>
      <w:sz w:val="20"/>
      <w:szCs w:val="20"/>
    </w:rPr>
  </w:style>
  <w:style w:type="paragraph" w:customStyle="1" w:styleId="Standard1">
    <w:name w:val="Standard1"/>
    <w:rsid w:val="00683155"/>
    <w:pPr>
      <w:suppressAutoHyphens/>
      <w:autoSpaceDN w:val="0"/>
      <w:spacing w:after="200" w:line="276" w:lineRule="auto"/>
      <w:textAlignment w:val="baseline"/>
    </w:pPr>
    <w:rPr>
      <w:rFonts w:ascii="Calibri" w:eastAsia="SimSun" w:hAnsi="Calibri" w:cs="F"/>
      <w:kern w:val="3"/>
    </w:rPr>
  </w:style>
  <w:style w:type="table" w:styleId="LightShading-Accent2">
    <w:name w:val="Light Shading Accent 2"/>
    <w:basedOn w:val="TableNormal"/>
    <w:uiPriority w:val="60"/>
    <w:semiHidden/>
    <w:unhideWhenUsed/>
    <w:rsid w:val="00683155"/>
    <w:pPr>
      <w:spacing w:after="0" w:line="240" w:lineRule="auto"/>
    </w:pPr>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683155"/>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683155"/>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GridTable4-Accent110">
    <w:name w:val="Grid Table 4 - Accent 11"/>
    <w:basedOn w:val="TableNormal"/>
    <w:next w:val="GridTable4-Accent11"/>
    <w:uiPriority w:val="49"/>
    <w:rsid w:val="00B33B6F"/>
    <w:pPr>
      <w:spacing w:after="0" w:line="240" w:lineRule="auto"/>
    </w:pPr>
    <w:rPr>
      <w:rFonts w:ascii="Calibri" w:eastAsia="Calibri" w:hAnsi="Calibri" w:cs="Times New Roman"/>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10">
    <w:name w:val="Table Grid10"/>
    <w:basedOn w:val="TableNormal"/>
    <w:next w:val="TableGrid"/>
    <w:uiPriority w:val="59"/>
    <w:rsid w:val="00FB476A"/>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Accent11">
    <w:name w:val="Grid Table 2 - Accent 11"/>
    <w:basedOn w:val="TableNormal"/>
    <w:uiPriority w:val="47"/>
    <w:rsid w:val="00CF5899"/>
    <w:pPr>
      <w:spacing w:after="0" w:line="240" w:lineRule="auto"/>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2-Accent21">
    <w:name w:val="Grid Table 2 - Accent 21"/>
    <w:basedOn w:val="TableNormal"/>
    <w:uiPriority w:val="47"/>
    <w:rsid w:val="00CF5899"/>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2-Accent51">
    <w:name w:val="Grid Table 2 - Accent 51"/>
    <w:basedOn w:val="TableNormal"/>
    <w:uiPriority w:val="47"/>
    <w:rsid w:val="00CF5899"/>
    <w:pPr>
      <w:spacing w:after="0"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UnresolvedMention2">
    <w:name w:val="Unresolved Mention2"/>
    <w:basedOn w:val="DefaultParagraphFont"/>
    <w:uiPriority w:val="99"/>
    <w:semiHidden/>
    <w:unhideWhenUsed/>
    <w:rsid w:val="00596C4C"/>
    <w:rPr>
      <w:color w:val="605E5C"/>
      <w:shd w:val="clear" w:color="auto" w:fill="E1DFDD"/>
    </w:rPr>
  </w:style>
  <w:style w:type="character" w:customStyle="1" w:styleId="TableofFiguresChar">
    <w:name w:val="Table of Figures Char"/>
    <w:basedOn w:val="DefaultParagraphFont"/>
    <w:link w:val="TableofFigures"/>
    <w:uiPriority w:val="99"/>
    <w:rsid w:val="00AA051B"/>
    <w:rPr>
      <w:rFonts w:ascii="Garamond" w:hAnsi="Garamond" w:cstheme="minorHAnsi"/>
      <w:bCs/>
      <w:noProof/>
      <w:sz w:val="24"/>
      <w:szCs w:val="20"/>
    </w:rPr>
  </w:style>
  <w:style w:type="character" w:customStyle="1" w:styleId="UnresolvedMention3">
    <w:name w:val="Unresolved Mention3"/>
    <w:basedOn w:val="DefaultParagraphFont"/>
    <w:uiPriority w:val="99"/>
    <w:semiHidden/>
    <w:unhideWhenUsed/>
    <w:rsid w:val="00040765"/>
    <w:rPr>
      <w:color w:val="605E5C"/>
      <w:shd w:val="clear" w:color="auto" w:fill="E1DFDD"/>
    </w:rPr>
  </w:style>
  <w:style w:type="character" w:styleId="UnresolvedMention">
    <w:name w:val="Unresolved Mention"/>
    <w:basedOn w:val="DefaultParagraphFont"/>
    <w:uiPriority w:val="99"/>
    <w:semiHidden/>
    <w:unhideWhenUsed/>
    <w:rsid w:val="004732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847461">
      <w:bodyDiv w:val="1"/>
      <w:marLeft w:val="0"/>
      <w:marRight w:val="0"/>
      <w:marTop w:val="0"/>
      <w:marBottom w:val="0"/>
      <w:divBdr>
        <w:top w:val="none" w:sz="0" w:space="0" w:color="auto"/>
        <w:left w:val="none" w:sz="0" w:space="0" w:color="auto"/>
        <w:bottom w:val="none" w:sz="0" w:space="0" w:color="auto"/>
        <w:right w:val="none" w:sz="0" w:space="0" w:color="auto"/>
      </w:divBdr>
    </w:div>
    <w:div w:id="102651290">
      <w:bodyDiv w:val="1"/>
      <w:marLeft w:val="0"/>
      <w:marRight w:val="0"/>
      <w:marTop w:val="0"/>
      <w:marBottom w:val="0"/>
      <w:divBdr>
        <w:top w:val="none" w:sz="0" w:space="0" w:color="auto"/>
        <w:left w:val="none" w:sz="0" w:space="0" w:color="auto"/>
        <w:bottom w:val="none" w:sz="0" w:space="0" w:color="auto"/>
        <w:right w:val="none" w:sz="0" w:space="0" w:color="auto"/>
      </w:divBdr>
    </w:div>
    <w:div w:id="159274299">
      <w:bodyDiv w:val="1"/>
      <w:marLeft w:val="0"/>
      <w:marRight w:val="0"/>
      <w:marTop w:val="0"/>
      <w:marBottom w:val="0"/>
      <w:divBdr>
        <w:top w:val="none" w:sz="0" w:space="0" w:color="auto"/>
        <w:left w:val="none" w:sz="0" w:space="0" w:color="auto"/>
        <w:bottom w:val="none" w:sz="0" w:space="0" w:color="auto"/>
        <w:right w:val="none" w:sz="0" w:space="0" w:color="auto"/>
      </w:divBdr>
    </w:div>
    <w:div w:id="160509445">
      <w:bodyDiv w:val="1"/>
      <w:marLeft w:val="0"/>
      <w:marRight w:val="0"/>
      <w:marTop w:val="0"/>
      <w:marBottom w:val="0"/>
      <w:divBdr>
        <w:top w:val="none" w:sz="0" w:space="0" w:color="auto"/>
        <w:left w:val="none" w:sz="0" w:space="0" w:color="auto"/>
        <w:bottom w:val="none" w:sz="0" w:space="0" w:color="auto"/>
        <w:right w:val="none" w:sz="0" w:space="0" w:color="auto"/>
      </w:divBdr>
    </w:div>
    <w:div w:id="400560692">
      <w:bodyDiv w:val="1"/>
      <w:marLeft w:val="0"/>
      <w:marRight w:val="0"/>
      <w:marTop w:val="0"/>
      <w:marBottom w:val="0"/>
      <w:divBdr>
        <w:top w:val="none" w:sz="0" w:space="0" w:color="auto"/>
        <w:left w:val="none" w:sz="0" w:space="0" w:color="auto"/>
        <w:bottom w:val="none" w:sz="0" w:space="0" w:color="auto"/>
        <w:right w:val="none" w:sz="0" w:space="0" w:color="auto"/>
      </w:divBdr>
    </w:div>
    <w:div w:id="417559996">
      <w:bodyDiv w:val="1"/>
      <w:marLeft w:val="0"/>
      <w:marRight w:val="0"/>
      <w:marTop w:val="0"/>
      <w:marBottom w:val="0"/>
      <w:divBdr>
        <w:top w:val="none" w:sz="0" w:space="0" w:color="auto"/>
        <w:left w:val="none" w:sz="0" w:space="0" w:color="auto"/>
        <w:bottom w:val="none" w:sz="0" w:space="0" w:color="auto"/>
        <w:right w:val="none" w:sz="0" w:space="0" w:color="auto"/>
      </w:divBdr>
    </w:div>
    <w:div w:id="482743223">
      <w:bodyDiv w:val="1"/>
      <w:marLeft w:val="0"/>
      <w:marRight w:val="0"/>
      <w:marTop w:val="0"/>
      <w:marBottom w:val="0"/>
      <w:divBdr>
        <w:top w:val="none" w:sz="0" w:space="0" w:color="auto"/>
        <w:left w:val="none" w:sz="0" w:space="0" w:color="auto"/>
        <w:bottom w:val="none" w:sz="0" w:space="0" w:color="auto"/>
        <w:right w:val="none" w:sz="0" w:space="0" w:color="auto"/>
      </w:divBdr>
    </w:div>
    <w:div w:id="781461582">
      <w:bodyDiv w:val="1"/>
      <w:marLeft w:val="0"/>
      <w:marRight w:val="0"/>
      <w:marTop w:val="0"/>
      <w:marBottom w:val="0"/>
      <w:divBdr>
        <w:top w:val="none" w:sz="0" w:space="0" w:color="auto"/>
        <w:left w:val="none" w:sz="0" w:space="0" w:color="auto"/>
        <w:bottom w:val="none" w:sz="0" w:space="0" w:color="auto"/>
        <w:right w:val="none" w:sz="0" w:space="0" w:color="auto"/>
      </w:divBdr>
    </w:div>
    <w:div w:id="851454279">
      <w:bodyDiv w:val="1"/>
      <w:marLeft w:val="0"/>
      <w:marRight w:val="0"/>
      <w:marTop w:val="0"/>
      <w:marBottom w:val="0"/>
      <w:divBdr>
        <w:top w:val="none" w:sz="0" w:space="0" w:color="auto"/>
        <w:left w:val="none" w:sz="0" w:space="0" w:color="auto"/>
        <w:bottom w:val="none" w:sz="0" w:space="0" w:color="auto"/>
        <w:right w:val="none" w:sz="0" w:space="0" w:color="auto"/>
      </w:divBdr>
    </w:div>
    <w:div w:id="868034270">
      <w:bodyDiv w:val="1"/>
      <w:marLeft w:val="0"/>
      <w:marRight w:val="0"/>
      <w:marTop w:val="0"/>
      <w:marBottom w:val="0"/>
      <w:divBdr>
        <w:top w:val="none" w:sz="0" w:space="0" w:color="auto"/>
        <w:left w:val="none" w:sz="0" w:space="0" w:color="auto"/>
        <w:bottom w:val="none" w:sz="0" w:space="0" w:color="auto"/>
        <w:right w:val="none" w:sz="0" w:space="0" w:color="auto"/>
      </w:divBdr>
    </w:div>
    <w:div w:id="871110649">
      <w:bodyDiv w:val="1"/>
      <w:marLeft w:val="0"/>
      <w:marRight w:val="0"/>
      <w:marTop w:val="0"/>
      <w:marBottom w:val="0"/>
      <w:divBdr>
        <w:top w:val="none" w:sz="0" w:space="0" w:color="auto"/>
        <w:left w:val="none" w:sz="0" w:space="0" w:color="auto"/>
        <w:bottom w:val="none" w:sz="0" w:space="0" w:color="auto"/>
        <w:right w:val="none" w:sz="0" w:space="0" w:color="auto"/>
      </w:divBdr>
    </w:div>
    <w:div w:id="891696277">
      <w:bodyDiv w:val="1"/>
      <w:marLeft w:val="0"/>
      <w:marRight w:val="0"/>
      <w:marTop w:val="0"/>
      <w:marBottom w:val="0"/>
      <w:divBdr>
        <w:top w:val="none" w:sz="0" w:space="0" w:color="auto"/>
        <w:left w:val="none" w:sz="0" w:space="0" w:color="auto"/>
        <w:bottom w:val="none" w:sz="0" w:space="0" w:color="auto"/>
        <w:right w:val="none" w:sz="0" w:space="0" w:color="auto"/>
      </w:divBdr>
    </w:div>
    <w:div w:id="920212248">
      <w:bodyDiv w:val="1"/>
      <w:marLeft w:val="0"/>
      <w:marRight w:val="0"/>
      <w:marTop w:val="0"/>
      <w:marBottom w:val="0"/>
      <w:divBdr>
        <w:top w:val="none" w:sz="0" w:space="0" w:color="auto"/>
        <w:left w:val="none" w:sz="0" w:space="0" w:color="auto"/>
        <w:bottom w:val="none" w:sz="0" w:space="0" w:color="auto"/>
        <w:right w:val="none" w:sz="0" w:space="0" w:color="auto"/>
      </w:divBdr>
    </w:div>
    <w:div w:id="1290550715">
      <w:bodyDiv w:val="1"/>
      <w:marLeft w:val="0"/>
      <w:marRight w:val="0"/>
      <w:marTop w:val="0"/>
      <w:marBottom w:val="0"/>
      <w:divBdr>
        <w:top w:val="none" w:sz="0" w:space="0" w:color="auto"/>
        <w:left w:val="none" w:sz="0" w:space="0" w:color="auto"/>
        <w:bottom w:val="none" w:sz="0" w:space="0" w:color="auto"/>
        <w:right w:val="none" w:sz="0" w:space="0" w:color="auto"/>
      </w:divBdr>
    </w:div>
    <w:div w:id="1607033940">
      <w:bodyDiv w:val="1"/>
      <w:marLeft w:val="0"/>
      <w:marRight w:val="0"/>
      <w:marTop w:val="0"/>
      <w:marBottom w:val="0"/>
      <w:divBdr>
        <w:top w:val="none" w:sz="0" w:space="0" w:color="auto"/>
        <w:left w:val="none" w:sz="0" w:space="0" w:color="auto"/>
        <w:bottom w:val="none" w:sz="0" w:space="0" w:color="auto"/>
        <w:right w:val="none" w:sz="0" w:space="0" w:color="auto"/>
      </w:divBdr>
    </w:div>
    <w:div w:id="1652322362">
      <w:bodyDiv w:val="1"/>
      <w:marLeft w:val="0"/>
      <w:marRight w:val="0"/>
      <w:marTop w:val="0"/>
      <w:marBottom w:val="0"/>
      <w:divBdr>
        <w:top w:val="none" w:sz="0" w:space="0" w:color="auto"/>
        <w:left w:val="none" w:sz="0" w:space="0" w:color="auto"/>
        <w:bottom w:val="none" w:sz="0" w:space="0" w:color="auto"/>
        <w:right w:val="none" w:sz="0" w:space="0" w:color="auto"/>
      </w:divBdr>
    </w:div>
    <w:div w:id="1668829031">
      <w:bodyDiv w:val="1"/>
      <w:marLeft w:val="0"/>
      <w:marRight w:val="0"/>
      <w:marTop w:val="0"/>
      <w:marBottom w:val="0"/>
      <w:divBdr>
        <w:top w:val="none" w:sz="0" w:space="0" w:color="auto"/>
        <w:left w:val="none" w:sz="0" w:space="0" w:color="auto"/>
        <w:bottom w:val="none" w:sz="0" w:space="0" w:color="auto"/>
        <w:right w:val="none" w:sz="0" w:space="0" w:color="auto"/>
      </w:divBdr>
    </w:div>
    <w:div w:id="1762215418">
      <w:bodyDiv w:val="1"/>
      <w:marLeft w:val="0"/>
      <w:marRight w:val="0"/>
      <w:marTop w:val="0"/>
      <w:marBottom w:val="0"/>
      <w:divBdr>
        <w:top w:val="none" w:sz="0" w:space="0" w:color="auto"/>
        <w:left w:val="none" w:sz="0" w:space="0" w:color="auto"/>
        <w:bottom w:val="none" w:sz="0" w:space="0" w:color="auto"/>
        <w:right w:val="none" w:sz="0" w:space="0" w:color="auto"/>
      </w:divBdr>
    </w:div>
    <w:div w:id="1861888334">
      <w:bodyDiv w:val="1"/>
      <w:marLeft w:val="0"/>
      <w:marRight w:val="0"/>
      <w:marTop w:val="0"/>
      <w:marBottom w:val="0"/>
      <w:divBdr>
        <w:top w:val="none" w:sz="0" w:space="0" w:color="auto"/>
        <w:left w:val="none" w:sz="0" w:space="0" w:color="auto"/>
        <w:bottom w:val="none" w:sz="0" w:space="0" w:color="auto"/>
        <w:right w:val="none" w:sz="0" w:space="0" w:color="auto"/>
      </w:divBdr>
    </w:div>
    <w:div w:id="1909923289">
      <w:bodyDiv w:val="1"/>
      <w:marLeft w:val="0"/>
      <w:marRight w:val="0"/>
      <w:marTop w:val="0"/>
      <w:marBottom w:val="0"/>
      <w:divBdr>
        <w:top w:val="none" w:sz="0" w:space="0" w:color="auto"/>
        <w:left w:val="none" w:sz="0" w:space="0" w:color="auto"/>
        <w:bottom w:val="none" w:sz="0" w:space="0" w:color="auto"/>
        <w:right w:val="none" w:sz="0" w:space="0" w:color="auto"/>
      </w:divBdr>
    </w:div>
    <w:div w:id="2045322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hyperlink" Target="mailto:TebuhoSuuya@mof.gov.com" TargetMode="External"/><Relationship Id="rId21" Type="http://schemas.openxmlformats.org/officeDocument/2006/relationships/hyperlink" Target="https://en.wikipedia.org/wiki/Treaty" TargetMode="External"/><Relationship Id="rId42" Type="http://schemas.openxmlformats.org/officeDocument/2006/relationships/chart" Target="charts/chart12.xml"/><Relationship Id="rId47" Type="http://schemas.openxmlformats.org/officeDocument/2006/relationships/chart" Target="charts/chart17.xml"/><Relationship Id="rId63" Type="http://schemas.openxmlformats.org/officeDocument/2006/relationships/chart" Target="charts/chart28.xml"/><Relationship Id="rId68" Type="http://schemas.openxmlformats.org/officeDocument/2006/relationships/chart" Target="charts/chart33.xml"/><Relationship Id="rId84" Type="http://schemas.openxmlformats.org/officeDocument/2006/relationships/hyperlink" Target="https://www.climatetechwiki.org/technology/lfg_cap" TargetMode="External"/><Relationship Id="rId89" Type="http://schemas.openxmlformats.org/officeDocument/2006/relationships/hyperlink" Target="https://www.esmap.org/sites/default/files/esmap-files/Rpt_householdenergyuseindevelopingcountriescomplete.pdf" TargetMode="External"/><Relationship Id="rId112" Type="http://schemas.openxmlformats.org/officeDocument/2006/relationships/hyperlink" Target="mailto:tasilabanda.ziflp@gmail.com" TargetMode="External"/><Relationship Id="rId133" Type="http://schemas.openxmlformats.org/officeDocument/2006/relationships/hyperlink" Target="mailto:rachel.tetamashimba@moe.gov.zm" TargetMode="External"/><Relationship Id="rId138" Type="http://schemas.openxmlformats.org/officeDocument/2006/relationships/hyperlink" Target="mailto:misozi.masaninga@lafargeholcim.com" TargetMode="External"/><Relationship Id="rId154" Type="http://schemas.openxmlformats.org/officeDocument/2006/relationships/hyperlink" Target="mailto:sinkambac@cec.com.zm" TargetMode="External"/><Relationship Id="rId159" Type="http://schemas.openxmlformats.org/officeDocument/2006/relationships/fontTable" Target="fontTable.xml"/><Relationship Id="rId16" Type="http://schemas.openxmlformats.org/officeDocument/2006/relationships/image" Target="media/image3.tiff"/><Relationship Id="rId107" Type="http://schemas.openxmlformats.org/officeDocument/2006/relationships/hyperlink" Target="mailto:ephiri@unza.zm" TargetMode="External"/><Relationship Id="rId11" Type="http://schemas.openxmlformats.org/officeDocument/2006/relationships/endnotes" Target="endnotes.xml"/><Relationship Id="rId32" Type="http://schemas.openxmlformats.org/officeDocument/2006/relationships/chart" Target="charts/chart3.xml"/><Relationship Id="rId37" Type="http://schemas.openxmlformats.org/officeDocument/2006/relationships/chart" Target="charts/chart7.xml"/><Relationship Id="rId53" Type="http://schemas.openxmlformats.org/officeDocument/2006/relationships/image" Target="media/image12.png"/><Relationship Id="rId58" Type="http://schemas.openxmlformats.org/officeDocument/2006/relationships/image" Target="media/image13.png"/><Relationship Id="rId74" Type="http://schemas.openxmlformats.org/officeDocument/2006/relationships/chart" Target="charts/chart38.xml"/><Relationship Id="rId79" Type="http://schemas.openxmlformats.org/officeDocument/2006/relationships/chart" Target="charts/chart43.xml"/><Relationship Id="rId102" Type="http://schemas.openxmlformats.org/officeDocument/2006/relationships/hyperlink" Target="mailto:ezulu@itswild.org" TargetMode="External"/><Relationship Id="rId123" Type="http://schemas.openxmlformats.org/officeDocument/2006/relationships/hyperlink" Target="mailto:ezulu@nrsc.org.zm" TargetMode="External"/><Relationship Id="rId128" Type="http://schemas.openxmlformats.org/officeDocument/2006/relationships/hyperlink" Target="mailto:hkngwale@yahoo.com" TargetMode="External"/><Relationship Id="rId144" Type="http://schemas.openxmlformats.org/officeDocument/2006/relationships/hyperlink" Target="mailto:gsikazwe@ndolalime.co.zm" TargetMode="External"/><Relationship Id="rId149" Type="http://schemas.openxmlformats.org/officeDocument/2006/relationships/hyperlink" Target="mailto:felix012003@yahoo.com" TargetMode="External"/><Relationship Id="rId5" Type="http://schemas.openxmlformats.org/officeDocument/2006/relationships/customXml" Target="../customXml/item5.xml"/><Relationship Id="rId90" Type="http://schemas.openxmlformats.org/officeDocument/2006/relationships/hyperlink" Target="https://ec.europa.eu/europeaid/case-studies/conservation-agriculture_en" TargetMode="External"/><Relationship Id="rId95" Type="http://schemas.openxmlformats.org/officeDocument/2006/relationships/hyperlink" Target="mailto:martin.lyambai@giz.de" TargetMode="External"/><Relationship Id="rId160" Type="http://schemas.openxmlformats.org/officeDocument/2006/relationships/theme" Target="theme/theme1.xml"/><Relationship Id="rId22" Type="http://schemas.openxmlformats.org/officeDocument/2006/relationships/hyperlink" Target="https://en.wikipedia.org/wiki/Greenhouse_gas" TargetMode="External"/><Relationship Id="rId27" Type="http://schemas.openxmlformats.org/officeDocument/2006/relationships/image" Target="media/image8.jpg"/><Relationship Id="rId43" Type="http://schemas.openxmlformats.org/officeDocument/2006/relationships/chart" Target="charts/chart13.xml"/><Relationship Id="rId48" Type="http://schemas.openxmlformats.org/officeDocument/2006/relationships/chart" Target="charts/chart18.xml"/><Relationship Id="rId64" Type="http://schemas.openxmlformats.org/officeDocument/2006/relationships/chart" Target="charts/chart29.xml"/><Relationship Id="rId69" Type="http://schemas.openxmlformats.org/officeDocument/2006/relationships/chart" Target="charts/chart34.xml"/><Relationship Id="rId113" Type="http://schemas.openxmlformats.org/officeDocument/2006/relationships/hyperlink" Target="mailto:muvun@yahoo.com" TargetMode="External"/><Relationship Id="rId118" Type="http://schemas.openxmlformats.org/officeDocument/2006/relationships/hyperlink" Target="mailto:tebuhosuuya@gmail.com" TargetMode="External"/><Relationship Id="rId134" Type="http://schemas.openxmlformats.org/officeDocument/2006/relationships/hyperlink" Target="mailto:emmwelwa@zesco.co.zm" TargetMode="External"/><Relationship Id="rId139" Type="http://schemas.openxmlformats.org/officeDocument/2006/relationships/hyperlink" Target="mailto:victor.mpundu@dangote.com" TargetMode="External"/><Relationship Id="rId80" Type="http://schemas.openxmlformats.org/officeDocument/2006/relationships/chart" Target="charts/chart44.xml"/><Relationship Id="rId85" Type="http://schemas.openxmlformats.org/officeDocument/2006/relationships/hyperlink" Target="https://www.climatetechwiki.org/technology/lfg_cap" TargetMode="External"/><Relationship Id="rId150" Type="http://schemas.openxmlformats.org/officeDocument/2006/relationships/hyperlink" Target="mailto:dmakwaba@nwsc.com.zm" TargetMode="External"/><Relationship Id="rId155" Type="http://schemas.openxmlformats.org/officeDocument/2006/relationships/hyperlink" Target="mailto:fredbanda@ergaafrica.com" TargetMode="External"/><Relationship Id="rId12" Type="http://schemas.openxmlformats.org/officeDocument/2006/relationships/image" Target="media/image1.png"/><Relationship Id="rId17" Type="http://schemas.openxmlformats.org/officeDocument/2006/relationships/image" Target="media/image4.png"/><Relationship Id="rId33" Type="http://schemas.openxmlformats.org/officeDocument/2006/relationships/chart" Target="charts/chart4.xml"/><Relationship Id="rId38" Type="http://schemas.openxmlformats.org/officeDocument/2006/relationships/chart" Target="charts/chart8.xml"/><Relationship Id="rId59" Type="http://schemas.openxmlformats.org/officeDocument/2006/relationships/chart" Target="charts/chart26.xml"/><Relationship Id="rId103" Type="http://schemas.openxmlformats.org/officeDocument/2006/relationships/hyperlink" Target="mailto:jseulu@itswild.org" TargetMode="External"/><Relationship Id="rId108" Type="http://schemas.openxmlformats.org/officeDocument/2006/relationships/hyperlink" Target="mailto:biston.mbewe@undp.org" TargetMode="External"/><Relationship Id="rId124" Type="http://schemas.openxmlformats.org/officeDocument/2006/relationships/hyperlink" Target="mailto:zuluemumba@yahoo.com" TargetMode="External"/><Relationship Id="rId129" Type="http://schemas.openxmlformats.org/officeDocument/2006/relationships/hyperlink" Target="mailto:ILITONGOKAYWALA@MOE.GOV.ZM" TargetMode="External"/><Relationship Id="rId20" Type="http://schemas.openxmlformats.org/officeDocument/2006/relationships/footer" Target="footer3.xml"/><Relationship Id="rId41" Type="http://schemas.openxmlformats.org/officeDocument/2006/relationships/chart" Target="charts/chart11.xml"/><Relationship Id="rId54" Type="http://schemas.openxmlformats.org/officeDocument/2006/relationships/chart" Target="charts/chart22.xml"/><Relationship Id="rId62" Type="http://schemas.openxmlformats.org/officeDocument/2006/relationships/chart" Target="charts/chart27.xml"/><Relationship Id="rId70" Type="http://schemas.openxmlformats.org/officeDocument/2006/relationships/chart" Target="charts/chart35.xml"/><Relationship Id="rId75" Type="http://schemas.openxmlformats.org/officeDocument/2006/relationships/chart" Target="charts/chart39.xml"/><Relationship Id="rId83" Type="http://schemas.openxmlformats.org/officeDocument/2006/relationships/image" Target="media/image17.png"/><Relationship Id="rId88" Type="http://schemas.openxmlformats.org/officeDocument/2006/relationships/hyperlink" Target="http://www.zamstats.gov.zm" TargetMode="External"/><Relationship Id="rId91" Type="http://schemas.openxmlformats.org/officeDocument/2006/relationships/hyperlink" Target="http://www.mofnp.gov.zm" TargetMode="External"/><Relationship Id="rId96" Type="http://schemas.openxmlformats.org/officeDocument/2006/relationships/hyperlink" Target="mailto:g.kayawe@ashfield.co.zm" TargetMode="External"/><Relationship Id="rId111" Type="http://schemas.openxmlformats.org/officeDocument/2006/relationships/hyperlink" Target="mailto:tasilabanda@ziflp.org.zm" TargetMode="External"/><Relationship Id="rId132" Type="http://schemas.openxmlformats.org/officeDocument/2006/relationships/hyperlink" Target="mailto:rtetamashimba@gmail.com" TargetMode="External"/><Relationship Id="rId140" Type="http://schemas.openxmlformats.org/officeDocument/2006/relationships/hyperlink" Target="mailto:victormpundu23@gmail.com" TargetMode="External"/><Relationship Id="rId145" Type="http://schemas.openxmlformats.org/officeDocument/2006/relationships/hyperlink" Target="mailto:mwalwjordan@indeni.com.zm" TargetMode="External"/><Relationship Id="rId153" Type="http://schemas.openxmlformats.org/officeDocument/2006/relationships/hyperlink" Target="mailto:harold.mulenga@scawzltd.com"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en.wikipedia.org/wiki/Scientific_opinion_on_climate_change" TargetMode="External"/><Relationship Id="rId28" Type="http://schemas.openxmlformats.org/officeDocument/2006/relationships/chart" Target="charts/chart1.xml"/><Relationship Id="rId36" Type="http://schemas.openxmlformats.org/officeDocument/2006/relationships/chart" Target="charts/chart6.xml"/><Relationship Id="rId49" Type="http://schemas.openxmlformats.org/officeDocument/2006/relationships/chart" Target="charts/chart19.xml"/><Relationship Id="rId57" Type="http://schemas.openxmlformats.org/officeDocument/2006/relationships/chart" Target="charts/chart25.xml"/><Relationship Id="rId106" Type="http://schemas.openxmlformats.org/officeDocument/2006/relationships/hyperlink" Target="mailto:phacosia@yahoo.com" TargetMode="External"/><Relationship Id="rId114" Type="http://schemas.openxmlformats.org/officeDocument/2006/relationships/hyperlink" Target="mailto:kbowa@teveta.org.zm" TargetMode="External"/><Relationship Id="rId119" Type="http://schemas.openxmlformats.org/officeDocument/2006/relationships/hyperlink" Target="mailto:msooka@zamstats.gov.zm" TargetMode="External"/><Relationship Id="rId127" Type="http://schemas.openxmlformats.org/officeDocument/2006/relationships/hyperlink" Target="mailto:johnchiluwe@yahoo.co.uk" TargetMode="External"/><Relationship Id="rId10" Type="http://schemas.openxmlformats.org/officeDocument/2006/relationships/footnotes" Target="footnotes.xml"/><Relationship Id="rId31" Type="http://schemas.openxmlformats.org/officeDocument/2006/relationships/chart" Target="charts/chart2.xml"/><Relationship Id="rId44" Type="http://schemas.openxmlformats.org/officeDocument/2006/relationships/chart" Target="charts/chart14.xml"/><Relationship Id="rId52" Type="http://schemas.openxmlformats.org/officeDocument/2006/relationships/image" Target="media/image11.png"/><Relationship Id="rId60" Type="http://schemas.openxmlformats.org/officeDocument/2006/relationships/image" Target="media/image14.png"/><Relationship Id="rId65" Type="http://schemas.openxmlformats.org/officeDocument/2006/relationships/chart" Target="charts/chart30.xml"/><Relationship Id="rId73" Type="http://schemas.openxmlformats.org/officeDocument/2006/relationships/chart" Target="charts/chart37.xml"/><Relationship Id="rId78" Type="http://schemas.openxmlformats.org/officeDocument/2006/relationships/chart" Target="charts/chart42.xml"/><Relationship Id="rId81" Type="http://schemas.openxmlformats.org/officeDocument/2006/relationships/footer" Target="footer5.xml"/><Relationship Id="rId86" Type="http://schemas.openxmlformats.org/officeDocument/2006/relationships/footer" Target="footer7.xml"/><Relationship Id="rId94" Type="http://schemas.openxmlformats.org/officeDocument/2006/relationships/hyperlink" Target="http://documents.worldbank.org/curated/en/358291552021231101/Zambia-Climate-Smart-Agriculture-Investment-Plan-Analyses-to-Support-the-Climate-Smart-Development-of-Zambia-s-Agriculture-Sector" TargetMode="External"/><Relationship Id="rId99" Type="http://schemas.openxmlformats.org/officeDocument/2006/relationships/hyperlink" Target="mailto:joysinyangwe@gmail.com" TargetMode="External"/><Relationship Id="rId101" Type="http://schemas.openxmlformats.org/officeDocument/2006/relationships/hyperlink" Target="mailto:crmumba@itswild.org" TargetMode="External"/><Relationship Id="rId122" Type="http://schemas.openxmlformats.org/officeDocument/2006/relationships/hyperlink" Target="mailto:mmwale@rtsa.org.zm" TargetMode="External"/><Relationship Id="rId130" Type="http://schemas.openxmlformats.org/officeDocument/2006/relationships/hyperlink" Target="mailto:KAYWALA.ILITONGO@GMAIL.COM" TargetMode="External"/><Relationship Id="rId135" Type="http://schemas.openxmlformats.org/officeDocument/2006/relationships/hyperlink" Target="mailto:charitychinkusu@yahoo.com" TargetMode="External"/><Relationship Id="rId143" Type="http://schemas.openxmlformats.org/officeDocument/2006/relationships/hyperlink" Target="mailto:Sydney.matamwandi@outlook.com" TargetMode="External"/><Relationship Id="rId148" Type="http://schemas.openxmlformats.org/officeDocument/2006/relationships/hyperlink" Target="mailto:felix.nsonde@kafubu.co.zm" TargetMode="External"/><Relationship Id="rId151" Type="http://schemas.openxmlformats.org/officeDocument/2006/relationships/hyperlink" Target="mailto:alexie.mpishi@mopani.com.zm" TargetMode="External"/><Relationship Id="rId156" Type="http://schemas.openxmlformats.org/officeDocument/2006/relationships/hyperlink" Target="mailto:chota@zaffico.co.zm"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5.jpeg"/><Relationship Id="rId39" Type="http://schemas.openxmlformats.org/officeDocument/2006/relationships/chart" Target="charts/chart9.xml"/><Relationship Id="rId109" Type="http://schemas.openxmlformats.org/officeDocument/2006/relationships/hyperlink" Target="mailto:aphiri@zema.org.zm" TargetMode="External"/><Relationship Id="rId34" Type="http://schemas.openxmlformats.org/officeDocument/2006/relationships/chart" Target="charts/chart5.xml"/><Relationship Id="rId50" Type="http://schemas.openxmlformats.org/officeDocument/2006/relationships/chart" Target="charts/chart20.xml"/><Relationship Id="rId55" Type="http://schemas.openxmlformats.org/officeDocument/2006/relationships/chart" Target="charts/chart23.xml"/><Relationship Id="rId76" Type="http://schemas.openxmlformats.org/officeDocument/2006/relationships/chart" Target="charts/chart40.xml"/><Relationship Id="rId97" Type="http://schemas.openxmlformats.org/officeDocument/2006/relationships/hyperlink" Target="mailto:avandergoes@snv.org" TargetMode="External"/><Relationship Id="rId104" Type="http://schemas.openxmlformats.org/officeDocument/2006/relationships/hyperlink" Target="mailto:emeldabanda4@gmail.com" TargetMode="External"/><Relationship Id="rId120" Type="http://schemas.openxmlformats.org/officeDocument/2006/relationships/hyperlink" Target="mailto:msooka@live.com" TargetMode="External"/><Relationship Id="rId125" Type="http://schemas.openxmlformats.org/officeDocument/2006/relationships/hyperlink" Target="mailto:kabandapk@gmail.com" TargetMode="External"/><Relationship Id="rId141" Type="http://schemas.openxmlformats.org/officeDocument/2006/relationships/hyperlink" Target="mailto:safety@zpcltd.net" TargetMode="External"/><Relationship Id="rId146" Type="http://schemas.openxmlformats.org/officeDocument/2006/relationships/hyperlink" Target="mailto:phirigj@indeni.com.zm" TargetMode="External"/><Relationship Id="rId7" Type="http://schemas.openxmlformats.org/officeDocument/2006/relationships/styles" Target="styles.xml"/><Relationship Id="rId71" Type="http://schemas.openxmlformats.org/officeDocument/2006/relationships/image" Target="media/image16.png"/><Relationship Id="rId92" Type="http://schemas.openxmlformats.org/officeDocument/2006/relationships/hyperlink" Target="http://www.rea.org.zm/our-projects/solar-projects.html" TargetMode="External"/><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hyperlink" Target="https://en.wikipedia.org/wiki/Global_warming" TargetMode="External"/><Relationship Id="rId40" Type="http://schemas.openxmlformats.org/officeDocument/2006/relationships/chart" Target="charts/chart10.xml"/><Relationship Id="rId45" Type="http://schemas.openxmlformats.org/officeDocument/2006/relationships/chart" Target="charts/chart15.xml"/><Relationship Id="rId66" Type="http://schemas.openxmlformats.org/officeDocument/2006/relationships/chart" Target="charts/chart31.xml"/><Relationship Id="rId87" Type="http://schemas.openxmlformats.org/officeDocument/2006/relationships/footer" Target="footer8.xml"/><Relationship Id="rId110" Type="http://schemas.openxmlformats.org/officeDocument/2006/relationships/hyperlink" Target="mailto:csimwanza@zema.org.zm" TargetMode="External"/><Relationship Id="rId115" Type="http://schemas.openxmlformats.org/officeDocument/2006/relationships/hyperlink" Target="mailto:geoffreykaila@gmail.com" TargetMode="External"/><Relationship Id="rId131" Type="http://schemas.openxmlformats.org/officeDocument/2006/relationships/hyperlink" Target="mailto:georgemilongo@gmail.com" TargetMode="External"/><Relationship Id="rId136" Type="http://schemas.openxmlformats.org/officeDocument/2006/relationships/hyperlink" Target="mailto:peter.vivian-neal@kalaharigeoenergy.com" TargetMode="External"/><Relationship Id="rId157" Type="http://schemas.openxmlformats.org/officeDocument/2006/relationships/hyperlink" Target="mailto:chota1462@gmail.com" TargetMode="External"/><Relationship Id="rId61" Type="http://schemas.openxmlformats.org/officeDocument/2006/relationships/image" Target="media/image15.png"/><Relationship Id="rId82" Type="http://schemas.openxmlformats.org/officeDocument/2006/relationships/footer" Target="footer6.xml"/><Relationship Id="rId152" Type="http://schemas.openxmlformats.org/officeDocument/2006/relationships/hyperlink" Target="mailto:glenda.kasonde@kcm.co.zm" TargetMode="External"/><Relationship Id="rId19" Type="http://schemas.openxmlformats.org/officeDocument/2006/relationships/image" Target="media/image6.png"/><Relationship Id="rId14" Type="http://schemas.openxmlformats.org/officeDocument/2006/relationships/footer" Target="footer1.xml"/><Relationship Id="rId30" Type="http://schemas.openxmlformats.org/officeDocument/2006/relationships/image" Target="media/image10.png"/><Relationship Id="rId35" Type="http://schemas.openxmlformats.org/officeDocument/2006/relationships/footer" Target="footer4.xml"/><Relationship Id="rId56" Type="http://schemas.openxmlformats.org/officeDocument/2006/relationships/chart" Target="charts/chart24.xml"/><Relationship Id="rId77" Type="http://schemas.openxmlformats.org/officeDocument/2006/relationships/chart" Target="charts/chart41.xml"/><Relationship Id="rId100" Type="http://schemas.openxmlformats.org/officeDocument/2006/relationships/hyperlink" Target="mailto:John.Mulongoti@mcti.gov.zm" TargetMode="External"/><Relationship Id="rId105" Type="http://schemas.openxmlformats.org/officeDocument/2006/relationships/hyperlink" Target="mailto:kalalukamunyinda@yahoo.com" TargetMode="External"/><Relationship Id="rId126" Type="http://schemas.openxmlformats.org/officeDocument/2006/relationships/hyperlink" Target="mailto:kabandapk@zccn.org" TargetMode="External"/><Relationship Id="rId147" Type="http://schemas.openxmlformats.org/officeDocument/2006/relationships/hyperlink" Target="mailto:jnyongesa@ndolaenergy.com" TargetMode="External"/><Relationship Id="rId8" Type="http://schemas.openxmlformats.org/officeDocument/2006/relationships/settings" Target="settings.xml"/><Relationship Id="rId51" Type="http://schemas.openxmlformats.org/officeDocument/2006/relationships/chart" Target="charts/chart21.xml"/><Relationship Id="rId72" Type="http://schemas.openxmlformats.org/officeDocument/2006/relationships/chart" Target="charts/chart36.xml"/><Relationship Id="rId93" Type="http://schemas.openxmlformats.org/officeDocument/2006/relationships/hyperlink" Target="https://www.adaptation-undp.org/zambia-stepping-efforts-climate-resilient-future.%20%20Accessed%20on%2009/07/2019" TargetMode="External"/><Relationship Id="rId98" Type="http://schemas.openxmlformats.org/officeDocument/2006/relationships/hyperlink" Target="mailto:magdalena.svensson@gov" TargetMode="External"/><Relationship Id="rId121" Type="http://schemas.openxmlformats.org/officeDocument/2006/relationships/hyperlink" Target="mailto:pmutale@nwasco.org.zm" TargetMode="External"/><Relationship Id="rId142" Type="http://schemas.openxmlformats.org/officeDocument/2006/relationships/hyperlink" Target="mailto:smmatamwandi@ndolalime.co.zm" TargetMode="External"/><Relationship Id="rId3" Type="http://schemas.openxmlformats.org/officeDocument/2006/relationships/customXml" Target="../customXml/item3.xml"/><Relationship Id="rId25" Type="http://schemas.openxmlformats.org/officeDocument/2006/relationships/hyperlink" Target="https://en.wikipedia.org/wiki/Carbon_dioxide_in_Earth%27s_atmosphere" TargetMode="External"/><Relationship Id="rId46" Type="http://schemas.openxmlformats.org/officeDocument/2006/relationships/chart" Target="charts/chart16.xml"/><Relationship Id="rId67" Type="http://schemas.openxmlformats.org/officeDocument/2006/relationships/chart" Target="charts/chart32.xml"/><Relationship Id="rId116" Type="http://schemas.openxmlformats.org/officeDocument/2006/relationships/hyperlink" Target="mailto:muhanyasolar@zamnet.zm" TargetMode="External"/><Relationship Id="rId137" Type="http://schemas.openxmlformats.org/officeDocument/2006/relationships/hyperlink" Target="mailto:aanton@biocarbonpartners.com" TargetMode="External"/><Relationship Id="rId158" Type="http://schemas.openxmlformats.org/officeDocument/2006/relationships/hyperlink" Target="mailto:ntazisk@gmail.com"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carbonmarket-foundation.org/userfiles/zdk/Project-Brief_ECS_Zambia_english.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12.xml.rels><?xml version="1.0" encoding="UTF-8" standalone="yes"?>
<Relationships xmlns="http://schemas.openxmlformats.org/package/2006/relationships"><Relationship Id="rId2" Type="http://schemas.openxmlformats.org/officeDocument/2006/relationships/oleObject" Target="file:///C:\Users\hartl\AppData\Roaming\Microsoft\Excel\BUR%20summary%20ver1%20(version%201)%20(Recovered).xls" TargetMode="External"/><Relationship Id="rId1" Type="http://schemas.openxmlformats.org/officeDocument/2006/relationships/themeOverride" Target="../theme/themeOverride2.xm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6.xml.rels><?xml version="1.0" encoding="UTF-8" standalone="yes"?>
<Relationships xmlns="http://schemas.openxmlformats.org/package/2006/relationships"><Relationship Id="rId1" Type="http://schemas.openxmlformats.org/officeDocument/2006/relationships/oleObject" Target="file:///C:\Users\hartl\OneDrive\Documents\Work%203\ZEMA\GHG%20Inventory\BUR%20GHG\BUR%20Results\Analysis\BUR%20summary%20feed%20from%20TNC.xls" TargetMode="Externa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8.xml.rels><?xml version="1.0" encoding="UTF-8" standalone="yes"?>
<Relationships xmlns="http://schemas.openxmlformats.org/package/2006/relationships"><Relationship Id="rId1" Type="http://schemas.openxmlformats.org/officeDocument/2006/relationships/oleObject" Target="file:///C:\Users\hartl\OneDrive\Documents\Work%203\ZEMA\GHG%20Inventory\BUR%20GHG\BUR%20Results\Analysis\BUR%20summary%20feed%20from%20TNC.xls" TargetMode="Externa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21.xml.rels><?xml version="1.0" encoding="UTF-8" standalone="yes"?>
<Relationships xmlns="http://schemas.openxmlformats.org/package/2006/relationships"><Relationship Id="rId1" Type="http://schemas.openxmlformats.org/officeDocument/2006/relationships/oleObject" Target="file:///C:\Users\hartl\OneDrive\Documents\Work%203\ZEMA\GHG%20Inventory\BUR%20GHG\BUR%20Results\Analysis\BUR%20summary%20feed%20from%20TNC%2018%2003%202020.xls" TargetMode="Externa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25.xml.rels><?xml version="1.0" encoding="UTF-8" standalone="yes"?>
<Relationships xmlns="http://schemas.openxmlformats.org/package/2006/relationships"><Relationship Id="rId1" Type="http://schemas.openxmlformats.org/officeDocument/2006/relationships/oleObject" Target="file:///C:\Users\hartl\OneDrive\Documents\Work%203\ZEMA\GHG%20Inventory\BUR%20GHG\BUR%20Results\Analysis\BUR%20summary%20feed%20from%20TNC%2018%2003%202020.xls"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hartl\OneDrive\Documents\Work%203\ZEMA\GHG%20Inventory\BUR%20GHG\BUR%20Results\Analysis\BUR%20summary%20feed%20from%20TNC%2018%2003%202020.xls" TargetMode="External"/></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Documents\Work%203\ZEMA\GHG%20Inventory\BUR%20GHG\BUR%20Results\Analysis\BUR%20summary%20ver1.xls" TargetMode="Externa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user\Documents\Work%203\ZEMA\GHG%20Inventory\BUR%20GHG\BUR%20Results\Analysis\BUR%20summary%20ver1.xls" TargetMode="External"/></Relationships>
</file>

<file path=word/charts/_rels/chart40.xml.rels><?xml version="1.0" encoding="UTF-8" standalone="yes"?>
<Relationships xmlns="http://schemas.openxmlformats.org/package/2006/relationships"><Relationship Id="rId2" Type="http://schemas.openxmlformats.org/officeDocument/2006/relationships/oleObject" Target="file:///C:\Users\hartl\OneDrive\Documents\Work%203\ZEMA\BUR\Consolidated\Energy%20Mitigation%20Analysis%203%20(Autosaved)%2010092020%20latest%2012.xls" TargetMode="External"/><Relationship Id="rId1" Type="http://schemas.openxmlformats.org/officeDocument/2006/relationships/themeOverride" Target="../theme/themeOverride4.xml"/></Relationships>
</file>

<file path=word/charts/_rels/chart41.xml.rels><?xml version="1.0" encoding="UTF-8" standalone="yes"?>
<Relationships xmlns="http://schemas.openxmlformats.org/package/2006/relationships"><Relationship Id="rId2" Type="http://schemas.openxmlformats.org/officeDocument/2006/relationships/oleObject" Target="file:///C:\Users\hartl\OneDrive\Documents\Work%203\ZEMA\BUR\Consolidated\Energy%20Mitigation%20Analysis%203%20(Autosaved)%2010092020%20latest%2012.xls" TargetMode="External"/><Relationship Id="rId1" Type="http://schemas.openxmlformats.org/officeDocument/2006/relationships/themeOverride" Target="../theme/themeOverride5.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6.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7.xml"/></Relationships>
</file>

<file path=word/charts/_rels/chart44.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8.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Sheet1!$C$5</c:f>
              <c:strCache>
                <c:ptCount val="1"/>
                <c:pt idx="0">
                  <c:v>Quantity of petroleum feedstock (MT)</c:v>
                </c:pt>
              </c:strCache>
            </c:strRef>
          </c:tx>
          <c:spPr>
            <a:solidFill>
              <a:schemeClr val="accent1"/>
            </a:solidFill>
            <a:ln>
              <a:noFill/>
            </a:ln>
            <a:effectLst/>
          </c:spPr>
          <c:invertIfNegative val="0"/>
          <c:cat>
            <c:numRef>
              <c:f>Sheet1!$D$4:$H$4</c:f>
              <c:numCache>
                <c:formatCode>General</c:formatCode>
                <c:ptCount val="5"/>
                <c:pt idx="0">
                  <c:v>2012</c:v>
                </c:pt>
                <c:pt idx="1">
                  <c:v>2013</c:v>
                </c:pt>
                <c:pt idx="2">
                  <c:v>2014</c:v>
                </c:pt>
                <c:pt idx="3">
                  <c:v>2015</c:v>
                </c:pt>
                <c:pt idx="4">
                  <c:v>2016</c:v>
                </c:pt>
              </c:numCache>
            </c:numRef>
          </c:cat>
          <c:val>
            <c:numRef>
              <c:f>Sheet1!$D$5:$H$5</c:f>
              <c:numCache>
                <c:formatCode>#,##0</c:formatCode>
                <c:ptCount val="5"/>
                <c:pt idx="0">
                  <c:v>642683</c:v>
                </c:pt>
                <c:pt idx="1">
                  <c:v>606463</c:v>
                </c:pt>
                <c:pt idx="2">
                  <c:v>559916</c:v>
                </c:pt>
                <c:pt idx="3">
                  <c:v>643180</c:v>
                </c:pt>
                <c:pt idx="4">
                  <c:v>483887</c:v>
                </c:pt>
              </c:numCache>
            </c:numRef>
          </c:val>
          <c:extLst>
            <c:ext xmlns:c16="http://schemas.microsoft.com/office/drawing/2014/chart" uri="{C3380CC4-5D6E-409C-BE32-E72D297353CC}">
              <c16:uniqueId val="{00000000-3E60-49A8-B0D8-8BBAE1E36EEF}"/>
            </c:ext>
          </c:extLst>
        </c:ser>
        <c:dLbls>
          <c:showLegendKey val="0"/>
          <c:showVal val="0"/>
          <c:showCatName val="0"/>
          <c:showSerName val="0"/>
          <c:showPercent val="0"/>
          <c:showBubbleSize val="0"/>
        </c:dLbls>
        <c:gapWidth val="150"/>
        <c:axId val="155063424"/>
        <c:axId val="161152000"/>
      </c:barChart>
      <c:catAx>
        <c:axId val="155063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1152000"/>
        <c:crosses val="autoZero"/>
        <c:auto val="1"/>
        <c:lblAlgn val="ctr"/>
        <c:lblOffset val="100"/>
        <c:noMultiLvlLbl val="0"/>
      </c:catAx>
      <c:valAx>
        <c:axId val="1611520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Quantity of petroleum feedstock (MT)</a:t>
                </a:r>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06342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75360298272575"/>
          <c:y val="0.13738599748202207"/>
          <c:w val="0.75141885389326335"/>
          <c:h val="0.49847793446580507"/>
        </c:manualLayout>
      </c:layout>
      <c:lineChart>
        <c:grouping val="standard"/>
        <c:varyColors val="0"/>
        <c:ser>
          <c:idx val="1"/>
          <c:order val="0"/>
          <c:tx>
            <c:strRef>
              <c:f>'By Gas'!$K$28</c:f>
              <c:strCache>
                <c:ptCount val="1"/>
                <c:pt idx="0">
                  <c:v>CO2</c:v>
                </c:pt>
              </c:strCache>
            </c:strRef>
          </c:tx>
          <c:spPr>
            <a:ln w="28575" cap="rnd">
              <a:solidFill>
                <a:schemeClr val="accent1"/>
              </a:solidFill>
              <a:prstDash val="sysDot"/>
              <a:round/>
            </a:ln>
            <a:effectLst/>
          </c:spPr>
          <c:marker>
            <c:symbol val="none"/>
          </c:marker>
          <c:cat>
            <c:numRef>
              <c:f>'By Gas'!$J$29:$J$38</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'By Gas'!$K$29:$K$38</c:f>
              <c:numCache>
                <c:formatCode>#,##0.0</c:formatCode>
                <c:ptCount val="10"/>
                <c:pt idx="0">
                  <c:v>76288.886734607077</c:v>
                </c:pt>
                <c:pt idx="1">
                  <c:v>91162.271234771135</c:v>
                </c:pt>
                <c:pt idx="2">
                  <c:v>94606.890236130595</c:v>
                </c:pt>
                <c:pt idx="3">
                  <c:v>106558.02988966917</c:v>
                </c:pt>
                <c:pt idx="4">
                  <c:v>103388.85792592428</c:v>
                </c:pt>
                <c:pt idx="5">
                  <c:v>107664.38276692164</c:v>
                </c:pt>
                <c:pt idx="6">
                  <c:v>109760.89864121386</c:v>
                </c:pt>
                <c:pt idx="7">
                  <c:v>110575.73435457094</c:v>
                </c:pt>
                <c:pt idx="8">
                  <c:v>111164.95386107462</c:v>
                </c:pt>
                <c:pt idx="9">
                  <c:v>110828.45459821755</c:v>
                </c:pt>
              </c:numCache>
            </c:numRef>
          </c:val>
          <c:smooth val="0"/>
          <c:extLst>
            <c:ext xmlns:c16="http://schemas.microsoft.com/office/drawing/2014/chart" uri="{C3380CC4-5D6E-409C-BE32-E72D297353CC}">
              <c16:uniqueId val="{00000000-8FE2-46CD-AEC4-2FE03F9844B5}"/>
            </c:ext>
          </c:extLst>
        </c:ser>
        <c:ser>
          <c:idx val="2"/>
          <c:order val="1"/>
          <c:tx>
            <c:strRef>
              <c:f>'By Gas'!$L$28</c:f>
              <c:strCache>
                <c:ptCount val="1"/>
                <c:pt idx="0">
                  <c:v>CH4</c:v>
                </c:pt>
              </c:strCache>
            </c:strRef>
          </c:tx>
          <c:spPr>
            <a:ln w="44450" cap="flat">
              <a:solidFill>
                <a:schemeClr val="accent3"/>
              </a:solidFill>
              <a:prstDash val="sysDash"/>
              <a:round/>
            </a:ln>
            <a:effectLst/>
          </c:spPr>
          <c:marker>
            <c:symbol val="none"/>
          </c:marker>
          <c:cat>
            <c:numRef>
              <c:f>'By Gas'!$J$29:$J$38</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'By Gas'!$L$29:$L$38</c:f>
              <c:numCache>
                <c:formatCode>#,##0.0</c:formatCode>
                <c:ptCount val="10"/>
                <c:pt idx="0">
                  <c:v>6880.7260626057414</c:v>
                </c:pt>
                <c:pt idx="1">
                  <c:v>7754.5106660623005</c:v>
                </c:pt>
                <c:pt idx="2">
                  <c:v>7909.5889417584349</c:v>
                </c:pt>
                <c:pt idx="3">
                  <c:v>9540.9180320654978</c:v>
                </c:pt>
                <c:pt idx="4">
                  <c:v>9790.790251763663</c:v>
                </c:pt>
                <c:pt idx="5">
                  <c:v>9812.93783413866</c:v>
                </c:pt>
                <c:pt idx="6">
                  <c:v>9935.9320143647383</c:v>
                </c:pt>
                <c:pt idx="7">
                  <c:v>10149.975771908958</c:v>
                </c:pt>
                <c:pt idx="8">
                  <c:v>10793.674497205227</c:v>
                </c:pt>
                <c:pt idx="9">
                  <c:v>11413.075391200782</c:v>
                </c:pt>
              </c:numCache>
            </c:numRef>
          </c:val>
          <c:smooth val="0"/>
          <c:extLst>
            <c:ext xmlns:c16="http://schemas.microsoft.com/office/drawing/2014/chart" uri="{C3380CC4-5D6E-409C-BE32-E72D297353CC}">
              <c16:uniqueId val="{00000001-8FE2-46CD-AEC4-2FE03F9844B5}"/>
            </c:ext>
          </c:extLst>
        </c:ser>
        <c:ser>
          <c:idx val="3"/>
          <c:order val="2"/>
          <c:tx>
            <c:strRef>
              <c:f>'By Gas'!$M$28</c:f>
              <c:strCache>
                <c:ptCount val="1"/>
                <c:pt idx="0">
                  <c:v>N2O</c:v>
                </c:pt>
              </c:strCache>
            </c:strRef>
          </c:tx>
          <c:spPr>
            <a:ln w="28575" cap="rnd">
              <a:solidFill>
                <a:schemeClr val="accent1"/>
              </a:solidFill>
              <a:prstDash val="dashDot"/>
              <a:round/>
            </a:ln>
            <a:effectLst/>
          </c:spPr>
          <c:marker>
            <c:symbol val="none"/>
          </c:marker>
          <c:cat>
            <c:numRef>
              <c:f>'By Gas'!$J$29:$J$38</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'By Gas'!$M$29:$M$38</c:f>
              <c:numCache>
                <c:formatCode>#,##0.0</c:formatCode>
                <c:ptCount val="10"/>
                <c:pt idx="0">
                  <c:v>2628.533570235657</c:v>
                </c:pt>
                <c:pt idx="1">
                  <c:v>3063.599913747888</c:v>
                </c:pt>
                <c:pt idx="2">
                  <c:v>4359.1476899407189</c:v>
                </c:pt>
                <c:pt idx="3">
                  <c:v>4284.0731540621919</c:v>
                </c:pt>
                <c:pt idx="4">
                  <c:v>4404.2447726105438</c:v>
                </c:pt>
                <c:pt idx="5">
                  <c:v>4220.576092743795</c:v>
                </c:pt>
                <c:pt idx="6">
                  <c:v>4099.2601711437428</c:v>
                </c:pt>
                <c:pt idx="7">
                  <c:v>4227.9873036011959</c:v>
                </c:pt>
                <c:pt idx="8">
                  <c:v>4364.8756170943388</c:v>
                </c:pt>
                <c:pt idx="9">
                  <c:v>4405.5251483031498</c:v>
                </c:pt>
              </c:numCache>
            </c:numRef>
          </c:val>
          <c:smooth val="0"/>
          <c:extLst>
            <c:ext xmlns:c16="http://schemas.microsoft.com/office/drawing/2014/chart" uri="{C3380CC4-5D6E-409C-BE32-E72D297353CC}">
              <c16:uniqueId val="{00000002-8FE2-46CD-AEC4-2FE03F9844B5}"/>
            </c:ext>
          </c:extLst>
        </c:ser>
        <c:ser>
          <c:idx val="4"/>
          <c:order val="3"/>
          <c:tx>
            <c:strRef>
              <c:f>'By Gas'!$N$28</c:f>
              <c:strCache>
                <c:ptCount val="1"/>
                <c:pt idx="0">
                  <c:v>HFCs</c:v>
                </c:pt>
              </c:strCache>
            </c:strRef>
          </c:tx>
          <c:spPr>
            <a:ln w="28575" cap="rnd">
              <a:solidFill>
                <a:schemeClr val="accent5"/>
              </a:solidFill>
              <a:round/>
            </a:ln>
            <a:effectLst/>
          </c:spPr>
          <c:marker>
            <c:symbol val="none"/>
          </c:marker>
          <c:cat>
            <c:numRef>
              <c:f>'By Gas'!$J$29:$J$38</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'By Gas'!$N$29:$N$38</c:f>
              <c:numCache>
                <c:formatCode>#,##0.0</c:formatCode>
                <c:ptCount val="10"/>
                <c:pt idx="0">
                  <c:v>4.3441733852552789</c:v>
                </c:pt>
                <c:pt idx="1">
                  <c:v>19.076256622916802</c:v>
                </c:pt>
                <c:pt idx="2">
                  <c:v>34.578865891690739</c:v>
                </c:pt>
                <c:pt idx="3">
                  <c:v>60.586496290630208</c:v>
                </c:pt>
                <c:pt idx="4">
                  <c:v>70.1458383152913</c:v>
                </c:pt>
                <c:pt idx="5">
                  <c:v>77.609712476976014</c:v>
                </c:pt>
                <c:pt idx="6">
                  <c:v>85.434880764499056</c:v>
                </c:pt>
                <c:pt idx="7">
                  <c:v>93.639038883734543</c:v>
                </c:pt>
                <c:pt idx="8">
                  <c:v>102.24073584485082</c:v>
                </c:pt>
                <c:pt idx="9">
                  <c:v>111.25942510900596</c:v>
                </c:pt>
              </c:numCache>
            </c:numRef>
          </c:val>
          <c:smooth val="0"/>
          <c:extLst>
            <c:ext xmlns:c16="http://schemas.microsoft.com/office/drawing/2014/chart" uri="{C3380CC4-5D6E-409C-BE32-E72D297353CC}">
              <c16:uniqueId val="{00000003-8FE2-46CD-AEC4-2FE03F9844B5}"/>
            </c:ext>
          </c:extLst>
        </c:ser>
        <c:ser>
          <c:idx val="5"/>
          <c:order val="4"/>
          <c:tx>
            <c:strRef>
              <c:f>'By Gas'!$O$28</c:f>
              <c:strCache>
                <c:ptCount val="1"/>
                <c:pt idx="0">
                  <c:v>SF6</c:v>
                </c:pt>
              </c:strCache>
            </c:strRef>
          </c:tx>
          <c:spPr>
            <a:ln w="28575" cap="rnd">
              <a:solidFill>
                <a:schemeClr val="accent6"/>
              </a:solidFill>
              <a:round/>
            </a:ln>
            <a:effectLst/>
          </c:spPr>
          <c:marker>
            <c:symbol val="none"/>
          </c:marker>
          <c:cat>
            <c:numRef>
              <c:f>'By Gas'!$J$29:$J$38</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'By Gas'!$O$29:$O$38</c:f>
              <c:numCache>
                <c:formatCode>#,##0.0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4-8FE2-46CD-AEC4-2FE03F9844B5}"/>
            </c:ext>
          </c:extLst>
        </c:ser>
        <c:dLbls>
          <c:showLegendKey val="0"/>
          <c:showVal val="0"/>
          <c:showCatName val="0"/>
          <c:showSerName val="0"/>
          <c:showPercent val="0"/>
          <c:showBubbleSize val="0"/>
        </c:dLbls>
        <c:smooth val="0"/>
        <c:axId val="196154112"/>
        <c:axId val="196155648"/>
      </c:lineChart>
      <c:catAx>
        <c:axId val="196154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a:pPr>
            <a:endParaRPr lang="en-US"/>
          </a:p>
        </c:txPr>
        <c:crossAx val="196155648"/>
        <c:crosses val="autoZero"/>
        <c:auto val="1"/>
        <c:lblAlgn val="ctr"/>
        <c:lblOffset val="100"/>
        <c:noMultiLvlLbl val="0"/>
      </c:catAx>
      <c:valAx>
        <c:axId val="19615564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GHG Emissions (Gg CO2 eq)</a:t>
                </a:r>
              </a:p>
            </c:rich>
          </c:tx>
          <c:overlay val="0"/>
          <c:spPr>
            <a:noFill/>
            <a:ln w="25400">
              <a:noFill/>
            </a:ln>
          </c:spPr>
        </c:title>
        <c:numFmt formatCode="#,##0.0" sourceLinked="1"/>
        <c:majorTickMark val="none"/>
        <c:minorTickMark val="none"/>
        <c:tickLblPos val="nextTo"/>
        <c:spPr>
          <a:ln w="6350">
            <a:noFill/>
          </a:ln>
        </c:spPr>
        <c:txPr>
          <a:bodyPr rot="0" vert="horz"/>
          <a:lstStyle/>
          <a:p>
            <a:pPr>
              <a:defRPr/>
            </a:pPr>
            <a:endParaRPr lang="en-US"/>
          </a:p>
        </c:txPr>
        <c:crossAx val="196154112"/>
        <c:crosses val="autoZero"/>
        <c:crossBetween val="between"/>
      </c:valAx>
      <c:dTable>
        <c:showHorzBorder val="1"/>
        <c:showVertBorder val="1"/>
        <c:showOutline val="1"/>
        <c:showKeys val="1"/>
        <c:spPr>
          <a:noFill/>
          <a:ln w="9525" cap="flat" cmpd="sng" algn="ctr">
            <a:solidFill>
              <a:schemeClr val="tx1">
                <a:lumMod val="95000"/>
                <a:lumOff val="5000"/>
              </a:schemeClr>
            </a:solidFill>
            <a:round/>
          </a:ln>
          <a:effectLst/>
        </c:spPr>
      </c:dTable>
      <c:spPr>
        <a:noFill/>
        <a:ln w="25400">
          <a:noFill/>
        </a:ln>
      </c:spPr>
    </c:plotArea>
    <c:plotVisOnly val="1"/>
    <c:dispBlanksAs val="gap"/>
    <c:showDLblsOverMax val="0"/>
  </c:chart>
  <c:spPr>
    <a:solidFill>
      <a:schemeClr val="bg1"/>
    </a:solidFill>
    <a:ln w="9525" cap="flat" cmpd="sng" algn="ctr">
      <a:solidFill>
        <a:schemeClr val="tx1"/>
      </a:solidFill>
      <a:round/>
    </a:ln>
    <a:effectLst/>
  </c:spPr>
  <c:txPr>
    <a:bodyPr/>
    <a:lstStyle/>
    <a:p>
      <a:pPr>
        <a:defRPr sz="900" b="0" i="0" u="none" strike="noStrike" baseline="0">
          <a:solidFill>
            <a:srgbClr val="000000"/>
          </a:solidFill>
          <a:latin typeface="Garamond" panose="02020404030301010803" pitchFamily="18" charset="0"/>
          <a:ea typeface="Calibri"/>
          <a:cs typeface="Calibri"/>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948293417492472"/>
          <c:y val="0.13175003124609425"/>
          <c:w val="0.47671527334740937"/>
          <c:h val="0.64683714535683035"/>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13F-40AF-9AF5-2CF904D1C42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13F-40AF-9AF5-2CF904D1C42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13F-40AF-9AF5-2CF904D1C42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13F-40AF-9AF5-2CF904D1C428}"/>
              </c:ext>
            </c:extLst>
          </c:dPt>
          <c:dLbls>
            <c:dLbl>
              <c:idx val="0"/>
              <c:layout>
                <c:manualLayout>
                  <c:x val="1.1609709349206611E-2"/>
                  <c:y val="-2.1810243555489255E-2"/>
                </c:manualLayout>
              </c:layout>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13F-40AF-9AF5-2CF904D1C428}"/>
                </c:ext>
              </c:extLst>
            </c:dLbl>
            <c:dLbl>
              <c:idx val="1"/>
              <c:layout>
                <c:manualLayout>
                  <c:x val="0.2720869382433615"/>
                  <c:y val="1.2698412698412582E-2"/>
                </c:manualLayout>
              </c:layout>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13F-40AF-9AF5-2CF904D1C428}"/>
                </c:ext>
              </c:extLst>
            </c:dLbl>
            <c:dLbl>
              <c:idx val="2"/>
              <c:layout>
                <c:manualLayout>
                  <c:x val="-3.1794713932363397E-2"/>
                  <c:y val="7.3197946013628959E-2"/>
                </c:manualLayout>
              </c:layout>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613F-40AF-9AF5-2CF904D1C428}"/>
                </c:ext>
              </c:extLst>
            </c:dLbl>
            <c:dLbl>
              <c:idx val="3"/>
              <c:layout>
                <c:manualLayout>
                  <c:x val="-7.8697223032306141E-2"/>
                  <c:y val="-1.0720821594548405E-2"/>
                </c:manualLayout>
              </c:layout>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613F-40AF-9AF5-2CF904D1C428}"/>
                </c:ext>
              </c:extLst>
            </c:dLbl>
            <c:spPr>
              <a:noFill/>
              <a:ln w="25400">
                <a:noFill/>
              </a:ln>
            </c:spPr>
            <c:dLblPos val="outEnd"/>
            <c:showLegendKey val="1"/>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'CO2 AFOLU'!$D$25:$D$28</c:f>
              <c:strCache>
                <c:ptCount val="4"/>
                <c:pt idx="0">
                  <c:v>Wood Removal</c:v>
                </c:pt>
                <c:pt idx="1">
                  <c:v>Fuel Wood Removal</c:v>
                </c:pt>
                <c:pt idx="2">
                  <c:v>Crop land</c:v>
                </c:pt>
                <c:pt idx="3">
                  <c:v>Settlements</c:v>
                </c:pt>
              </c:strCache>
            </c:strRef>
          </c:cat>
          <c:val>
            <c:numRef>
              <c:f>'CO2 AFOLU'!$N$15:$N$18</c:f>
              <c:numCache>
                <c:formatCode>#,##0.0</c:formatCode>
                <c:ptCount val="4"/>
                <c:pt idx="0">
                  <c:v>35022.230173333337</c:v>
                </c:pt>
                <c:pt idx="1">
                  <c:v>35877.856226666663</c:v>
                </c:pt>
                <c:pt idx="2">
                  <c:v>21855.681824166666</c:v>
                </c:pt>
                <c:pt idx="3">
                  <c:v>9851.7774905000006</c:v>
                </c:pt>
              </c:numCache>
            </c:numRef>
          </c:val>
          <c:extLst>
            <c:ext xmlns:c16="http://schemas.microsoft.com/office/drawing/2014/chart" uri="{C3380CC4-5D6E-409C-BE32-E72D297353CC}">
              <c16:uniqueId val="{00000008-613F-40AF-9AF5-2CF904D1C428}"/>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Garamond" panose="02020404030301010803" pitchFamily="18" charset="0"/>
          <a:ea typeface="Calibri"/>
          <a:cs typeface="Calibri"/>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'Energy Summary'!$U$5</c:f>
              <c:strCache>
                <c:ptCount val="1"/>
                <c:pt idx="0">
                  <c:v>1 - Energy </c:v>
                </c:pt>
              </c:strCache>
            </c:strRef>
          </c:tx>
          <c:spPr>
            <a:solidFill>
              <a:srgbClr val="5B9BD5"/>
            </a:solidFill>
            <a:ln w="25400">
              <a:noFill/>
            </a:ln>
          </c:spPr>
          <c:invertIfNegative val="0"/>
          <c:cat>
            <c:numRef>
              <c:f>'Energy Summary'!$V$4:$AE$4</c:f>
              <c:numCache>
                <c:formatCode>0</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'Energy Summary'!$V$5:$AE$5</c:f>
              <c:numCache>
                <c:formatCode>0.0</c:formatCode>
                <c:ptCount val="10"/>
                <c:pt idx="0">
                  <c:v>2179.3693073282998</c:v>
                </c:pt>
                <c:pt idx="1">
                  <c:v>1743.5072350562</c:v>
                </c:pt>
                <c:pt idx="2">
                  <c:v>2158.8837895834999</c:v>
                </c:pt>
                <c:pt idx="3">
                  <c:v>3155.8232906998996</c:v>
                </c:pt>
                <c:pt idx="4">
                  <c:v>3400.5924121958806</c:v>
                </c:pt>
                <c:pt idx="5">
                  <c:v>6796.9159509642004</c:v>
                </c:pt>
                <c:pt idx="6">
                  <c:v>7752.2831068180813</c:v>
                </c:pt>
                <c:pt idx="7">
                  <c:v>7737.8949859019995</c:v>
                </c:pt>
                <c:pt idx="8">
                  <c:v>7049.7549671077395</c:v>
                </c:pt>
                <c:pt idx="9">
                  <c:v>6443.6880310353999</c:v>
                </c:pt>
              </c:numCache>
            </c:numRef>
          </c:val>
          <c:extLst>
            <c:ext xmlns:c16="http://schemas.microsoft.com/office/drawing/2014/chart" uri="{C3380CC4-5D6E-409C-BE32-E72D297353CC}">
              <c16:uniqueId val="{00000000-C6AF-473E-966B-DC717D7B0A00}"/>
            </c:ext>
          </c:extLst>
        </c:ser>
        <c:dLbls>
          <c:showLegendKey val="0"/>
          <c:showVal val="0"/>
          <c:showCatName val="0"/>
          <c:showSerName val="0"/>
          <c:showPercent val="0"/>
          <c:showBubbleSize val="0"/>
        </c:dLbls>
        <c:gapWidth val="150"/>
        <c:axId val="278446464"/>
        <c:axId val="278448000"/>
      </c:barChart>
      <c:catAx>
        <c:axId val="27844646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278448000"/>
        <c:crosses val="autoZero"/>
        <c:auto val="1"/>
        <c:lblAlgn val="ctr"/>
        <c:lblOffset val="100"/>
        <c:noMultiLvlLbl val="0"/>
      </c:catAx>
      <c:valAx>
        <c:axId val="278448000"/>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200"/>
                </a:pPr>
                <a:r>
                  <a:rPr lang="en-US" sz="1200"/>
                  <a:t>GHG</a:t>
                </a:r>
                <a:r>
                  <a:rPr lang="en-US" sz="1200" baseline="0"/>
                  <a:t> emissions  Gg CO2 eq</a:t>
                </a:r>
                <a:endParaRPr lang="en-US" sz="1200"/>
              </a:p>
            </c:rich>
          </c:tx>
          <c:layout>
            <c:manualLayout>
              <c:xMode val="edge"/>
              <c:yMode val="edge"/>
              <c:x val="1.3157894736842105E-2"/>
              <c:y val="0.10238990318295378"/>
            </c:manualLayout>
          </c:layout>
          <c:overlay val="0"/>
        </c:title>
        <c:numFmt formatCode="0.0" sourceLinked="1"/>
        <c:majorTickMark val="none"/>
        <c:minorTickMark val="none"/>
        <c:tickLblPos val="nextTo"/>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crossAx val="278446464"/>
        <c:crosses val="autoZero"/>
        <c:crossBetween val="between"/>
      </c:valAx>
      <c:dTable>
        <c:showHorzBorder val="1"/>
        <c:showVertBorder val="1"/>
        <c:showOutline val="1"/>
        <c:showKeys val="1"/>
        <c:txPr>
          <a:bodyPr/>
          <a:lstStyle/>
          <a:p>
            <a:pPr rtl="0">
              <a:defRPr>
                <a:latin typeface="Garamond" panose="02020404030301010803" pitchFamily="18" charset="0"/>
              </a:defRPr>
            </a:pPr>
            <a:endParaRPr lang="en-US"/>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percentStacked"/>
        <c:varyColors val="0"/>
        <c:ser>
          <c:idx val="0"/>
          <c:order val="0"/>
          <c:tx>
            <c:strRef>
              <c:f>'Sector by gas'!$D$51</c:f>
              <c:strCache>
                <c:ptCount val="1"/>
                <c:pt idx="0">
                  <c:v> CO2 (Gg)</c:v>
                </c:pt>
              </c:strCache>
            </c:strRef>
          </c:tx>
          <c:spPr>
            <a:pattFill prst="pct90">
              <a:fgClr>
                <a:schemeClr val="accent1"/>
              </a:fgClr>
              <a:bgClr>
                <a:schemeClr val="bg1"/>
              </a:bgClr>
            </a:pattFill>
            <a:ln>
              <a:solidFill>
                <a:schemeClr val="tx1"/>
              </a:solidFill>
            </a:ln>
            <a:effectLst/>
          </c:spPr>
          <c:invertIfNegative val="0"/>
          <c:cat>
            <c:numRef>
              <c:f>'Sector by gas'!$C$52:$C$61</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'Sector by gas'!$D$52:$D$61</c:f>
              <c:numCache>
                <c:formatCode>0.0</c:formatCode>
                <c:ptCount val="10"/>
                <c:pt idx="0">
                  <c:v>2005.4615270000002</c:v>
                </c:pt>
                <c:pt idx="1">
                  <c:v>1536.9948450000002</c:v>
                </c:pt>
                <c:pt idx="2">
                  <c:v>1920.0412732000002</c:v>
                </c:pt>
                <c:pt idx="3">
                  <c:v>2791.2715267999997</c:v>
                </c:pt>
                <c:pt idx="4">
                  <c:v>3109.5142310000006</c:v>
                </c:pt>
                <c:pt idx="5">
                  <c:v>6395.7192325000005</c:v>
                </c:pt>
                <c:pt idx="6">
                  <c:v>7456.1584676000011</c:v>
                </c:pt>
                <c:pt idx="7">
                  <c:v>7441.026635199999</c:v>
                </c:pt>
                <c:pt idx="8">
                  <c:v>6746.2099107999993</c:v>
                </c:pt>
                <c:pt idx="9">
                  <c:v>6137.4198642000001</c:v>
                </c:pt>
              </c:numCache>
            </c:numRef>
          </c:val>
          <c:extLst>
            <c:ext xmlns:c16="http://schemas.microsoft.com/office/drawing/2014/chart" uri="{C3380CC4-5D6E-409C-BE32-E72D297353CC}">
              <c16:uniqueId val="{00000000-D9F5-43E2-87B1-889D5B1FECCD}"/>
            </c:ext>
          </c:extLst>
        </c:ser>
        <c:ser>
          <c:idx val="1"/>
          <c:order val="1"/>
          <c:tx>
            <c:strRef>
              <c:f>'Sector by gas'!$E$51</c:f>
              <c:strCache>
                <c:ptCount val="1"/>
                <c:pt idx="0">
                  <c:v>CH4(Gg)</c:v>
                </c:pt>
              </c:strCache>
            </c:strRef>
          </c:tx>
          <c:spPr>
            <a:pattFill prst="dkUpDiag">
              <a:fgClr>
                <a:srgbClr val="5B9BD5"/>
              </a:fgClr>
              <a:bgClr>
                <a:srgbClr val="FFFFFF"/>
              </a:bgClr>
            </a:pattFill>
            <a:ln w="25400">
              <a:noFill/>
            </a:ln>
          </c:spPr>
          <c:invertIfNegative val="0"/>
          <c:cat>
            <c:numRef>
              <c:f>'Sector by gas'!$C$52:$C$61</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'Sector by gas'!$E$52:$E$61</c:f>
              <c:numCache>
                <c:formatCode>0.0</c:formatCode>
                <c:ptCount val="10"/>
                <c:pt idx="0">
                  <c:v>57.940027578300004</c:v>
                </c:pt>
                <c:pt idx="1">
                  <c:v>69.144592066200005</c:v>
                </c:pt>
                <c:pt idx="2">
                  <c:v>79.716442795500001</c:v>
                </c:pt>
                <c:pt idx="3">
                  <c:v>121.0471862439</c:v>
                </c:pt>
                <c:pt idx="4">
                  <c:v>96.91596768588002</c:v>
                </c:pt>
                <c:pt idx="5">
                  <c:v>131.88517159020003</c:v>
                </c:pt>
                <c:pt idx="6">
                  <c:v>97.255701784079974</c:v>
                </c:pt>
                <c:pt idx="7">
                  <c:v>97.105460129999997</c:v>
                </c:pt>
                <c:pt idx="8">
                  <c:v>99.456056215740006</c:v>
                </c:pt>
                <c:pt idx="9">
                  <c:v>100.0682776674</c:v>
                </c:pt>
              </c:numCache>
            </c:numRef>
          </c:val>
          <c:extLst>
            <c:ext xmlns:c16="http://schemas.microsoft.com/office/drawing/2014/chart" uri="{C3380CC4-5D6E-409C-BE32-E72D297353CC}">
              <c16:uniqueId val="{00000001-D9F5-43E2-87B1-889D5B1FECCD}"/>
            </c:ext>
          </c:extLst>
        </c:ser>
        <c:ser>
          <c:idx val="2"/>
          <c:order val="2"/>
          <c:tx>
            <c:strRef>
              <c:f>'Sector by gas'!$F$51</c:f>
              <c:strCache>
                <c:ptCount val="1"/>
                <c:pt idx="0">
                  <c:v>N2O (Gg)</c:v>
                </c:pt>
              </c:strCache>
            </c:strRef>
          </c:tx>
          <c:spPr>
            <a:solidFill>
              <a:srgbClr val="A5A5A5"/>
            </a:solidFill>
            <a:ln w="25400">
              <a:noFill/>
            </a:ln>
          </c:spPr>
          <c:invertIfNegative val="0"/>
          <c:cat>
            <c:numRef>
              <c:f>'Sector by gas'!$C$52:$C$61</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'Sector by gas'!$F$52:$F$61</c:f>
              <c:numCache>
                <c:formatCode>0.0</c:formatCode>
                <c:ptCount val="10"/>
                <c:pt idx="0">
                  <c:v>115.96775274999997</c:v>
                </c:pt>
                <c:pt idx="1">
                  <c:v>137.36779798999999</c:v>
                </c:pt>
                <c:pt idx="2">
                  <c:v>159.126073588</c:v>
                </c:pt>
                <c:pt idx="3">
                  <c:v>243.50457765599998</c:v>
                </c:pt>
                <c:pt idx="4">
                  <c:v>194.16221351000002</c:v>
                </c:pt>
                <c:pt idx="5">
                  <c:v>269.31154687399999</c:v>
                </c:pt>
                <c:pt idx="6">
                  <c:v>198.86893743399997</c:v>
                </c:pt>
                <c:pt idx="7">
                  <c:v>199.76289057199998</c:v>
                </c:pt>
                <c:pt idx="8">
                  <c:v>204.08900009199999</c:v>
                </c:pt>
                <c:pt idx="9">
                  <c:v>206.199889168</c:v>
                </c:pt>
              </c:numCache>
            </c:numRef>
          </c:val>
          <c:extLst>
            <c:ext xmlns:c16="http://schemas.microsoft.com/office/drawing/2014/chart" uri="{C3380CC4-5D6E-409C-BE32-E72D297353CC}">
              <c16:uniqueId val="{00000002-D9F5-43E2-87B1-889D5B1FECCD}"/>
            </c:ext>
          </c:extLst>
        </c:ser>
        <c:dLbls>
          <c:showLegendKey val="0"/>
          <c:showVal val="0"/>
          <c:showCatName val="0"/>
          <c:showSerName val="0"/>
          <c:showPercent val="0"/>
          <c:showBubbleSize val="0"/>
        </c:dLbls>
        <c:gapWidth val="95"/>
        <c:overlap val="100"/>
        <c:axId val="283318912"/>
        <c:axId val="283324800"/>
      </c:barChart>
      <c:catAx>
        <c:axId val="283318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283324800"/>
        <c:crosses val="autoZero"/>
        <c:auto val="1"/>
        <c:lblAlgn val="ctr"/>
        <c:lblOffset val="100"/>
        <c:noMultiLvlLbl val="0"/>
      </c:catAx>
      <c:valAx>
        <c:axId val="283324800"/>
        <c:scaling>
          <c:orientation val="minMax"/>
          <c:min val="0"/>
        </c:scaling>
        <c:delete val="0"/>
        <c:axPos val="l"/>
        <c:majorGridlines>
          <c:spPr>
            <a:ln w="9525" cap="flat" cmpd="sng" algn="ctr">
              <a:solidFill>
                <a:schemeClr val="tx1">
                  <a:lumMod val="15000"/>
                  <a:lumOff val="85000"/>
                </a:schemeClr>
              </a:solidFill>
              <a:round/>
            </a:ln>
            <a:effectLst/>
          </c:spPr>
        </c:majorGridlines>
        <c:title>
          <c:overlay val="0"/>
          <c:spPr>
            <a:noFill/>
            <a:ln w="25400">
              <a:noFill/>
            </a:ln>
          </c:spPr>
          <c:txPr>
            <a:bodyPr/>
            <a:lstStyle/>
            <a:p>
              <a:pPr>
                <a:defRPr sz="1000" b="0" i="0" u="none" strike="noStrike" baseline="0">
                  <a:solidFill>
                    <a:srgbClr val="333333"/>
                  </a:solidFill>
                  <a:latin typeface="Calibri"/>
                  <a:ea typeface="Calibri"/>
                  <a:cs typeface="Calibri"/>
                </a:defRPr>
              </a:pPr>
              <a:endParaRPr lang="en-US"/>
            </a:p>
          </c:txPr>
        </c:title>
        <c:numFmt formatCode="0%" sourceLinked="1"/>
        <c:majorTickMark val="none"/>
        <c:minorTickMark val="none"/>
        <c:tickLblPos val="nextTo"/>
        <c:spPr>
          <a:ln w="6350">
            <a:noFill/>
          </a:ln>
        </c:spPr>
        <c:txPr>
          <a:bodyPr rot="0" vert="horz"/>
          <a:lstStyle/>
          <a:p>
            <a:pPr>
              <a:defRPr sz="900" b="0" i="0" u="none" strike="noStrike" baseline="0">
                <a:solidFill>
                  <a:srgbClr val="000000"/>
                </a:solidFill>
                <a:latin typeface="Calibri"/>
                <a:ea typeface="Calibri"/>
                <a:cs typeface="Calibri"/>
              </a:defRPr>
            </a:pPr>
            <a:endParaRPr lang="en-US"/>
          </a:p>
        </c:txPr>
        <c:crossAx val="2833189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900" b="0" i="0" u="none" strike="noStrike" baseline="0">
                <a:solidFill>
                  <a:srgbClr val="000000"/>
                </a:solidFill>
                <a:latin typeface="Calibri"/>
                <a:ea typeface="Calibri"/>
                <a:cs typeface="Calibri"/>
              </a:defRPr>
            </a:pPr>
            <a:endParaRPr lang="en-US"/>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6805555555555555"/>
          <c:y val="0.11342592592592593"/>
          <c:w val="0.43888888888888894"/>
          <c:h val="0.73148148148148162"/>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0F6-4C30-AAD0-61E49F16063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0F6-4C30-AAD0-61E49F16063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0F6-4C30-AAD0-61E49F16063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E0F6-4C30-AAD0-61E49F160636}"/>
              </c:ext>
            </c:extLst>
          </c:dPt>
          <c:dLbls>
            <c:dLbl>
              <c:idx val="0"/>
              <c:layout>
                <c:manualLayout>
                  <c:x val="0.26979877515310574"/>
                  <c:y val="3.8194079906678328E-2"/>
                </c:manualLayout>
              </c:layout>
              <c:spPr>
                <a:noFill/>
                <a:ln w="25400">
                  <a:noFill/>
                </a:ln>
              </c:spPr>
              <c:txPr>
                <a:bodyPr/>
                <a:lstStyle/>
                <a:p>
                  <a:pPr>
                    <a:defRPr sz="1100" b="0" i="0" u="none" strike="noStrike" baseline="0">
                      <a:solidFill>
                        <a:srgbClr val="333333"/>
                      </a:solidFill>
                      <a:latin typeface="Calibri"/>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0F6-4C30-AAD0-61E49F160636}"/>
                </c:ext>
              </c:extLst>
            </c:dLbl>
            <c:dLbl>
              <c:idx val="1"/>
              <c:layout>
                <c:manualLayout>
                  <c:x val="2.0058180227471464E-2"/>
                  <c:y val="0.16891294838145232"/>
                </c:manualLayout>
              </c:layout>
              <c:spPr>
                <a:noFill/>
                <a:ln w="25400">
                  <a:noFill/>
                </a:ln>
              </c:spPr>
              <c:txPr>
                <a:bodyPr/>
                <a:lstStyle/>
                <a:p>
                  <a:pPr>
                    <a:defRPr sz="1100" b="0" i="0" u="none" strike="noStrike" baseline="0">
                      <a:solidFill>
                        <a:srgbClr val="333333"/>
                      </a:solidFill>
                      <a:latin typeface="Calibri"/>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0F6-4C30-AAD0-61E49F160636}"/>
                </c:ext>
              </c:extLst>
            </c:dLbl>
            <c:dLbl>
              <c:idx val="2"/>
              <c:layout>
                <c:manualLayout>
                  <c:x val="-0.18477143482064742"/>
                  <c:y val="-2.7777777777777946E-2"/>
                </c:manualLayout>
              </c:layout>
              <c:spPr>
                <a:noFill/>
                <a:ln w="25400">
                  <a:noFill/>
                </a:ln>
              </c:spPr>
              <c:txPr>
                <a:bodyPr/>
                <a:lstStyle/>
                <a:p>
                  <a:pPr>
                    <a:defRPr sz="1100" b="0" i="0" u="none" strike="noStrike" baseline="0">
                      <a:solidFill>
                        <a:srgbClr val="333333"/>
                      </a:solidFill>
                      <a:latin typeface="Calibri"/>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0F6-4C30-AAD0-61E49F160636}"/>
                </c:ext>
              </c:extLst>
            </c:dLbl>
            <c:dLbl>
              <c:idx val="3"/>
              <c:layout>
                <c:manualLayout>
                  <c:x val="-4.0020778652668419E-2"/>
                  <c:y val="-8.2386628754739011E-2"/>
                </c:manualLayout>
              </c:layout>
              <c:spPr>
                <a:noFill/>
                <a:ln w="25400">
                  <a:noFill/>
                </a:ln>
              </c:spPr>
              <c:txPr>
                <a:bodyPr/>
                <a:lstStyle/>
                <a:p>
                  <a:pPr>
                    <a:defRPr sz="1100" b="0" i="0" u="none" strike="noStrike" baseline="0">
                      <a:solidFill>
                        <a:srgbClr val="333333"/>
                      </a:solidFill>
                      <a:latin typeface="Calibri"/>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0F6-4C30-AAD0-61E49F160636}"/>
                </c:ext>
              </c:extLst>
            </c:dLbl>
            <c:spPr>
              <a:noFill/>
              <a:ln w="25400">
                <a:noFill/>
              </a:ln>
            </c:spPr>
            <c:txPr>
              <a:bodyPr wrap="square" lIns="38100" tIns="19050" rIns="38100" bIns="19050" anchor="ctr">
                <a:spAutoFit/>
              </a:bodyPr>
              <a:lstStyle/>
              <a:p>
                <a:pPr>
                  <a:defRPr sz="1100" b="0" i="0" u="none" strike="noStrike" baseline="0">
                    <a:solidFill>
                      <a:srgbClr val="333333"/>
                    </a:solidFill>
                    <a:latin typeface="Calibri"/>
                    <a:ea typeface="Calibri"/>
                    <a:cs typeface="Calibri"/>
                  </a:defRPr>
                </a:pPr>
                <a:endParaRPr lang="en-US"/>
              </a:p>
            </c:txPr>
            <c:showLegendKey val="1"/>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'Energy Summary'!$U$7:$U$10</c:f>
              <c:strCache>
                <c:ptCount val="4"/>
                <c:pt idx="0">
                  <c:v>Energy Industries </c:v>
                </c:pt>
                <c:pt idx="1">
                  <c:v>Manufacturing Industries and Construction </c:v>
                </c:pt>
                <c:pt idx="2">
                  <c:v>Transport </c:v>
                </c:pt>
                <c:pt idx="3">
                  <c:v>Other Sectors </c:v>
                </c:pt>
              </c:strCache>
            </c:strRef>
          </c:cat>
          <c:val>
            <c:numRef>
              <c:f>'Energy Summary'!$AE$7:$AE$10</c:f>
              <c:numCache>
                <c:formatCode>General</c:formatCode>
                <c:ptCount val="4"/>
                <c:pt idx="0">
                  <c:v>1090.8751272999998</c:v>
                </c:pt>
                <c:pt idx="1">
                  <c:v>2274.2115358199994</c:v>
                </c:pt>
                <c:pt idx="2">
                  <c:v>1218.7036365849999</c:v>
                </c:pt>
                <c:pt idx="3">
                  <c:v>1858.2212863279997</c:v>
                </c:pt>
              </c:numCache>
            </c:numRef>
          </c:val>
          <c:extLst>
            <c:ext xmlns:c16="http://schemas.microsoft.com/office/drawing/2014/chart" uri="{C3380CC4-5D6E-409C-BE32-E72D297353CC}">
              <c16:uniqueId val="{00000008-E0F6-4C30-AAD0-61E49F160636}"/>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790266841644795"/>
          <c:y val="5.7060367454068242E-2"/>
          <c:w val="0.70265288713910756"/>
          <c:h val="0.77352617381160693"/>
        </c:manualLayout>
      </c:layout>
      <c:barChart>
        <c:barDir val="col"/>
        <c:grouping val="stacked"/>
        <c:varyColors val="0"/>
        <c:ser>
          <c:idx val="0"/>
          <c:order val="0"/>
          <c:tx>
            <c:v>Fugitive emissions Gg CO2 eq.</c:v>
          </c:tx>
          <c:spPr>
            <a:solidFill>
              <a:srgbClr val="5B9BD5"/>
            </a:solidFill>
            <a:ln w="25400">
              <a:noFill/>
            </a:ln>
          </c:spPr>
          <c:invertIfNegative val="0"/>
          <c:cat>
            <c:numRef>
              <c:f>'Energy Summary'!$V$4:$AE$4</c:f>
              <c:numCache>
                <c:formatCode>0</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'Energy Summary'!$V$12:$AE$12</c:f>
              <c:numCache>
                <c:formatCode>0.00</c:formatCode>
                <c:ptCount val="10"/>
                <c:pt idx="0">
                  <c:v>0.71051656829999998</c:v>
                </c:pt>
                <c:pt idx="1">
                  <c:v>0.74011942620000004</c:v>
                </c:pt>
                <c:pt idx="2">
                  <c:v>0.65183425650000004</c:v>
                </c:pt>
                <c:pt idx="3">
                  <c:v>0.37217077590000003</c:v>
                </c:pt>
                <c:pt idx="4">
                  <c:v>0.16710635088000003</c:v>
                </c:pt>
                <c:pt idx="5">
                  <c:v>3.3545435112000006</c:v>
                </c:pt>
                <c:pt idx="6">
                  <c:v>2.7076595590800001</c:v>
                </c:pt>
                <c:pt idx="7">
                  <c:v>1.5775551330000004</c:v>
                </c:pt>
                <c:pt idx="8">
                  <c:v>2.2671227657400004</c:v>
                </c:pt>
                <c:pt idx="9">
                  <c:v>1.6764450024000004</c:v>
                </c:pt>
              </c:numCache>
            </c:numRef>
          </c:val>
          <c:extLst>
            <c:ext xmlns:c16="http://schemas.microsoft.com/office/drawing/2014/chart" uri="{C3380CC4-5D6E-409C-BE32-E72D297353CC}">
              <c16:uniqueId val="{00000000-4813-4DF4-A794-C02D69AE3757}"/>
            </c:ext>
          </c:extLst>
        </c:ser>
        <c:dLbls>
          <c:showLegendKey val="0"/>
          <c:showVal val="0"/>
          <c:showCatName val="0"/>
          <c:showSerName val="0"/>
          <c:showPercent val="0"/>
          <c:showBubbleSize val="0"/>
        </c:dLbls>
        <c:gapWidth val="95"/>
        <c:overlap val="100"/>
        <c:axId val="287591424"/>
        <c:axId val="287593216"/>
      </c:barChart>
      <c:catAx>
        <c:axId val="28759142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1200" b="0" i="0" u="none" strike="noStrike" baseline="0">
                <a:solidFill>
                  <a:srgbClr val="333333"/>
                </a:solidFill>
                <a:latin typeface="Calibri"/>
                <a:ea typeface="Calibri"/>
                <a:cs typeface="Calibri"/>
              </a:defRPr>
            </a:pPr>
            <a:endParaRPr lang="en-US"/>
          </a:p>
        </c:txPr>
        <c:crossAx val="287593216"/>
        <c:crosses val="autoZero"/>
        <c:auto val="1"/>
        <c:lblAlgn val="ctr"/>
        <c:lblOffset val="100"/>
        <c:noMultiLvlLbl val="0"/>
      </c:catAx>
      <c:valAx>
        <c:axId val="287593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200" b="0" i="0" u="none" strike="noStrike" baseline="0">
                    <a:solidFill>
                      <a:srgbClr val="333333"/>
                    </a:solidFill>
                    <a:latin typeface="Garamond" panose="02020404030301010803" pitchFamily="18" charset="0"/>
                    <a:ea typeface="Calibri"/>
                    <a:cs typeface="Calibri"/>
                  </a:defRPr>
                </a:pPr>
                <a:r>
                  <a:rPr lang="en-US">
                    <a:latin typeface="Garamond" panose="02020404030301010803" pitchFamily="18" charset="0"/>
                  </a:rPr>
                  <a:t>GHG emissions (Gg CO 2 e)</a:t>
                </a:r>
              </a:p>
            </c:rich>
          </c:tx>
          <c:layout>
            <c:manualLayout>
              <c:xMode val="edge"/>
              <c:yMode val="edge"/>
              <c:x val="0.15724129516056554"/>
              <c:y val="0.16391199866344108"/>
            </c:manualLayout>
          </c:layout>
          <c:overlay val="0"/>
          <c:spPr>
            <a:noFill/>
            <a:ln w="25400">
              <a:noFill/>
            </a:ln>
          </c:spPr>
        </c:title>
        <c:numFmt formatCode="0.00" sourceLinked="1"/>
        <c:majorTickMark val="none"/>
        <c:minorTickMark val="none"/>
        <c:tickLblPos val="nextTo"/>
        <c:txPr>
          <a:bodyPr rot="0" vert="horz"/>
          <a:lstStyle/>
          <a:p>
            <a:pPr>
              <a:defRPr sz="1200" b="0" i="0" u="none" strike="noStrike" baseline="0">
                <a:solidFill>
                  <a:srgbClr val="333333"/>
                </a:solidFill>
                <a:latin typeface="Garamond" panose="02020404030301010803" pitchFamily="18" charset="0"/>
                <a:ea typeface="Calibri"/>
                <a:cs typeface="Calibri"/>
              </a:defRPr>
            </a:pPr>
            <a:endParaRPr lang="en-US"/>
          </a:p>
        </c:txPr>
        <c:crossAx val="287591424"/>
        <c:crosses val="autoZero"/>
        <c:crossBetween val="between"/>
      </c:valAx>
      <c:dTable>
        <c:showHorzBorder val="1"/>
        <c:showVertBorder val="1"/>
        <c:showOutline val="1"/>
        <c:showKeys val="1"/>
        <c:txPr>
          <a:bodyPr/>
          <a:lstStyle/>
          <a:p>
            <a:pPr rtl="0">
              <a:defRPr sz="1000" b="0" i="0" u="none" strike="noStrike" baseline="0">
                <a:solidFill>
                  <a:srgbClr val="000000"/>
                </a:solidFill>
                <a:latin typeface="Garamond" panose="02020404030301010803" pitchFamily="18" charset="0"/>
                <a:ea typeface="Calibri"/>
                <a:cs typeface="Calibri"/>
              </a:defRPr>
            </a:pPr>
            <a:endParaRPr lang="en-US"/>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v>Emissions</c:v>
          </c:tx>
          <c:spPr>
            <a:solidFill>
              <a:srgbClr val="5B9BD5"/>
            </a:solidFill>
            <a:ln w="25400">
              <a:noFill/>
            </a:ln>
          </c:spPr>
          <c:invertIfNegative val="0"/>
          <c:cat>
            <c:numRef>
              <c:f>'IPPU Summary '!$S$19:$AB$19</c:f>
              <c:numCache>
                <c:formatCode>General</c:formatCode>
                <c:ptCount val="10"/>
                <c:pt idx="0">
                  <c:v>1994</c:v>
                </c:pt>
                <c:pt idx="1">
                  <c:v>2000</c:v>
                </c:pt>
                <c:pt idx="2">
                  <c:v>2005</c:v>
                </c:pt>
                <c:pt idx="3" formatCode="0">
                  <c:v>2010</c:v>
                </c:pt>
                <c:pt idx="4" formatCode="0">
                  <c:v>2011</c:v>
                </c:pt>
                <c:pt idx="5" formatCode="0">
                  <c:v>2012</c:v>
                </c:pt>
                <c:pt idx="6" formatCode="0">
                  <c:v>2013</c:v>
                </c:pt>
                <c:pt idx="7" formatCode="0">
                  <c:v>2014</c:v>
                </c:pt>
                <c:pt idx="8" formatCode="0">
                  <c:v>2015</c:v>
                </c:pt>
                <c:pt idx="9" formatCode="0">
                  <c:v>2016</c:v>
                </c:pt>
              </c:numCache>
            </c:numRef>
          </c:cat>
          <c:val>
            <c:numRef>
              <c:f>'IPPU Summary '!$S$20:$AB$20</c:f>
              <c:numCache>
                <c:formatCode>#,##0.0</c:formatCode>
                <c:ptCount val="10"/>
                <c:pt idx="0">
                  <c:v>428.53196488525521</c:v>
                </c:pt>
                <c:pt idx="1">
                  <c:v>1086.9406135729166</c:v>
                </c:pt>
                <c:pt idx="2">
                  <c:v>1318.7813265547413</c:v>
                </c:pt>
                <c:pt idx="3">
                  <c:v>1559.3821216543813</c:v>
                </c:pt>
                <c:pt idx="4">
                  <c:v>1544.0092797492014</c:v>
                </c:pt>
                <c:pt idx="5">
                  <c:v>1641.7659606576196</c:v>
                </c:pt>
                <c:pt idx="6">
                  <c:v>1755.2956899472854</c:v>
                </c:pt>
                <c:pt idx="7">
                  <c:v>1609.7053909204146</c:v>
                </c:pt>
                <c:pt idx="8">
                  <c:v>1904.8169633610639</c:v>
                </c:pt>
                <c:pt idx="9">
                  <c:v>2091.2403073150895</c:v>
                </c:pt>
              </c:numCache>
            </c:numRef>
          </c:val>
          <c:extLst>
            <c:ext xmlns:c16="http://schemas.microsoft.com/office/drawing/2014/chart" uri="{C3380CC4-5D6E-409C-BE32-E72D297353CC}">
              <c16:uniqueId val="{00000000-0A68-4E24-89D5-4661599E9BD8}"/>
            </c:ext>
          </c:extLst>
        </c:ser>
        <c:dLbls>
          <c:showLegendKey val="0"/>
          <c:showVal val="0"/>
          <c:showCatName val="0"/>
          <c:showSerName val="0"/>
          <c:showPercent val="0"/>
          <c:showBubbleSize val="0"/>
        </c:dLbls>
        <c:gapWidth val="95"/>
        <c:overlap val="100"/>
        <c:axId val="287685632"/>
        <c:axId val="287687424"/>
      </c:barChart>
      <c:catAx>
        <c:axId val="287685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a:pPr>
            <a:endParaRPr lang="en-US"/>
          </a:p>
        </c:txPr>
        <c:crossAx val="287687424"/>
        <c:crosses val="autoZero"/>
        <c:auto val="1"/>
        <c:lblAlgn val="ctr"/>
        <c:lblOffset val="100"/>
        <c:noMultiLvlLbl val="0"/>
      </c:catAx>
      <c:valAx>
        <c:axId val="287687424"/>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Emissions (Gg CO2 e)</a:t>
                </a:r>
              </a:p>
            </c:rich>
          </c:tx>
          <c:overlay val="0"/>
          <c:spPr>
            <a:noFill/>
            <a:ln w="25400">
              <a:noFill/>
            </a:ln>
          </c:spPr>
        </c:title>
        <c:numFmt formatCode="#,##0.0" sourceLinked="1"/>
        <c:majorTickMark val="none"/>
        <c:minorTickMark val="none"/>
        <c:tickLblPos val="nextTo"/>
        <c:txPr>
          <a:bodyPr rot="0" vert="horz"/>
          <a:lstStyle/>
          <a:p>
            <a:pPr>
              <a:defRPr/>
            </a:pPr>
            <a:endParaRPr lang="en-US"/>
          </a:p>
        </c:txPr>
        <c:crossAx val="287685632"/>
        <c:crosses val="autoZero"/>
        <c:crossBetween val="between"/>
      </c:valAx>
      <c:dTable>
        <c:showHorzBorder val="1"/>
        <c:showVertBorder val="1"/>
        <c:showOutline val="1"/>
        <c:showKeys val="1"/>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Garamond" panose="02020404030301010803" pitchFamily="18" charset="0"/>
          <a:ea typeface="Calibri"/>
          <a:cs typeface="Calibri"/>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3697476161880335"/>
          <c:y val="5.7178347756035447E-2"/>
          <c:w val="0.64734455413315672"/>
          <c:h val="0.52913801616382106"/>
        </c:manualLayout>
      </c:layout>
      <c:barChart>
        <c:barDir val="col"/>
        <c:grouping val="clustered"/>
        <c:varyColors val="0"/>
        <c:ser>
          <c:idx val="1"/>
          <c:order val="0"/>
          <c:tx>
            <c:strRef>
              <c:f>'IPPU Summary '!$S$78</c:f>
              <c:strCache>
                <c:ptCount val="1"/>
                <c:pt idx="0">
                  <c:v>   2.A - Mineral Industry </c:v>
                </c:pt>
              </c:strCache>
            </c:strRef>
          </c:tx>
          <c:spPr>
            <a:solidFill>
              <a:srgbClr val="ED7D31"/>
            </a:solidFill>
            <a:ln w="25400">
              <a:noFill/>
            </a:ln>
          </c:spPr>
          <c:invertIfNegative val="0"/>
          <c:cat>
            <c:numRef>
              <c:f>'IPPU Summary '!$T$76:$AC$76</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'IPPU Summary '!$T$78:$AC$78</c:f>
              <c:numCache>
                <c:formatCode>0.0</c:formatCode>
                <c:ptCount val="10"/>
                <c:pt idx="0">
                  <c:v>322.6180875</c:v>
                </c:pt>
                <c:pt idx="1">
                  <c:v>1044.1514249500001</c:v>
                </c:pt>
                <c:pt idx="2">
                  <c:v>1275.7768561539058</c:v>
                </c:pt>
                <c:pt idx="3">
                  <c:v>1479.9490323020377</c:v>
                </c:pt>
                <c:pt idx="4">
                  <c:v>1452.8463091339102</c:v>
                </c:pt>
                <c:pt idx="5">
                  <c:v>1540.5860545473101</c:v>
                </c:pt>
                <c:pt idx="6">
                  <c:v>1646.6127222161199</c:v>
                </c:pt>
                <c:pt idx="7">
                  <c:v>1488.10848433668</c:v>
                </c:pt>
                <c:pt idx="8">
                  <c:v>1782.5458386828798</c:v>
                </c:pt>
                <c:pt idx="9">
                  <c:v>1951.55490217275</c:v>
                </c:pt>
              </c:numCache>
            </c:numRef>
          </c:val>
          <c:extLst>
            <c:ext xmlns:c16="http://schemas.microsoft.com/office/drawing/2014/chart" uri="{C3380CC4-5D6E-409C-BE32-E72D297353CC}">
              <c16:uniqueId val="{00000000-F4CB-4101-8AB7-ADCD6C0A5945}"/>
            </c:ext>
          </c:extLst>
        </c:ser>
        <c:ser>
          <c:idx val="2"/>
          <c:order val="1"/>
          <c:tx>
            <c:strRef>
              <c:f>'IPPU Summary '!$S$79</c:f>
              <c:strCache>
                <c:ptCount val="1"/>
                <c:pt idx="0">
                  <c:v>   2.B - Chemical Industry </c:v>
                </c:pt>
              </c:strCache>
            </c:strRef>
          </c:tx>
          <c:spPr>
            <a:solidFill>
              <a:srgbClr val="A5A5A5"/>
            </a:solidFill>
            <a:ln w="25400">
              <a:noFill/>
            </a:ln>
          </c:spPr>
          <c:invertIfNegative val="0"/>
          <c:cat>
            <c:numRef>
              <c:f>'IPPU Summary '!$T$76:$AC$76</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'IPPU Summary '!$T$79:$AC$79</c:f>
              <c:numCache>
                <c:formatCode>0.0</c:formatCode>
                <c:ptCount val="10"/>
                <c:pt idx="0">
                  <c:v>101.54207500000001</c:v>
                </c:pt>
                <c:pt idx="1">
                  <c:v>23.706630000000001</c:v>
                </c:pt>
                <c:pt idx="2">
                  <c:v>0</c:v>
                </c:pt>
                <c:pt idx="3">
                  <c:v>0</c:v>
                </c:pt>
                <c:pt idx="4">
                  <c:v>0</c:v>
                </c:pt>
                <c:pt idx="5">
                  <c:v>0</c:v>
                </c:pt>
                <c:pt idx="6">
                  <c:v>0</c:v>
                </c:pt>
                <c:pt idx="7">
                  <c:v>0.60347700000000004</c:v>
                </c:pt>
                <c:pt idx="8">
                  <c:v>0</c:v>
                </c:pt>
                <c:pt idx="9">
                  <c:v>4.2472231999999996</c:v>
                </c:pt>
              </c:numCache>
            </c:numRef>
          </c:val>
          <c:extLst>
            <c:ext xmlns:c16="http://schemas.microsoft.com/office/drawing/2014/chart" uri="{C3380CC4-5D6E-409C-BE32-E72D297353CC}">
              <c16:uniqueId val="{00000001-F4CB-4101-8AB7-ADCD6C0A5945}"/>
            </c:ext>
          </c:extLst>
        </c:ser>
        <c:ser>
          <c:idx val="3"/>
          <c:order val="2"/>
          <c:tx>
            <c:strRef>
              <c:f>'IPPU Summary '!$S$80</c:f>
              <c:strCache>
                <c:ptCount val="1"/>
                <c:pt idx="0">
                  <c:v>   2.C - Metal Industry </c:v>
                </c:pt>
              </c:strCache>
            </c:strRef>
          </c:tx>
          <c:spPr>
            <a:solidFill>
              <a:srgbClr val="FFC000"/>
            </a:solidFill>
            <a:ln w="25400">
              <a:noFill/>
            </a:ln>
          </c:spPr>
          <c:invertIfNegative val="0"/>
          <c:cat>
            <c:numRef>
              <c:f>'IPPU Summary '!$T$76:$AC$76</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'IPPU Summary '!$T$80:$AC$80</c:f>
              <c:numCache>
                <c:formatCode>0.0</c:formatCode>
                <c:ptCount val="10"/>
                <c:pt idx="0">
                  <c:v>2.5000000000000001E-2</c:v>
                </c:pt>
                <c:pt idx="1">
                  <c:v>0</c:v>
                </c:pt>
                <c:pt idx="2">
                  <c:v>0</c:v>
                </c:pt>
                <c:pt idx="3">
                  <c:v>1.4897003</c:v>
                </c:pt>
                <c:pt idx="4">
                  <c:v>3.9012203000000003</c:v>
                </c:pt>
                <c:pt idx="5">
                  <c:v>5.4493802999999996</c:v>
                </c:pt>
                <c:pt idx="6">
                  <c:v>7.2398603000000001</c:v>
                </c:pt>
                <c:pt idx="7">
                  <c:v>7.5821107000000012</c:v>
                </c:pt>
                <c:pt idx="8">
                  <c:v>5.1774554999999998</c:v>
                </c:pt>
                <c:pt idx="9">
                  <c:v>4.0687034999999998</c:v>
                </c:pt>
              </c:numCache>
            </c:numRef>
          </c:val>
          <c:extLst>
            <c:ext xmlns:c16="http://schemas.microsoft.com/office/drawing/2014/chart" uri="{C3380CC4-5D6E-409C-BE32-E72D297353CC}">
              <c16:uniqueId val="{00000002-F4CB-4101-8AB7-ADCD6C0A5945}"/>
            </c:ext>
          </c:extLst>
        </c:ser>
        <c:ser>
          <c:idx val="4"/>
          <c:order val="3"/>
          <c:tx>
            <c:strRef>
              <c:f>'IPPU Summary '!$S$81</c:f>
              <c:strCache>
                <c:ptCount val="1"/>
                <c:pt idx="0">
                  <c:v>   2.D - Non-Energy Products from Fuels and Solvent Use </c:v>
                </c:pt>
              </c:strCache>
            </c:strRef>
          </c:tx>
          <c:spPr>
            <a:solidFill>
              <a:srgbClr val="4472C4"/>
            </a:solidFill>
            <a:ln w="25400">
              <a:noFill/>
            </a:ln>
          </c:spPr>
          <c:invertIfNegative val="0"/>
          <c:cat>
            <c:numRef>
              <c:f>'IPPU Summary '!$T$76:$AC$76</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'IPPU Summary '!$T$81:$AC$81</c:f>
              <c:numCache>
                <c:formatCode>0.0</c:formatCode>
                <c:ptCount val="10"/>
                <c:pt idx="0">
                  <c:v>0</c:v>
                </c:pt>
                <c:pt idx="1">
                  <c:v>0</c:v>
                </c:pt>
                <c:pt idx="2">
                  <c:v>8.36</c:v>
                </c:pt>
                <c:pt idx="3">
                  <c:v>14.852933333333334</c:v>
                </c:pt>
                <c:pt idx="4">
                  <c:v>17.115912000000002</c:v>
                </c:pt>
                <c:pt idx="5">
                  <c:v>18.120813333333334</c:v>
                </c:pt>
                <c:pt idx="6">
                  <c:v>16.008226666666669</c:v>
                </c:pt>
                <c:pt idx="7">
                  <c:v>19.772279999999999</c:v>
                </c:pt>
                <c:pt idx="8">
                  <c:v>14.852933333333334</c:v>
                </c:pt>
                <c:pt idx="9">
                  <c:v>20.11005333333334</c:v>
                </c:pt>
              </c:numCache>
            </c:numRef>
          </c:val>
          <c:extLst>
            <c:ext xmlns:c16="http://schemas.microsoft.com/office/drawing/2014/chart" uri="{C3380CC4-5D6E-409C-BE32-E72D297353CC}">
              <c16:uniqueId val="{00000003-F4CB-4101-8AB7-ADCD6C0A5945}"/>
            </c:ext>
          </c:extLst>
        </c:ser>
        <c:ser>
          <c:idx val="5"/>
          <c:order val="4"/>
          <c:tx>
            <c:strRef>
              <c:f>'IPPU Summary '!$S$82</c:f>
              <c:strCache>
                <c:ptCount val="1"/>
                <c:pt idx="0">
                  <c:v>   2.F - Product Uses as Substitutes for Ozone Depleting Substances </c:v>
                </c:pt>
              </c:strCache>
            </c:strRef>
          </c:tx>
          <c:spPr>
            <a:solidFill>
              <a:srgbClr val="70AD47"/>
            </a:solidFill>
            <a:ln w="25400">
              <a:noFill/>
            </a:ln>
          </c:spPr>
          <c:invertIfNegative val="0"/>
          <c:cat>
            <c:numRef>
              <c:f>'IPPU Summary '!$T$76:$AC$76</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'IPPU Summary '!$T$82:$AC$82</c:f>
              <c:numCache>
                <c:formatCode>0.0</c:formatCode>
                <c:ptCount val="10"/>
                <c:pt idx="0">
                  <c:v>4.3441733852552789</c:v>
                </c:pt>
                <c:pt idx="1">
                  <c:v>19.075866622916802</c:v>
                </c:pt>
                <c:pt idx="2">
                  <c:v>34.58094420083561</c:v>
                </c:pt>
                <c:pt idx="3">
                  <c:v>63.026403719010311</c:v>
                </c:pt>
                <c:pt idx="4">
                  <c:v>70.1458383152913</c:v>
                </c:pt>
                <c:pt idx="5">
                  <c:v>77.609712476976014</c:v>
                </c:pt>
                <c:pt idx="6">
                  <c:v>85.434880764499056</c:v>
                </c:pt>
                <c:pt idx="7">
                  <c:v>93.639038883734543</c:v>
                </c:pt>
                <c:pt idx="8">
                  <c:v>102.24073584485082</c:v>
                </c:pt>
                <c:pt idx="9">
                  <c:v>111.25942510900596</c:v>
                </c:pt>
              </c:numCache>
            </c:numRef>
          </c:val>
          <c:extLst>
            <c:ext xmlns:c16="http://schemas.microsoft.com/office/drawing/2014/chart" uri="{C3380CC4-5D6E-409C-BE32-E72D297353CC}">
              <c16:uniqueId val="{00000004-F4CB-4101-8AB7-ADCD6C0A5945}"/>
            </c:ext>
          </c:extLst>
        </c:ser>
        <c:ser>
          <c:idx val="6"/>
          <c:order val="5"/>
          <c:tx>
            <c:strRef>
              <c:f>'IPPU Summary '!$S$83</c:f>
              <c:strCache>
                <c:ptCount val="1"/>
                <c:pt idx="0">
                  <c:v>   2.G - Other Product Manufacture and Use </c:v>
                </c:pt>
              </c:strCache>
            </c:strRef>
          </c:tx>
          <c:spPr>
            <a:solidFill>
              <a:schemeClr val="accent1">
                <a:lumMod val="60000"/>
              </a:schemeClr>
            </a:solidFill>
            <a:ln>
              <a:noFill/>
            </a:ln>
            <a:effectLst/>
          </c:spPr>
          <c:invertIfNegative val="0"/>
          <c:cat>
            <c:numRef>
              <c:f>'IPPU Summary '!$T$76:$AC$76</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'IPPU Summary '!$T$83:$AC$83</c:f>
              <c:numCache>
                <c:formatCode>0.0</c:formatCode>
                <c:ptCount val="10"/>
                <c:pt idx="0">
                  <c:v>2.6290000000000003E-3</c:v>
                </c:pt>
                <c:pt idx="1">
                  <c:v>6.692E-3</c:v>
                </c:pt>
                <c:pt idx="2">
                  <c:v>6.3526199999999991E-2</c:v>
                </c:pt>
                <c:pt idx="3">
                  <c:v>6.4051999999999998E-2</c:v>
                </c:pt>
                <c:pt idx="4">
                  <c:v>0</c:v>
                </c:pt>
                <c:pt idx="5">
                  <c:v>0</c:v>
                </c:pt>
                <c:pt idx="6">
                  <c:v>0</c:v>
                </c:pt>
                <c:pt idx="7">
                  <c:v>0</c:v>
                </c:pt>
                <c:pt idx="8">
                  <c:v>0</c:v>
                </c:pt>
                <c:pt idx="9">
                  <c:v>0</c:v>
                </c:pt>
              </c:numCache>
            </c:numRef>
          </c:val>
          <c:extLst>
            <c:ext xmlns:c16="http://schemas.microsoft.com/office/drawing/2014/chart" uri="{C3380CC4-5D6E-409C-BE32-E72D297353CC}">
              <c16:uniqueId val="{00000005-F4CB-4101-8AB7-ADCD6C0A5945}"/>
            </c:ext>
          </c:extLst>
        </c:ser>
        <c:ser>
          <c:idx val="7"/>
          <c:order val="6"/>
          <c:tx>
            <c:strRef>
              <c:f>'IPPU Summary '!$S$84</c:f>
              <c:strCache>
                <c:ptCount val="1"/>
                <c:pt idx="0">
                  <c:v>   2.H - Other </c:v>
                </c:pt>
              </c:strCache>
            </c:strRef>
          </c:tx>
          <c:spPr>
            <a:solidFill>
              <a:schemeClr val="accent2">
                <a:lumMod val="60000"/>
              </a:schemeClr>
            </a:solidFill>
            <a:ln>
              <a:noFill/>
            </a:ln>
            <a:effectLst/>
          </c:spPr>
          <c:invertIfNegative val="0"/>
          <c:cat>
            <c:numRef>
              <c:f>'IPPU Summary '!$T$76:$AC$76</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'IPPU Summary '!$T$84:$AC$84</c:f>
              <c:numCache>
                <c:formatCode>0.0</c:formatCode>
                <c:ptCount val="10"/>
                <c:pt idx="0">
                  <c:v>0</c:v>
                </c:pt>
                <c:pt idx="1">
                  <c:v>0</c:v>
                </c:pt>
                <c:pt idx="2">
                  <c:v>0</c:v>
                </c:pt>
                <c:pt idx="3">
                  <c:v>0</c:v>
                </c:pt>
                <c:pt idx="4">
                  <c:v>0</c:v>
                </c:pt>
                <c:pt idx="5">
                  <c:v>0</c:v>
                </c:pt>
                <c:pt idx="6">
                  <c:v>0</c:v>
                </c:pt>
                <c:pt idx="7">
                  <c:v>0</c:v>
                </c:pt>
                <c:pt idx="8">
                  <c:v>0</c:v>
                </c:pt>
                <c:pt idx="9">
                  <c:v>0</c:v>
                </c:pt>
              </c:numCache>
            </c:numRef>
          </c:val>
          <c:extLst>
            <c:ext xmlns:c16="http://schemas.microsoft.com/office/drawing/2014/chart" uri="{C3380CC4-5D6E-409C-BE32-E72D297353CC}">
              <c16:uniqueId val="{00000006-F4CB-4101-8AB7-ADCD6C0A5945}"/>
            </c:ext>
          </c:extLst>
        </c:ser>
        <c:dLbls>
          <c:showLegendKey val="0"/>
          <c:showVal val="0"/>
          <c:showCatName val="0"/>
          <c:showSerName val="0"/>
          <c:showPercent val="0"/>
          <c:showBubbleSize val="0"/>
        </c:dLbls>
        <c:gapWidth val="150"/>
        <c:axId val="288900992"/>
        <c:axId val="288902528"/>
      </c:barChart>
      <c:catAx>
        <c:axId val="288900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288902528"/>
        <c:crosses val="autoZero"/>
        <c:auto val="1"/>
        <c:lblAlgn val="ctr"/>
        <c:lblOffset val="100"/>
        <c:noMultiLvlLbl val="0"/>
      </c:catAx>
      <c:valAx>
        <c:axId val="288902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200" b="0" i="0" u="none" strike="noStrike" baseline="0">
                    <a:solidFill>
                      <a:srgbClr val="333333"/>
                    </a:solidFill>
                    <a:latin typeface="Calibri"/>
                    <a:ea typeface="Calibri"/>
                    <a:cs typeface="Calibri"/>
                  </a:defRPr>
                </a:pPr>
                <a:r>
                  <a:rPr lang="en-US"/>
                  <a:t>Emissions for IPPU by category (CO2 eq) </a:t>
                </a:r>
              </a:p>
            </c:rich>
          </c:tx>
          <c:layout>
            <c:manualLayout>
              <c:xMode val="edge"/>
              <c:yMode val="edge"/>
              <c:x val="0"/>
              <c:y val="0.12776095295780335"/>
            </c:manualLayout>
          </c:layout>
          <c:overlay val="0"/>
          <c:spPr>
            <a:noFill/>
            <a:ln w="25400">
              <a:noFill/>
            </a:ln>
          </c:spPr>
        </c:title>
        <c:numFmt formatCode="0.0" sourceLinked="1"/>
        <c:majorTickMark val="none"/>
        <c:minorTickMark val="none"/>
        <c:tickLblPos val="nextTo"/>
        <c:spPr>
          <a:ln w="6350">
            <a:noFill/>
          </a:ln>
        </c:spPr>
        <c:txPr>
          <a:bodyPr rot="0" vert="horz"/>
          <a:lstStyle/>
          <a:p>
            <a:pPr>
              <a:defRPr sz="1200" b="0" i="0" u="none" strike="noStrike" baseline="0">
                <a:solidFill>
                  <a:srgbClr val="333333"/>
                </a:solidFill>
                <a:latin typeface="Calibri"/>
                <a:ea typeface="Calibri"/>
                <a:cs typeface="Calibri"/>
              </a:defRPr>
            </a:pPr>
            <a:endParaRPr lang="en-US"/>
          </a:p>
        </c:txPr>
        <c:crossAx val="28890099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1000" b="0" i="0" u="none" strike="noStrike" baseline="0">
                <a:solidFill>
                  <a:srgbClr val="333333"/>
                </a:solidFill>
                <a:latin typeface="Calibri"/>
                <a:ea typeface="Calibri"/>
                <a:cs typeface="Calibri"/>
              </a:defRPr>
            </a:pPr>
            <a:endParaRPr lang="en-US"/>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618891569189689"/>
          <c:y val="0.13888760919810397"/>
          <c:w val="0.61305206129612178"/>
          <c:h val="0.7326868635163688"/>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5C3-47F6-82C4-495143A6435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5C3-47F6-82C4-495143A6435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5C3-47F6-82C4-495143A6435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5C3-47F6-82C4-495143A64350}"/>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5C3-47F6-82C4-495143A64350}"/>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5C3-47F6-82C4-495143A64350}"/>
              </c:ext>
            </c:extLst>
          </c:dPt>
          <c:dLbls>
            <c:dLbl>
              <c:idx val="0"/>
              <c:layout>
                <c:manualLayout>
                  <c:x val="0.19526541069549833"/>
                  <c:y val="-2.4183644260039583E-3"/>
                </c:manualLayout>
              </c:layout>
              <c:spPr>
                <a:noFill/>
                <a:ln w="25400">
                  <a:noFill/>
                </a:ln>
              </c:spPr>
              <c:txPr>
                <a:bodyPr/>
                <a:lstStyle/>
                <a:p>
                  <a:pPr>
                    <a:defRPr sz="1200" b="0" i="0" u="none" strike="noStrike" baseline="0">
                      <a:solidFill>
                        <a:srgbClr val="333333"/>
                      </a:solidFill>
                      <a:latin typeface="Calibri"/>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5C3-47F6-82C4-495143A64350}"/>
                </c:ext>
              </c:extLst>
            </c:dLbl>
            <c:dLbl>
              <c:idx val="1"/>
              <c:delete val="1"/>
              <c:extLst>
                <c:ext xmlns:c15="http://schemas.microsoft.com/office/drawing/2012/chart" uri="{CE6537A1-D6FC-4f65-9D91-7224C49458BB}"/>
                <c:ext xmlns:c16="http://schemas.microsoft.com/office/drawing/2014/chart" uri="{C3380CC4-5D6E-409C-BE32-E72D297353CC}">
                  <c16:uniqueId val="{00000003-55C3-47F6-82C4-495143A64350}"/>
                </c:ext>
              </c:extLst>
            </c:dLbl>
            <c:dLbl>
              <c:idx val="2"/>
              <c:delete val="1"/>
              <c:extLst>
                <c:ext xmlns:c15="http://schemas.microsoft.com/office/drawing/2012/chart" uri="{CE6537A1-D6FC-4f65-9D91-7224C49458BB}"/>
                <c:ext xmlns:c16="http://schemas.microsoft.com/office/drawing/2014/chart" uri="{C3380CC4-5D6E-409C-BE32-E72D297353CC}">
                  <c16:uniqueId val="{00000005-55C3-47F6-82C4-495143A64350}"/>
                </c:ext>
              </c:extLst>
            </c:dLbl>
            <c:dLbl>
              <c:idx val="3"/>
              <c:layout>
                <c:manualLayout>
                  <c:x val="-0.10431977252843394"/>
                  <c:y val="-6.3188623810083444E-2"/>
                </c:manualLayout>
              </c:layout>
              <c:spPr>
                <a:noFill/>
                <a:ln w="25400">
                  <a:noFill/>
                </a:ln>
              </c:spPr>
              <c:txPr>
                <a:bodyPr/>
                <a:lstStyle/>
                <a:p>
                  <a:pPr>
                    <a:defRPr sz="1200" b="0" i="0" u="none" strike="noStrike" baseline="0">
                      <a:solidFill>
                        <a:srgbClr val="333333"/>
                      </a:solidFill>
                      <a:latin typeface="Calibri"/>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5C3-47F6-82C4-495143A64350}"/>
                </c:ext>
              </c:extLst>
            </c:dLbl>
            <c:dLbl>
              <c:idx val="4"/>
              <c:delete val="1"/>
              <c:extLst>
                <c:ext xmlns:c15="http://schemas.microsoft.com/office/drawing/2012/chart" uri="{CE6537A1-D6FC-4f65-9D91-7224C49458BB}"/>
                <c:ext xmlns:c16="http://schemas.microsoft.com/office/drawing/2014/chart" uri="{C3380CC4-5D6E-409C-BE32-E72D297353CC}">
                  <c16:uniqueId val="{00000009-55C3-47F6-82C4-495143A64350}"/>
                </c:ext>
              </c:extLst>
            </c:dLbl>
            <c:dLbl>
              <c:idx val="5"/>
              <c:layout>
                <c:manualLayout>
                  <c:x val="0.16025568678915136"/>
                  <c:y val="-3.4721823951110606E-2"/>
                </c:manualLayout>
              </c:layout>
              <c:spPr>
                <a:noFill/>
                <a:ln w="25400">
                  <a:noFill/>
                </a:ln>
              </c:spPr>
              <c:txPr>
                <a:bodyPr/>
                <a:lstStyle/>
                <a:p>
                  <a:pPr>
                    <a:defRPr sz="1200" b="0" i="0" u="none" strike="noStrike" baseline="0">
                      <a:solidFill>
                        <a:srgbClr val="333333"/>
                      </a:solidFill>
                      <a:latin typeface="Calibri"/>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55C3-47F6-82C4-495143A64350}"/>
                </c:ext>
              </c:extLst>
            </c:dLbl>
            <c:spPr>
              <a:noFill/>
              <a:ln w="25400">
                <a:noFill/>
              </a:ln>
            </c:spPr>
            <c:txPr>
              <a:bodyPr wrap="square" lIns="38100" tIns="19050" rIns="38100" bIns="19050" anchor="ctr">
                <a:spAutoFit/>
              </a:bodyPr>
              <a:lstStyle/>
              <a:p>
                <a:pPr>
                  <a:defRPr sz="1200" b="0" i="0" u="none" strike="noStrike" baseline="0">
                    <a:solidFill>
                      <a:srgbClr val="333333"/>
                    </a:solidFill>
                    <a:latin typeface="Calibri"/>
                    <a:ea typeface="Calibri"/>
                    <a:cs typeface="Calibri"/>
                  </a:defRPr>
                </a:pPr>
                <a:endParaRPr lang="en-US"/>
              </a:p>
            </c:txPr>
            <c:showLegendKey val="1"/>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'IPPU Summary '!$AD$1:$AI$1</c:f>
              <c:strCache>
                <c:ptCount val="6"/>
                <c:pt idx="0">
                  <c:v>CO2 </c:v>
                </c:pt>
                <c:pt idx="1">
                  <c:v>CH4</c:v>
                </c:pt>
                <c:pt idx="2">
                  <c:v>N2O</c:v>
                </c:pt>
                <c:pt idx="3">
                  <c:v>HFCs</c:v>
                </c:pt>
                <c:pt idx="4">
                  <c:v>PFCs</c:v>
                </c:pt>
                <c:pt idx="5">
                  <c:v>SF6</c:v>
                </c:pt>
              </c:strCache>
            </c:strRef>
          </c:cat>
          <c:val>
            <c:numRef>
              <c:f>'IPPU Summary '!$B$20:$G$20</c:f>
              <c:numCache>
                <c:formatCode>General</c:formatCode>
                <c:ptCount val="6"/>
                <c:pt idx="0">
                  <c:v>1975.7336590060834</c:v>
                </c:pt>
                <c:pt idx="1">
                  <c:v>0</c:v>
                </c:pt>
                <c:pt idx="2">
                  <c:v>1.370072E-2</c:v>
                </c:pt>
                <c:pt idx="3">
                  <c:v>111.25942510900596</c:v>
                </c:pt>
                <c:pt idx="4">
                  <c:v>0</c:v>
                </c:pt>
                <c:pt idx="5">
                  <c:v>0.199326</c:v>
                </c:pt>
              </c:numCache>
            </c:numRef>
          </c:val>
          <c:extLst>
            <c:ext xmlns:c16="http://schemas.microsoft.com/office/drawing/2014/chart" uri="{C3380CC4-5D6E-409C-BE32-E72D297353CC}">
              <c16:uniqueId val="{0000000C-55C3-47F6-82C4-495143A64350}"/>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E-55C3-47F6-82C4-495143A6435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0-55C3-47F6-82C4-495143A6435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2-55C3-47F6-82C4-495143A6435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4-55C3-47F6-82C4-495143A64350}"/>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6-55C3-47F6-82C4-495143A64350}"/>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18-55C3-47F6-82C4-495143A64350}"/>
              </c:ext>
            </c:extLst>
          </c:dPt>
          <c:cat>
            <c:strRef>
              <c:f>'IPPU Summary '!$AD$1:$AI$1</c:f>
              <c:strCache>
                <c:ptCount val="6"/>
                <c:pt idx="0">
                  <c:v>CO2 </c:v>
                </c:pt>
                <c:pt idx="1">
                  <c:v>CH4</c:v>
                </c:pt>
                <c:pt idx="2">
                  <c:v>N2O</c:v>
                </c:pt>
                <c:pt idx="3">
                  <c:v>HFCs</c:v>
                </c:pt>
                <c:pt idx="4">
                  <c:v>PFCs</c:v>
                </c:pt>
                <c:pt idx="5">
                  <c:v>SF6</c:v>
                </c:pt>
              </c:strCache>
            </c:strRef>
          </c:cat>
          <c:val>
            <c:numRef>
              <c:f>'IPPU Summary '!$AD$1:$AI$1</c:f>
              <c:numCache>
                <c:formatCode>General</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19-55C3-47F6-82C4-495143A64350}"/>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4181527437605005"/>
          <c:y val="3.1088182112129308E-2"/>
          <c:w val="0.72334473614962669"/>
          <c:h val="0.72570975503062118"/>
        </c:manualLayout>
      </c:layout>
      <c:barChart>
        <c:barDir val="col"/>
        <c:grouping val="stacked"/>
        <c:varyColors val="0"/>
        <c:ser>
          <c:idx val="1"/>
          <c:order val="0"/>
          <c:tx>
            <c:strRef>
              <c:f>'Total with or Without AFOLU'!$G$55</c:f>
              <c:strCache>
                <c:ptCount val="1"/>
                <c:pt idx="0">
                  <c:v>AFOLU Emissions</c:v>
                </c:pt>
              </c:strCache>
            </c:strRef>
          </c:tx>
          <c:spPr>
            <a:solidFill>
              <a:srgbClr val="ED7D31"/>
            </a:solidFill>
            <a:ln w="25400">
              <a:noFill/>
            </a:ln>
          </c:spPr>
          <c:invertIfNegative val="0"/>
          <c:cat>
            <c:numRef>
              <c:f>'Total with or Without AFOLU'!$B$56:$B$65</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'Total with or Without AFOLU'!$G$56:$G$65</c:f>
              <c:numCache>
                <c:formatCode>General</c:formatCode>
                <c:ptCount val="10"/>
                <c:pt idx="0">
                  <c:v>82990.116755149007</c:v>
                </c:pt>
                <c:pt idx="1">
                  <c:v>98946.535061313829</c:v>
                </c:pt>
                <c:pt idx="2">
                  <c:v>103175.3151746901</c:v>
                </c:pt>
                <c:pt idx="3">
                  <c:v>115424.96546870066</c:v>
                </c:pt>
                <c:pt idx="4" formatCode="#,##0.0">
                  <c:v>112399.57772389302</c:v>
                </c:pt>
                <c:pt idx="5" formatCode="#,##0.0">
                  <c:v>113022.22265150317</c:v>
                </c:pt>
                <c:pt idx="6" formatCode="#,##0.0">
                  <c:v>114054.36800265286</c:v>
                </c:pt>
                <c:pt idx="7" formatCode="#,##0.0">
                  <c:v>115374.90860662391</c:v>
                </c:pt>
                <c:pt idx="8" formatCode="#,##0.0">
                  <c:v>117140.95373004206</c:v>
                </c:pt>
                <c:pt idx="9" formatCode="#,##0.0">
                  <c:v>117887.54467761244</c:v>
                </c:pt>
              </c:numCache>
            </c:numRef>
          </c:val>
          <c:extLst>
            <c:ext xmlns:c16="http://schemas.microsoft.com/office/drawing/2014/chart" uri="{C3380CC4-5D6E-409C-BE32-E72D297353CC}">
              <c16:uniqueId val="{00000000-73EC-4641-BD73-B72D3C48CF7B}"/>
            </c:ext>
          </c:extLst>
        </c:ser>
        <c:ser>
          <c:idx val="2"/>
          <c:order val="1"/>
          <c:tx>
            <c:strRef>
              <c:f>'Total with or Without AFOLU'!$I$55</c:f>
              <c:strCache>
                <c:ptCount val="1"/>
                <c:pt idx="0">
                  <c:v>AFOLU Removals</c:v>
                </c:pt>
              </c:strCache>
            </c:strRef>
          </c:tx>
          <c:spPr>
            <a:solidFill>
              <a:srgbClr val="A5A5A5"/>
            </a:solidFill>
            <a:ln w="25400">
              <a:noFill/>
            </a:ln>
          </c:spPr>
          <c:invertIfNegative val="0"/>
          <c:cat>
            <c:numRef>
              <c:f>'Total with or Without AFOLU'!$B$56:$B$65</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'Total with or Without AFOLU'!$I$56:$I$65</c:f>
              <c:numCache>
                <c:formatCode>#,##0.0</c:formatCode>
                <c:ptCount val="10"/>
                <c:pt idx="0">
                  <c:v>-142929.15379380001</c:v>
                </c:pt>
                <c:pt idx="1">
                  <c:v>-139624.24969899998</c:v>
                </c:pt>
                <c:pt idx="2">
                  <c:v>-138259.0361306</c:v>
                </c:pt>
                <c:pt idx="3">
                  <c:v>-137322.94155800002</c:v>
                </c:pt>
                <c:pt idx="4">
                  <c:v>-137213.58526333334</c:v>
                </c:pt>
                <c:pt idx="5">
                  <c:v>-137020.89786</c:v>
                </c:pt>
                <c:pt idx="6">
                  <c:v>-136828.20998000001</c:v>
                </c:pt>
                <c:pt idx="7">
                  <c:v>-136635.52235666665</c:v>
                </c:pt>
                <c:pt idx="8">
                  <c:v>-136442.8346233333</c:v>
                </c:pt>
                <c:pt idx="9">
                  <c:v>-136266.80268666666</c:v>
                </c:pt>
              </c:numCache>
            </c:numRef>
          </c:val>
          <c:extLst>
            <c:ext xmlns:c16="http://schemas.microsoft.com/office/drawing/2014/chart" uri="{C3380CC4-5D6E-409C-BE32-E72D297353CC}">
              <c16:uniqueId val="{00000001-73EC-4641-BD73-B72D3C48CF7B}"/>
            </c:ext>
          </c:extLst>
        </c:ser>
        <c:dLbls>
          <c:showLegendKey val="0"/>
          <c:showVal val="0"/>
          <c:showCatName val="0"/>
          <c:showSerName val="0"/>
          <c:showPercent val="0"/>
          <c:showBubbleSize val="0"/>
        </c:dLbls>
        <c:gapWidth val="95"/>
        <c:overlap val="100"/>
        <c:axId val="297323520"/>
        <c:axId val="302121728"/>
      </c:barChart>
      <c:catAx>
        <c:axId val="297323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1100" b="0" i="0" u="none" strike="noStrike" baseline="0">
                <a:solidFill>
                  <a:srgbClr val="333333"/>
                </a:solidFill>
                <a:latin typeface="Calibri"/>
                <a:ea typeface="Calibri"/>
                <a:cs typeface="Calibri"/>
              </a:defRPr>
            </a:pPr>
            <a:endParaRPr lang="en-US"/>
          </a:p>
        </c:txPr>
        <c:crossAx val="302121728"/>
        <c:crosses val="autoZero"/>
        <c:auto val="1"/>
        <c:lblAlgn val="ctr"/>
        <c:lblOffset val="100"/>
        <c:noMultiLvlLbl val="0"/>
      </c:catAx>
      <c:valAx>
        <c:axId val="30212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100" b="0" i="0" u="none" strike="noStrike" baseline="0">
                    <a:solidFill>
                      <a:srgbClr val="333333"/>
                    </a:solidFill>
                    <a:latin typeface="Calibri"/>
                    <a:ea typeface="Calibri"/>
                    <a:cs typeface="Calibri"/>
                  </a:defRPr>
                </a:pPr>
                <a:r>
                  <a:rPr lang="en-US"/>
                  <a:t>Emissions (Gg CO2 eq.)</a:t>
                </a:r>
              </a:p>
            </c:rich>
          </c:tx>
          <c:overlay val="0"/>
          <c:spPr>
            <a:noFill/>
            <a:ln w="25400">
              <a:noFill/>
            </a:ln>
          </c:spPr>
        </c:title>
        <c:numFmt formatCode="General" sourceLinked="1"/>
        <c:majorTickMark val="none"/>
        <c:minorTickMark val="none"/>
        <c:tickLblPos val="nextTo"/>
        <c:spPr>
          <a:ln w="6350">
            <a:noFill/>
          </a:ln>
        </c:spPr>
        <c:txPr>
          <a:bodyPr rot="0" vert="horz"/>
          <a:lstStyle/>
          <a:p>
            <a:pPr>
              <a:defRPr sz="1100" b="0" i="0" u="none" strike="noStrike" baseline="0">
                <a:solidFill>
                  <a:srgbClr val="333333"/>
                </a:solidFill>
                <a:latin typeface="Calibri"/>
                <a:ea typeface="Calibri"/>
                <a:cs typeface="Calibri"/>
              </a:defRPr>
            </a:pPr>
            <a:endParaRPr lang="en-US"/>
          </a:p>
        </c:txPr>
        <c:crossAx val="2973235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900" b="0" i="0" u="none" strike="noStrike" baseline="0">
                <a:solidFill>
                  <a:srgbClr val="333333"/>
                </a:solidFill>
                <a:latin typeface="Garamond" panose="02020404030301010803" pitchFamily="18" charset="0"/>
                <a:ea typeface="Calibri"/>
                <a:cs typeface="Calibri"/>
              </a:defRPr>
            </a:pPr>
            <a:endParaRPr lang="en-US"/>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Trend of Emissions and Removals</a:t>
            </a:r>
          </a:p>
        </c:rich>
      </c:tx>
      <c:layout>
        <c:manualLayout>
          <c:xMode val="edge"/>
          <c:yMode val="edge"/>
          <c:x val="0.47841894387351319"/>
          <c:y val="2.0572367179592748E-2"/>
        </c:manualLayout>
      </c:layout>
      <c:overlay val="0"/>
      <c:spPr>
        <a:noFill/>
        <a:ln w="25400">
          <a:noFill/>
        </a:ln>
      </c:spPr>
    </c:title>
    <c:autoTitleDeleted val="0"/>
    <c:plotArea>
      <c:layout>
        <c:manualLayout>
          <c:layoutTarget val="inner"/>
          <c:xMode val="edge"/>
          <c:yMode val="edge"/>
          <c:x val="0.29339361072512993"/>
          <c:y val="9.486538373741038E-2"/>
          <c:w val="0.70660638927487007"/>
          <c:h val="0.67504095689019272"/>
        </c:manualLayout>
      </c:layout>
      <c:barChart>
        <c:barDir val="col"/>
        <c:grouping val="stacked"/>
        <c:varyColors val="0"/>
        <c:ser>
          <c:idx val="0"/>
          <c:order val="0"/>
          <c:tx>
            <c:strRef>
              <c:f>'By Gas'!$K$15</c:f>
              <c:strCache>
                <c:ptCount val="1"/>
                <c:pt idx="0">
                  <c:v>Total Emissions emissions</c:v>
                </c:pt>
              </c:strCache>
            </c:strRef>
          </c:tx>
          <c:spPr>
            <a:solidFill>
              <a:srgbClr val="5B9BD5"/>
            </a:solidFill>
            <a:ln w="25400">
              <a:noFill/>
            </a:ln>
          </c:spPr>
          <c:invertIfNegative val="0"/>
          <c:cat>
            <c:numRef>
              <c:f>'By Gas'!$J$16:$J$25</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'By Gas'!$K$16:$K$25</c:f>
              <c:numCache>
                <c:formatCode>#,##0.0</c:formatCode>
                <c:ptCount val="10"/>
                <c:pt idx="0">
                  <c:v>86063.173560811716</c:v>
                </c:pt>
                <c:pt idx="1">
                  <c:v>102236.75275768425</c:v>
                </c:pt>
                <c:pt idx="2">
                  <c:v>105938.40918394475</c:v>
                </c:pt>
                <c:pt idx="3">
                  <c:v>120604.74354104254</c:v>
                </c:pt>
                <c:pt idx="4">
                  <c:v>117654.03878861379</c:v>
                </c:pt>
                <c:pt idx="5">
                  <c:v>121775.50640628107</c:v>
                </c:pt>
                <c:pt idx="6">
                  <c:v>123881.52570748684</c:v>
                </c:pt>
                <c:pt idx="7">
                  <c:v>125047.33646896483</c:v>
                </c:pt>
                <c:pt idx="8">
                  <c:v>126425.74471121904</c:v>
                </c:pt>
                <c:pt idx="9">
                  <c:v>126758.31456283048</c:v>
                </c:pt>
              </c:numCache>
            </c:numRef>
          </c:val>
          <c:extLst>
            <c:ext xmlns:c16="http://schemas.microsoft.com/office/drawing/2014/chart" uri="{C3380CC4-5D6E-409C-BE32-E72D297353CC}">
              <c16:uniqueId val="{00000000-33C5-4B43-91A0-C9386A69FCB6}"/>
            </c:ext>
          </c:extLst>
        </c:ser>
        <c:ser>
          <c:idx val="1"/>
          <c:order val="1"/>
          <c:tx>
            <c:strRef>
              <c:f>'By Gas'!$L$15</c:f>
              <c:strCache>
                <c:ptCount val="1"/>
                <c:pt idx="0">
                  <c:v>Total Removals</c:v>
                </c:pt>
              </c:strCache>
            </c:strRef>
          </c:tx>
          <c:spPr>
            <a:pattFill prst="pct10">
              <a:fgClr>
                <a:schemeClr val="tx1">
                  <a:lumMod val="75000"/>
                  <a:lumOff val="25000"/>
                </a:schemeClr>
              </a:fgClr>
              <a:bgClr>
                <a:schemeClr val="bg1"/>
              </a:bgClr>
            </a:pattFill>
            <a:ln>
              <a:noFill/>
            </a:ln>
            <a:effectLst>
              <a:innerShdw blurRad="63500" dist="50800" dir="16200000">
                <a:prstClr val="black">
                  <a:alpha val="50000"/>
                </a:prstClr>
              </a:innerShdw>
            </a:effectLst>
          </c:spPr>
          <c:invertIfNegative val="0"/>
          <c:cat>
            <c:numRef>
              <c:f>'By Gas'!$J$16:$J$25</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'By Gas'!$L$16:$L$25</c:f>
              <c:numCache>
                <c:formatCode>#,##0.0</c:formatCode>
                <c:ptCount val="10"/>
                <c:pt idx="0">
                  <c:v>-142929.15379380001</c:v>
                </c:pt>
                <c:pt idx="1">
                  <c:v>-139624.24969899998</c:v>
                </c:pt>
                <c:pt idx="2">
                  <c:v>-138259.0361306</c:v>
                </c:pt>
                <c:pt idx="3">
                  <c:v>-137322.94155800002</c:v>
                </c:pt>
                <c:pt idx="4">
                  <c:v>-137213.58526333334</c:v>
                </c:pt>
                <c:pt idx="5">
                  <c:v>-137020.89786</c:v>
                </c:pt>
                <c:pt idx="6">
                  <c:v>-136828.20998000001</c:v>
                </c:pt>
                <c:pt idx="7">
                  <c:v>-136635.52235666665</c:v>
                </c:pt>
                <c:pt idx="8">
                  <c:v>-136442.8346233333</c:v>
                </c:pt>
                <c:pt idx="9">
                  <c:v>-136266.80268666666</c:v>
                </c:pt>
              </c:numCache>
            </c:numRef>
          </c:val>
          <c:extLst>
            <c:ext xmlns:c16="http://schemas.microsoft.com/office/drawing/2014/chart" uri="{C3380CC4-5D6E-409C-BE32-E72D297353CC}">
              <c16:uniqueId val="{00000001-33C5-4B43-91A0-C9386A69FCB6}"/>
            </c:ext>
          </c:extLst>
        </c:ser>
        <c:dLbls>
          <c:showLegendKey val="0"/>
          <c:showVal val="0"/>
          <c:showCatName val="0"/>
          <c:showSerName val="0"/>
          <c:showPercent val="0"/>
          <c:showBubbleSize val="0"/>
        </c:dLbls>
        <c:gapWidth val="95"/>
        <c:overlap val="100"/>
        <c:axId val="324573440"/>
        <c:axId val="327389568"/>
      </c:barChart>
      <c:lineChart>
        <c:grouping val="standard"/>
        <c:varyColors val="0"/>
        <c:ser>
          <c:idx val="2"/>
          <c:order val="2"/>
          <c:tx>
            <c:strRef>
              <c:f>'By Gas'!$M$15</c:f>
              <c:strCache>
                <c:ptCount val="1"/>
                <c:pt idx="0">
                  <c:v>Net Sink</c:v>
                </c:pt>
              </c:strCache>
            </c:strRef>
          </c:tx>
          <c:spPr>
            <a:ln w="28575" cap="rnd">
              <a:solidFill>
                <a:schemeClr val="accent2">
                  <a:lumMod val="75000"/>
                </a:schemeClr>
              </a:solidFill>
              <a:round/>
            </a:ln>
            <a:effectLst/>
          </c:spPr>
          <c:marker>
            <c:symbol val="none"/>
          </c:marker>
          <c:cat>
            <c:numRef>
              <c:f>'By Gas'!$J$16:$J$25</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'By Gas'!$M$16:$M$25</c:f>
              <c:numCache>
                <c:formatCode>#,##0.0</c:formatCode>
                <c:ptCount val="10"/>
                <c:pt idx="0">
                  <c:v>-56865.980232988295</c:v>
                </c:pt>
                <c:pt idx="1">
                  <c:v>-37387.496941315723</c:v>
                </c:pt>
                <c:pt idx="2">
                  <c:v>-32320.626946655248</c:v>
                </c:pt>
                <c:pt idx="3">
                  <c:v>-16718.198016957482</c:v>
                </c:pt>
                <c:pt idx="4">
                  <c:v>-19559.546474719551</c:v>
                </c:pt>
                <c:pt idx="5">
                  <c:v>-15245.391453718927</c:v>
                </c:pt>
                <c:pt idx="6">
                  <c:v>-12946.684272513172</c:v>
                </c:pt>
                <c:pt idx="7">
                  <c:v>-11588.185887701824</c:v>
                </c:pt>
                <c:pt idx="8">
                  <c:v>-10017.089912114257</c:v>
                </c:pt>
                <c:pt idx="9">
                  <c:v>-9508.488123836185</c:v>
                </c:pt>
              </c:numCache>
            </c:numRef>
          </c:val>
          <c:smooth val="0"/>
          <c:extLst>
            <c:ext xmlns:c16="http://schemas.microsoft.com/office/drawing/2014/chart" uri="{C3380CC4-5D6E-409C-BE32-E72D297353CC}">
              <c16:uniqueId val="{00000002-33C5-4B43-91A0-C9386A69FCB6}"/>
            </c:ext>
          </c:extLst>
        </c:ser>
        <c:dLbls>
          <c:showLegendKey val="0"/>
          <c:showVal val="0"/>
          <c:showCatName val="0"/>
          <c:showSerName val="0"/>
          <c:showPercent val="0"/>
          <c:showBubbleSize val="0"/>
        </c:dLbls>
        <c:marker val="1"/>
        <c:smooth val="0"/>
        <c:axId val="324573440"/>
        <c:axId val="327389568"/>
      </c:lineChart>
      <c:catAx>
        <c:axId val="324573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a:pPr>
            <a:endParaRPr lang="en-US"/>
          </a:p>
        </c:txPr>
        <c:crossAx val="327389568"/>
        <c:crosses val="autoZero"/>
        <c:auto val="1"/>
        <c:lblAlgn val="ctr"/>
        <c:lblOffset val="100"/>
        <c:noMultiLvlLbl val="0"/>
      </c:catAx>
      <c:valAx>
        <c:axId val="32738956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Emissions and Remomovals(Gg CO2)</a:t>
                </a:r>
              </a:p>
            </c:rich>
          </c:tx>
          <c:layout>
            <c:manualLayout>
              <c:xMode val="edge"/>
              <c:yMode val="edge"/>
              <c:x val="0.14206374478925429"/>
              <c:y val="1.5970228539223665E-2"/>
            </c:manualLayout>
          </c:layout>
          <c:overlay val="0"/>
          <c:spPr>
            <a:noFill/>
            <a:ln w="25400">
              <a:noFill/>
            </a:ln>
          </c:spPr>
        </c:title>
        <c:numFmt formatCode="#,##0.0" sourceLinked="1"/>
        <c:majorTickMark val="none"/>
        <c:minorTickMark val="none"/>
        <c:tickLblPos val="nextTo"/>
        <c:txPr>
          <a:bodyPr rot="0" vert="horz"/>
          <a:lstStyle/>
          <a:p>
            <a:pPr>
              <a:defRPr/>
            </a:pPr>
            <a:endParaRPr lang="en-US"/>
          </a:p>
        </c:txPr>
        <c:crossAx val="324573440"/>
        <c:crosses val="autoZero"/>
        <c:crossBetween val="between"/>
      </c:valAx>
      <c:dTable>
        <c:showHorzBorder val="1"/>
        <c:showVertBorder val="1"/>
        <c:showOutline val="1"/>
        <c:showKeys val="1"/>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b="0" i="0" u="none" strike="noStrike" baseline="0">
          <a:solidFill>
            <a:srgbClr val="000000"/>
          </a:solidFill>
          <a:latin typeface="Garamond" panose="02020404030301010803" pitchFamily="18" charset="0"/>
          <a:ea typeface="Calibri"/>
          <a:cs typeface="Calibri"/>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'AFOLU summary Land'!$O$10</c:f>
              <c:strCache>
                <c:ptCount val="1"/>
                <c:pt idx="0">
                  <c:v>   3.A - Livestock </c:v>
                </c:pt>
              </c:strCache>
            </c:strRef>
          </c:tx>
          <c:spPr>
            <a:ln w="15875" cap="rnd">
              <a:solidFill>
                <a:schemeClr val="accent5">
                  <a:lumMod val="75000"/>
                </a:schemeClr>
              </a:solidFill>
              <a:round/>
            </a:ln>
            <a:effectLst/>
          </c:spPr>
          <c:marker>
            <c:symbol val="none"/>
          </c:marker>
          <c:cat>
            <c:numRef>
              <c:f>'AFOLU summary Land'!$P$9:$Y$9</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 summary Land'!$P$10:$Y$10</c:f>
              <c:numCache>
                <c:formatCode>0.0</c:formatCode>
                <c:ptCount val="10"/>
                <c:pt idx="0">
                  <c:v>1856.7805319700001</c:v>
                </c:pt>
                <c:pt idx="1">
                  <c:v>1951.16954928</c:v>
                </c:pt>
                <c:pt idx="2">
                  <c:v>1870.98186177</c:v>
                </c:pt>
                <c:pt idx="3">
                  <c:v>2336.4318534899999</c:v>
                </c:pt>
                <c:pt idx="4">
                  <c:v>2966.7109281600001</c:v>
                </c:pt>
                <c:pt idx="5">
                  <c:v>3013.4544289500004</c:v>
                </c:pt>
                <c:pt idx="6">
                  <c:v>3225.85349877</c:v>
                </c:pt>
                <c:pt idx="7">
                  <c:v>3494.0583614999996</c:v>
                </c:pt>
                <c:pt idx="8">
                  <c:v>3819.68523762</c:v>
                </c:pt>
                <c:pt idx="9">
                  <c:v>4200.4142879999999</c:v>
                </c:pt>
              </c:numCache>
            </c:numRef>
          </c:val>
          <c:smooth val="0"/>
          <c:extLst>
            <c:ext xmlns:c16="http://schemas.microsoft.com/office/drawing/2014/chart" uri="{C3380CC4-5D6E-409C-BE32-E72D297353CC}">
              <c16:uniqueId val="{00000000-D321-4122-9974-634D0BA89DF7}"/>
            </c:ext>
          </c:extLst>
        </c:ser>
        <c:ser>
          <c:idx val="1"/>
          <c:order val="1"/>
          <c:tx>
            <c:strRef>
              <c:f>'AFOLU summary Land'!$O$11</c:f>
              <c:strCache>
                <c:ptCount val="1"/>
                <c:pt idx="0">
                  <c:v>   3.B - Land </c:v>
                </c:pt>
              </c:strCache>
            </c:strRef>
          </c:tx>
          <c:spPr>
            <a:ln w="28575" cap="rnd">
              <a:solidFill>
                <a:schemeClr val="accent2"/>
              </a:solidFill>
              <a:prstDash val="dashDot"/>
              <a:round/>
            </a:ln>
            <a:effectLst/>
          </c:spPr>
          <c:marker>
            <c:symbol val="none"/>
          </c:marker>
          <c:cat>
            <c:numRef>
              <c:f>'AFOLU summary Land'!$P$9:$Y$9</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 summary Land'!$P$11:$Y$11</c:f>
              <c:numCache>
                <c:formatCode>0.0</c:formatCode>
                <c:ptCount val="10"/>
                <c:pt idx="0">
                  <c:v>73928.03174414167</c:v>
                </c:pt>
                <c:pt idx="1">
                  <c:v>88564.222722521314</c:v>
                </c:pt>
                <c:pt idx="2">
                  <c:v>91390.868377027626</c:v>
                </c:pt>
                <c:pt idx="3">
                  <c:v>102184.7404612001</c:v>
                </c:pt>
                <c:pt idx="4">
                  <c:v>98699.507115000015</c:v>
                </c:pt>
                <c:pt idx="5">
                  <c:v>99602.765217999986</c:v>
                </c:pt>
                <c:pt idx="6">
                  <c:v>100535.20108133333</c:v>
                </c:pt>
                <c:pt idx="7">
                  <c:v>101497.83601466665</c:v>
                </c:pt>
                <c:pt idx="8">
                  <c:v>102480.75139133335</c:v>
                </c:pt>
                <c:pt idx="9">
                  <c:v>102607.54571466666</c:v>
                </c:pt>
              </c:numCache>
            </c:numRef>
          </c:val>
          <c:smooth val="0"/>
          <c:extLst>
            <c:ext xmlns:c16="http://schemas.microsoft.com/office/drawing/2014/chart" uri="{C3380CC4-5D6E-409C-BE32-E72D297353CC}">
              <c16:uniqueId val="{00000001-D321-4122-9974-634D0BA89DF7}"/>
            </c:ext>
          </c:extLst>
        </c:ser>
        <c:ser>
          <c:idx val="2"/>
          <c:order val="2"/>
          <c:tx>
            <c:strRef>
              <c:f>'AFOLU summary Land'!$O$12</c:f>
              <c:strCache>
                <c:ptCount val="1"/>
                <c:pt idx="0">
                  <c:v>   3.C - Aggregate sources and non-CO2 emissions sources on land </c:v>
                </c:pt>
              </c:strCache>
            </c:strRef>
          </c:tx>
          <c:spPr>
            <a:ln w="28575" cap="rnd">
              <a:solidFill>
                <a:schemeClr val="accent3"/>
              </a:solidFill>
              <a:prstDash val="sysDot"/>
              <a:round/>
            </a:ln>
            <a:effectLst/>
          </c:spPr>
          <c:marker>
            <c:symbol val="none"/>
          </c:marker>
          <c:cat>
            <c:numRef>
              <c:f>'AFOLU summary Land'!$P$9:$Y$9</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 summary Land'!$P$12:$Y$12</c:f>
              <c:numCache>
                <c:formatCode>0.0</c:formatCode>
                <c:ptCount val="10"/>
                <c:pt idx="0">
                  <c:v>7211.1547946608371</c:v>
                </c:pt>
                <c:pt idx="1">
                  <c:v>8437.6807895125112</c:v>
                </c:pt>
                <c:pt idx="2">
                  <c:v>9921.4559358924416</c:v>
                </c:pt>
                <c:pt idx="3">
                  <c:v>10903.793154010558</c:v>
                </c:pt>
                <c:pt idx="4">
                  <c:v>10733.359680733027</c:v>
                </c:pt>
                <c:pt idx="5">
                  <c:v>10406.003004553178</c:v>
                </c:pt>
                <c:pt idx="6">
                  <c:v>10293.313422549536</c:v>
                </c:pt>
                <c:pt idx="7">
                  <c:v>10383.014230457266</c:v>
                </c:pt>
                <c:pt idx="8">
                  <c:v>10840.517101088728</c:v>
                </c:pt>
                <c:pt idx="9">
                  <c:v>11079.584674945789</c:v>
                </c:pt>
              </c:numCache>
            </c:numRef>
          </c:val>
          <c:smooth val="0"/>
          <c:extLst>
            <c:ext xmlns:c16="http://schemas.microsoft.com/office/drawing/2014/chart" uri="{C3380CC4-5D6E-409C-BE32-E72D297353CC}">
              <c16:uniqueId val="{00000002-D321-4122-9974-634D0BA89DF7}"/>
            </c:ext>
          </c:extLst>
        </c:ser>
        <c:dLbls>
          <c:showLegendKey val="0"/>
          <c:showVal val="0"/>
          <c:showCatName val="0"/>
          <c:showSerName val="0"/>
          <c:showPercent val="0"/>
          <c:showBubbleSize val="0"/>
        </c:dLbls>
        <c:smooth val="0"/>
        <c:axId val="302220416"/>
        <c:axId val="302221952"/>
      </c:lineChart>
      <c:catAx>
        <c:axId val="302220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a:pPr>
            <a:endParaRPr lang="en-US"/>
          </a:p>
        </c:txPr>
        <c:crossAx val="302221952"/>
        <c:crosses val="autoZero"/>
        <c:auto val="1"/>
        <c:lblAlgn val="ctr"/>
        <c:lblOffset val="100"/>
        <c:noMultiLvlLbl val="0"/>
      </c:catAx>
      <c:valAx>
        <c:axId val="302221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Emissions GHG (Gg CO2 eq)</a:t>
                </a:r>
              </a:p>
            </c:rich>
          </c:tx>
          <c:layout>
            <c:manualLayout>
              <c:xMode val="edge"/>
              <c:yMode val="edge"/>
              <c:x val="0.15928665029609221"/>
              <c:y val="4.5188380114906015E-2"/>
            </c:manualLayout>
          </c:layout>
          <c:overlay val="0"/>
          <c:spPr>
            <a:noFill/>
            <a:ln w="25400">
              <a:noFill/>
            </a:ln>
          </c:spPr>
        </c:title>
        <c:numFmt formatCode="0.0" sourceLinked="1"/>
        <c:majorTickMark val="none"/>
        <c:minorTickMark val="none"/>
        <c:tickLblPos val="nextTo"/>
        <c:spPr>
          <a:ln w="6350">
            <a:noFill/>
          </a:ln>
        </c:spPr>
        <c:txPr>
          <a:bodyPr rot="0" vert="horz"/>
          <a:lstStyle/>
          <a:p>
            <a:pPr>
              <a:defRPr/>
            </a:pPr>
            <a:endParaRPr lang="en-US"/>
          </a:p>
        </c:txPr>
        <c:crossAx val="30222041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b="0" i="0" u="none" strike="noStrike" baseline="0">
          <a:solidFill>
            <a:srgbClr val="000000"/>
          </a:solidFill>
          <a:latin typeface="Garamond" panose="02020404030301010803" pitchFamily="18" charset="0"/>
          <a:ea typeface="Calibri"/>
          <a:cs typeface="Calibri"/>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'AFOLU summary Land'!$A$6</c:f>
              <c:strCache>
                <c:ptCount val="1"/>
                <c:pt idx="0">
                  <c:v>   3.B - Land </c:v>
                </c:pt>
              </c:strCache>
            </c:strRef>
          </c:tx>
          <c:spPr>
            <a:solidFill>
              <a:srgbClr val="5B9BD5"/>
            </a:solidFill>
            <a:ln w="25400">
              <a:noFill/>
            </a:ln>
          </c:spPr>
          <c:invertIfNegative val="0"/>
          <c:cat>
            <c:numRef>
              <c:f>'AFOLU summary Land'!$B$38:$K$38</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 summary Land'!$B$26:$K$26</c:f>
              <c:numCache>
                <c:formatCode>#,##0.0</c:formatCode>
                <c:ptCount val="10"/>
                <c:pt idx="0">
                  <c:v>-142929.15379380001</c:v>
                </c:pt>
                <c:pt idx="1">
                  <c:v>-139624.24969899998</c:v>
                </c:pt>
                <c:pt idx="2">
                  <c:v>-138259.0361306</c:v>
                </c:pt>
                <c:pt idx="3">
                  <c:v>-137322.94155800002</c:v>
                </c:pt>
                <c:pt idx="4">
                  <c:v>-137213.58526333334</c:v>
                </c:pt>
                <c:pt idx="5">
                  <c:v>-137020.89786</c:v>
                </c:pt>
                <c:pt idx="6">
                  <c:v>-136828.20998000001</c:v>
                </c:pt>
                <c:pt idx="7">
                  <c:v>-136635.52235666665</c:v>
                </c:pt>
                <c:pt idx="8">
                  <c:v>-136442.8346233333</c:v>
                </c:pt>
                <c:pt idx="9">
                  <c:v>-136266.80268666666</c:v>
                </c:pt>
              </c:numCache>
            </c:numRef>
          </c:val>
          <c:extLst>
            <c:ext xmlns:c16="http://schemas.microsoft.com/office/drawing/2014/chart" uri="{C3380CC4-5D6E-409C-BE32-E72D297353CC}">
              <c16:uniqueId val="{00000000-FA52-4AB9-86DC-9B395F0F3146}"/>
            </c:ext>
          </c:extLst>
        </c:ser>
        <c:dLbls>
          <c:showLegendKey val="0"/>
          <c:showVal val="0"/>
          <c:showCatName val="0"/>
          <c:showSerName val="0"/>
          <c:showPercent val="0"/>
          <c:showBubbleSize val="0"/>
        </c:dLbls>
        <c:gapWidth val="150"/>
        <c:axId val="311943552"/>
        <c:axId val="311945088"/>
      </c:barChart>
      <c:catAx>
        <c:axId val="311943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1200" b="1" i="0" u="none" strike="noStrike" baseline="0">
                <a:solidFill>
                  <a:srgbClr val="333333"/>
                </a:solidFill>
                <a:latin typeface="Calibri"/>
                <a:ea typeface="Calibri"/>
                <a:cs typeface="Calibri"/>
              </a:defRPr>
            </a:pPr>
            <a:endParaRPr lang="en-US"/>
          </a:p>
        </c:txPr>
        <c:crossAx val="311945088"/>
        <c:crosses val="autoZero"/>
        <c:auto val="1"/>
        <c:lblAlgn val="ctr"/>
        <c:lblOffset val="100"/>
        <c:noMultiLvlLbl val="0"/>
      </c:catAx>
      <c:valAx>
        <c:axId val="31194508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200" b="0" i="0" u="none" strike="noStrike" baseline="0">
                    <a:solidFill>
                      <a:srgbClr val="333333"/>
                    </a:solidFill>
                    <a:latin typeface="Calibri"/>
                    <a:ea typeface="Calibri"/>
                    <a:cs typeface="Calibri"/>
                  </a:defRPr>
                </a:pPr>
                <a:r>
                  <a:rPr lang="en-US"/>
                  <a:t>Emissions Removals(Gg CO2 eq.)</a:t>
                </a:r>
              </a:p>
            </c:rich>
          </c:tx>
          <c:overlay val="0"/>
          <c:spPr>
            <a:noFill/>
            <a:ln w="25400">
              <a:noFill/>
            </a:ln>
          </c:spPr>
        </c:title>
        <c:numFmt formatCode="#,##0.0" sourceLinked="1"/>
        <c:majorTickMark val="none"/>
        <c:minorTickMark val="none"/>
        <c:tickLblPos val="nextTo"/>
        <c:spPr>
          <a:ln w="6350">
            <a:noFill/>
          </a:ln>
        </c:spPr>
        <c:txPr>
          <a:bodyPr rot="0" vert="horz"/>
          <a:lstStyle/>
          <a:p>
            <a:pPr>
              <a:defRPr sz="1000" b="0" i="0" u="none" strike="noStrike" baseline="0">
                <a:solidFill>
                  <a:srgbClr val="333333"/>
                </a:solidFill>
                <a:latin typeface="Calibri"/>
                <a:ea typeface="Calibri"/>
                <a:cs typeface="Calibri"/>
              </a:defRPr>
            </a:pPr>
            <a:endParaRPr lang="en-US"/>
          </a:p>
        </c:txPr>
        <c:crossAx val="3119435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800" b="0" i="0" u="none" strike="noStrike" baseline="0">
                <a:solidFill>
                  <a:srgbClr val="000000"/>
                </a:solidFill>
                <a:latin typeface="Calibri"/>
                <a:ea typeface="Calibri"/>
                <a:cs typeface="Calibri"/>
              </a:defRPr>
            </a:pPr>
            <a:endParaRPr lang="en-US"/>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'AFOLU summary Land'!$A$39</c:f>
              <c:strCache>
                <c:ptCount val="1"/>
                <c:pt idx="0">
                  <c:v>      3.B.1 - Forest land </c:v>
                </c:pt>
              </c:strCache>
            </c:strRef>
          </c:tx>
          <c:spPr>
            <a:ln w="28575" cap="rnd">
              <a:solidFill>
                <a:schemeClr val="accent1"/>
              </a:solidFill>
              <a:prstDash val="dash"/>
              <a:round/>
            </a:ln>
            <a:effectLst/>
          </c:spPr>
          <c:marker>
            <c:symbol val="none"/>
          </c:marker>
          <c:cat>
            <c:numRef>
              <c:f>'AFOLU summary Land'!$B$38:$K$38</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 summary Land'!$B$39:$K$39</c:f>
              <c:numCache>
                <c:formatCode>#,##0.0</c:formatCode>
                <c:ptCount val="10"/>
                <c:pt idx="0">
                  <c:v>56766.995131036667</c:v>
                </c:pt>
                <c:pt idx="1">
                  <c:v>59542.981959134653</c:v>
                </c:pt>
                <c:pt idx="2">
                  <c:v>62341.324663929307</c:v>
                </c:pt>
                <c:pt idx="3">
                  <c:v>66555.954809033443</c:v>
                </c:pt>
                <c:pt idx="4">
                  <c:v>66992.047800333341</c:v>
                </c:pt>
                <c:pt idx="5">
                  <c:v>67895.305903333327</c:v>
                </c:pt>
                <c:pt idx="6">
                  <c:v>68827.741766666673</c:v>
                </c:pt>
                <c:pt idx="7">
                  <c:v>69790.376699999993</c:v>
                </c:pt>
                <c:pt idx="8">
                  <c:v>70773.292076666679</c:v>
                </c:pt>
                <c:pt idx="9">
                  <c:v>70900.0864</c:v>
                </c:pt>
              </c:numCache>
            </c:numRef>
          </c:val>
          <c:smooth val="0"/>
          <c:extLst>
            <c:ext xmlns:c16="http://schemas.microsoft.com/office/drawing/2014/chart" uri="{C3380CC4-5D6E-409C-BE32-E72D297353CC}">
              <c16:uniqueId val="{00000000-45D5-42DA-8CE9-154D2F296C6D}"/>
            </c:ext>
          </c:extLst>
        </c:ser>
        <c:ser>
          <c:idx val="1"/>
          <c:order val="1"/>
          <c:tx>
            <c:strRef>
              <c:f>'AFOLU summary Land'!$A$40</c:f>
              <c:strCache>
                <c:ptCount val="1"/>
                <c:pt idx="0">
                  <c:v>      3.B.2 - Cropland </c:v>
                </c:pt>
              </c:strCache>
            </c:strRef>
          </c:tx>
          <c:spPr>
            <a:ln w="28575" cap="rnd">
              <a:solidFill>
                <a:schemeClr val="accent2"/>
              </a:solidFill>
              <a:round/>
            </a:ln>
            <a:effectLst/>
          </c:spPr>
          <c:marker>
            <c:symbol val="none"/>
          </c:marker>
          <c:cat>
            <c:numRef>
              <c:f>'AFOLU summary Land'!$B$38:$K$38</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 summary Land'!$B$40:$K$40</c:f>
              <c:numCache>
                <c:formatCode>#,##0.0</c:formatCode>
                <c:ptCount val="10"/>
                <c:pt idx="0">
                  <c:v>12831.552371843334</c:v>
                </c:pt>
                <c:pt idx="1">
                  <c:v>14565.718964720001</c:v>
                </c:pt>
                <c:pt idx="2">
                  <c:v>18129.487775098329</c:v>
                </c:pt>
                <c:pt idx="3">
                  <c:v>21855.681824166666</c:v>
                </c:pt>
                <c:pt idx="4">
                  <c:v>21855.681824166666</c:v>
                </c:pt>
                <c:pt idx="5">
                  <c:v>21855.681824166666</c:v>
                </c:pt>
                <c:pt idx="6">
                  <c:v>21855.681824166666</c:v>
                </c:pt>
                <c:pt idx="7">
                  <c:v>21855.681824166666</c:v>
                </c:pt>
                <c:pt idx="8">
                  <c:v>21855.681824166666</c:v>
                </c:pt>
                <c:pt idx="9">
                  <c:v>21855.681824166666</c:v>
                </c:pt>
              </c:numCache>
            </c:numRef>
          </c:val>
          <c:smooth val="0"/>
          <c:extLst>
            <c:ext xmlns:c16="http://schemas.microsoft.com/office/drawing/2014/chart" uri="{C3380CC4-5D6E-409C-BE32-E72D297353CC}">
              <c16:uniqueId val="{00000001-45D5-42DA-8CE9-154D2F296C6D}"/>
            </c:ext>
          </c:extLst>
        </c:ser>
        <c:ser>
          <c:idx val="2"/>
          <c:order val="2"/>
          <c:tx>
            <c:strRef>
              <c:f>'AFOLU summary Land'!$A$41</c:f>
              <c:strCache>
                <c:ptCount val="1"/>
                <c:pt idx="0">
                  <c:v>      3.B.3 - Grassland </c:v>
                </c:pt>
              </c:strCache>
            </c:strRef>
          </c:tx>
          <c:spPr>
            <a:ln w="28575" cap="rnd">
              <a:solidFill>
                <a:schemeClr val="accent3"/>
              </a:solidFill>
              <a:round/>
            </a:ln>
            <a:effectLst/>
          </c:spPr>
          <c:marker>
            <c:symbol val="none"/>
          </c:marker>
          <c:cat>
            <c:numRef>
              <c:f>'AFOLU summary Land'!$B$38:$K$38</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 summary Land'!$B$41:$K$41</c:f>
              <c:numCache>
                <c:formatCode>#,##0.0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45D5-42DA-8CE9-154D2F296C6D}"/>
            </c:ext>
          </c:extLst>
        </c:ser>
        <c:ser>
          <c:idx val="3"/>
          <c:order val="3"/>
          <c:tx>
            <c:strRef>
              <c:f>'AFOLU summary Land'!$A$42</c:f>
              <c:strCache>
                <c:ptCount val="1"/>
                <c:pt idx="0">
                  <c:v>      3.B.4 - Wetlands </c:v>
                </c:pt>
              </c:strCache>
            </c:strRef>
          </c:tx>
          <c:spPr>
            <a:ln w="28575" cap="rnd">
              <a:solidFill>
                <a:schemeClr val="accent4"/>
              </a:solidFill>
              <a:round/>
            </a:ln>
            <a:effectLst/>
          </c:spPr>
          <c:marker>
            <c:symbol val="none"/>
          </c:marker>
          <c:cat>
            <c:numRef>
              <c:f>'AFOLU summary Land'!$B$38:$K$38</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 summary Land'!$B$42:$K$42</c:f>
              <c:numCache>
                <c:formatCode>#,##0.0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3-45D5-42DA-8CE9-154D2F296C6D}"/>
            </c:ext>
          </c:extLst>
        </c:ser>
        <c:ser>
          <c:idx val="4"/>
          <c:order val="4"/>
          <c:tx>
            <c:strRef>
              <c:f>'AFOLU summary Land'!$A$43</c:f>
              <c:strCache>
                <c:ptCount val="1"/>
                <c:pt idx="0">
                  <c:v>      3.B.5 - Settlements </c:v>
                </c:pt>
              </c:strCache>
            </c:strRef>
          </c:tx>
          <c:spPr>
            <a:ln w="28575" cap="rnd">
              <a:solidFill>
                <a:schemeClr val="accent1"/>
              </a:solidFill>
              <a:prstDash val="sysDot"/>
              <a:round/>
            </a:ln>
            <a:effectLst/>
          </c:spPr>
          <c:marker>
            <c:symbol val="none"/>
          </c:marker>
          <c:cat>
            <c:numRef>
              <c:f>'AFOLU summary Land'!$B$38:$K$38</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 summary Land'!$B$43:$K$43</c:f>
              <c:numCache>
                <c:formatCode>#,##0.0</c:formatCode>
                <c:ptCount val="10"/>
                <c:pt idx="0">
                  <c:v>3132.8318211666669</c:v>
                </c:pt>
                <c:pt idx="1">
                  <c:v>11055.530163333333</c:v>
                </c:pt>
                <c:pt idx="2">
                  <c:v>8516.8980288333332</c:v>
                </c:pt>
                <c:pt idx="3">
                  <c:v>9958.0279205000006</c:v>
                </c:pt>
                <c:pt idx="4">
                  <c:v>9851.7774905000006</c:v>
                </c:pt>
                <c:pt idx="5">
                  <c:v>9851.7774905000006</c:v>
                </c:pt>
                <c:pt idx="6">
                  <c:v>9851.7774905000006</c:v>
                </c:pt>
                <c:pt idx="7">
                  <c:v>9851.7774905000006</c:v>
                </c:pt>
                <c:pt idx="8">
                  <c:v>9851.7774905000006</c:v>
                </c:pt>
                <c:pt idx="9">
                  <c:v>9851.7774905000006</c:v>
                </c:pt>
              </c:numCache>
            </c:numRef>
          </c:val>
          <c:smooth val="0"/>
          <c:extLst>
            <c:ext xmlns:c16="http://schemas.microsoft.com/office/drawing/2014/chart" uri="{C3380CC4-5D6E-409C-BE32-E72D297353CC}">
              <c16:uniqueId val="{00000004-45D5-42DA-8CE9-154D2F296C6D}"/>
            </c:ext>
          </c:extLst>
        </c:ser>
        <c:ser>
          <c:idx val="5"/>
          <c:order val="5"/>
          <c:tx>
            <c:strRef>
              <c:f>'AFOLU summary Land'!$A$44</c:f>
              <c:strCache>
                <c:ptCount val="1"/>
                <c:pt idx="0">
                  <c:v>      3.B.6 - Other Land </c:v>
                </c:pt>
              </c:strCache>
            </c:strRef>
          </c:tx>
          <c:spPr>
            <a:ln w="28575" cap="rnd">
              <a:solidFill>
                <a:schemeClr val="accent6"/>
              </a:solidFill>
              <a:round/>
            </a:ln>
            <a:effectLst/>
          </c:spPr>
          <c:marker>
            <c:symbol val="none"/>
          </c:marker>
          <c:cat>
            <c:numRef>
              <c:f>'AFOLU summary Land'!$B$38:$K$38</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 summary Land'!$B$44:$K$44</c:f>
              <c:numCache>
                <c:formatCode>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5-45D5-42DA-8CE9-154D2F296C6D}"/>
            </c:ext>
          </c:extLst>
        </c:ser>
        <c:dLbls>
          <c:showLegendKey val="0"/>
          <c:showVal val="0"/>
          <c:showCatName val="0"/>
          <c:showSerName val="0"/>
          <c:showPercent val="0"/>
          <c:showBubbleSize val="0"/>
        </c:dLbls>
        <c:smooth val="0"/>
        <c:axId val="320562688"/>
        <c:axId val="320564224"/>
      </c:lineChart>
      <c:catAx>
        <c:axId val="320562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1200" b="0" i="0" u="none" strike="noStrike" baseline="0">
                <a:solidFill>
                  <a:srgbClr val="333333"/>
                </a:solidFill>
                <a:latin typeface="Calibri"/>
                <a:ea typeface="Calibri"/>
                <a:cs typeface="Calibri"/>
              </a:defRPr>
            </a:pPr>
            <a:endParaRPr lang="en-US"/>
          </a:p>
        </c:txPr>
        <c:crossAx val="320564224"/>
        <c:crosses val="autoZero"/>
        <c:auto val="1"/>
        <c:lblAlgn val="ctr"/>
        <c:lblOffset val="100"/>
        <c:noMultiLvlLbl val="0"/>
      </c:catAx>
      <c:valAx>
        <c:axId val="320564224"/>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200" b="0" i="0" u="none" strike="noStrike" baseline="0">
                    <a:solidFill>
                      <a:srgbClr val="333333"/>
                    </a:solidFill>
                    <a:latin typeface="Calibri"/>
                    <a:ea typeface="Calibri"/>
                    <a:cs typeface="Calibri"/>
                  </a:defRPr>
                </a:pPr>
                <a:r>
                  <a:rPr lang="en-US"/>
                  <a:t>Emissions (Gg CO2 eq.)</a:t>
                </a:r>
              </a:p>
            </c:rich>
          </c:tx>
          <c:layout>
            <c:manualLayout>
              <c:xMode val="edge"/>
              <c:yMode val="edge"/>
              <c:x val="0.10320028106894925"/>
              <c:y val="9.0916949075363948E-2"/>
            </c:manualLayout>
          </c:layout>
          <c:overlay val="0"/>
          <c:spPr>
            <a:noFill/>
            <a:ln w="25400">
              <a:noFill/>
            </a:ln>
          </c:spPr>
        </c:title>
        <c:numFmt formatCode="#,##0.0" sourceLinked="1"/>
        <c:majorTickMark val="none"/>
        <c:minorTickMark val="none"/>
        <c:tickLblPos val="nextTo"/>
        <c:spPr>
          <a:ln w="6350">
            <a:noFill/>
          </a:ln>
        </c:spPr>
        <c:txPr>
          <a:bodyPr rot="0" vert="horz"/>
          <a:lstStyle/>
          <a:p>
            <a:pPr>
              <a:defRPr sz="1200" b="0" i="0" u="none" strike="noStrike" baseline="0">
                <a:solidFill>
                  <a:srgbClr val="333333"/>
                </a:solidFill>
                <a:latin typeface="Calibri"/>
                <a:ea typeface="Calibri"/>
                <a:cs typeface="Calibri"/>
              </a:defRPr>
            </a:pPr>
            <a:endParaRPr lang="en-US"/>
          </a:p>
        </c:txPr>
        <c:crossAx val="3205626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900" b="0" i="0" u="none" strike="noStrike" baseline="0">
                <a:solidFill>
                  <a:srgbClr val="333333"/>
                </a:solidFill>
                <a:latin typeface="Calibri"/>
                <a:ea typeface="Calibri"/>
                <a:cs typeface="Calibri"/>
              </a:defRPr>
            </a:pPr>
            <a:endParaRPr lang="en-US"/>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9771741032370946"/>
          <c:y val="0.20723192185730718"/>
          <c:w val="0.47400984251968503"/>
          <c:h val="0.68604458648932443"/>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78E-4E90-B950-8C875C12557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78E-4E90-B950-8C875C12557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78E-4E90-B950-8C875C12557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78E-4E90-B950-8C875C12557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78E-4E90-B950-8C875C125579}"/>
              </c:ext>
            </c:extLst>
          </c:dPt>
          <c:dLbls>
            <c:dLbl>
              <c:idx val="0"/>
              <c:layout>
                <c:manualLayout>
                  <c:x val="3.3333333333333333E-2"/>
                  <c:y val="8.0406744163150981E-2"/>
                </c:manualLayout>
              </c:layout>
              <c:spPr>
                <a:noFill/>
                <a:ln w="25400">
                  <a:noFill/>
                </a:ln>
              </c:spPr>
              <c:txPr>
                <a:bodyPr/>
                <a:lstStyle/>
                <a:p>
                  <a:pPr>
                    <a:defRPr sz="11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78E-4E90-B950-8C875C125579}"/>
                </c:ext>
              </c:extLst>
            </c:dLbl>
            <c:dLbl>
              <c:idx val="1"/>
              <c:layout>
                <c:manualLayout>
                  <c:x val="-6.6666666666666666E-2"/>
                  <c:y val="6.0305058122363239E-2"/>
                </c:manualLayout>
              </c:layout>
              <c:spPr>
                <a:noFill/>
                <a:ln w="25400">
                  <a:noFill/>
                </a:ln>
              </c:spPr>
              <c:txPr>
                <a:bodyPr/>
                <a:lstStyle/>
                <a:p>
                  <a:pPr>
                    <a:defRPr sz="11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78E-4E90-B950-8C875C125579}"/>
                </c:ext>
              </c:extLst>
            </c:dLbl>
            <c:dLbl>
              <c:idx val="2"/>
              <c:layout>
                <c:manualLayout>
                  <c:x val="-5.0925337632079971E-17"/>
                  <c:y val="-8.0406744163150995E-2"/>
                </c:manualLayout>
              </c:layout>
              <c:spPr>
                <a:noFill/>
                <a:ln w="25400">
                  <a:noFill/>
                </a:ln>
              </c:spPr>
              <c:txPr>
                <a:bodyPr/>
                <a:lstStyle/>
                <a:p>
                  <a:pPr>
                    <a:defRPr sz="11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78E-4E90-B950-8C875C125579}"/>
                </c:ext>
              </c:extLst>
            </c:dLbl>
            <c:dLbl>
              <c:idx val="3"/>
              <c:layout>
                <c:manualLayout>
                  <c:x val="-0.16944444444444445"/>
                  <c:y val="6.8345732538678317E-2"/>
                </c:manualLayout>
              </c:layout>
              <c:spPr>
                <a:noFill/>
                <a:ln w="25400">
                  <a:noFill/>
                </a:ln>
              </c:spPr>
              <c:txPr>
                <a:bodyPr/>
                <a:lstStyle/>
                <a:p>
                  <a:pPr>
                    <a:defRPr sz="11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78E-4E90-B950-8C875C125579}"/>
                </c:ext>
              </c:extLst>
            </c:dLbl>
            <c:dLbl>
              <c:idx val="4"/>
              <c:layout>
                <c:manualLayout>
                  <c:x val="0.30662407183076468"/>
                  <c:y val="-4.8419979612640177E-2"/>
                </c:manualLayout>
              </c:layout>
              <c:spPr>
                <a:noFill/>
                <a:ln w="25400">
                  <a:noFill/>
                </a:ln>
              </c:spPr>
              <c:txPr>
                <a:bodyPr/>
                <a:lstStyle/>
                <a:p>
                  <a:pPr>
                    <a:defRPr sz="11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46162735267065969"/>
                      <c:h val="0.19225280326197755"/>
                    </c:manualLayout>
                  </c15:layout>
                </c:ext>
                <c:ext xmlns:c16="http://schemas.microsoft.com/office/drawing/2014/chart" uri="{C3380CC4-5D6E-409C-BE32-E72D297353CC}">
                  <c16:uniqueId val="{00000009-878E-4E90-B950-8C875C125579}"/>
                </c:ext>
              </c:extLst>
            </c:dLbl>
            <c:spPr>
              <a:noFill/>
              <a:ln w="25400">
                <a:noFill/>
              </a:ln>
            </c:spPr>
            <c:txPr>
              <a:bodyPr wrap="square" lIns="38100" tIns="19050" rIns="38100" bIns="19050" anchor="ctr">
                <a:spAutoFit/>
              </a:bodyPr>
              <a:lstStyle/>
              <a:p>
                <a:pPr>
                  <a:defRPr sz="1100" b="0" i="0" u="none" strike="noStrike" baseline="0">
                    <a:solidFill>
                      <a:srgbClr val="333333"/>
                    </a:solidFill>
                    <a:latin typeface="Calibri"/>
                    <a:ea typeface="Calibri"/>
                    <a:cs typeface="Calibri"/>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'AFOLU summary Land'!$A$39:$A$43</c:f>
              <c:strCache>
                <c:ptCount val="5"/>
                <c:pt idx="0">
                  <c:v>      3.B.1 - Forest land </c:v>
                </c:pt>
                <c:pt idx="1">
                  <c:v>      3.B.2 - Cropland </c:v>
                </c:pt>
                <c:pt idx="2">
                  <c:v>      3.B.3 - Grassland </c:v>
                </c:pt>
                <c:pt idx="3">
                  <c:v>      3.B.4 - Wetlands </c:v>
                </c:pt>
                <c:pt idx="4">
                  <c:v>      3.B.5 - Settlements </c:v>
                </c:pt>
              </c:strCache>
            </c:strRef>
          </c:cat>
          <c:val>
            <c:numRef>
              <c:f>'AFOLU summary Land'!$K$39:$K$43</c:f>
              <c:numCache>
                <c:formatCode>#,##0.0</c:formatCode>
                <c:ptCount val="5"/>
                <c:pt idx="0">
                  <c:v>70900.0864</c:v>
                </c:pt>
                <c:pt idx="1">
                  <c:v>21855.681824166666</c:v>
                </c:pt>
                <c:pt idx="2">
                  <c:v>0</c:v>
                </c:pt>
                <c:pt idx="3">
                  <c:v>0</c:v>
                </c:pt>
                <c:pt idx="4">
                  <c:v>9851.7774905000006</c:v>
                </c:pt>
              </c:numCache>
            </c:numRef>
          </c:val>
          <c:extLst>
            <c:ext xmlns:c16="http://schemas.microsoft.com/office/drawing/2014/chart" uri="{C3380CC4-5D6E-409C-BE32-E72D297353CC}">
              <c16:uniqueId val="{0000000A-878E-4E90-B950-8C875C125579}"/>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936198600174978"/>
          <c:y val="0.23960822268001175"/>
          <c:w val="0.50794291338582676"/>
          <c:h val="0.73107237421798932"/>
        </c:manualLayout>
      </c:layout>
      <c:pieChart>
        <c:varyColors val="1"/>
        <c:ser>
          <c:idx val="0"/>
          <c:order val="0"/>
          <c:explosion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379-47BB-8621-8936ED47146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379-47BB-8621-8936ED47146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379-47BB-8621-8936ED47146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379-47BB-8621-8936ED47146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379-47BB-8621-8936ED47146B}"/>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8379-47BB-8621-8936ED47146B}"/>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8379-47BB-8621-8936ED47146B}"/>
              </c:ext>
            </c:extLst>
          </c:dPt>
          <c:dLbls>
            <c:dLbl>
              <c:idx val="0"/>
              <c:layout>
                <c:manualLayout>
                  <c:x val="1.8375324887068775E-2"/>
                  <c:y val="-5.8336802169599411E-2"/>
                </c:manualLayout>
              </c:layout>
              <c:numFmt formatCode="0.00%" sourceLinked="0"/>
              <c:spPr>
                <a:noFill/>
                <a:ln w="25400">
                  <a:noFill/>
                </a:ln>
              </c:spPr>
              <c:txPr>
                <a:bodyPr/>
                <a:lstStyle/>
                <a:p>
                  <a:pPr>
                    <a:defRPr sz="9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379-47BB-8621-8936ED47146B}"/>
                </c:ext>
              </c:extLst>
            </c:dLbl>
            <c:dLbl>
              <c:idx val="1"/>
              <c:layout>
                <c:manualLayout>
                  <c:x val="7.4999999999999997E-2"/>
                  <c:y val="-5.5972022803090236E-2"/>
                </c:manualLayout>
              </c:layout>
              <c:numFmt formatCode="0.00%" sourceLinked="0"/>
              <c:spPr>
                <a:noFill/>
                <a:ln w="25400">
                  <a:noFill/>
                </a:ln>
              </c:spPr>
              <c:txPr>
                <a:bodyPr/>
                <a:lstStyle/>
                <a:p>
                  <a:pPr>
                    <a:defRPr sz="9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379-47BB-8621-8936ED47146B}"/>
                </c:ext>
              </c:extLst>
            </c:dLbl>
            <c:dLbl>
              <c:idx val="2"/>
              <c:layout>
                <c:manualLayout>
                  <c:x val="8.0177579635539328E-2"/>
                  <c:y val="0.10323203020675047"/>
                </c:manualLayout>
              </c:layout>
              <c:numFmt formatCode="0.00%" sourceLinked="0"/>
              <c:spPr>
                <a:noFill/>
                <a:ln w="25400">
                  <a:noFill/>
                </a:ln>
              </c:spPr>
              <c:txPr>
                <a:bodyPr/>
                <a:lstStyle/>
                <a:p>
                  <a:pPr>
                    <a:defRPr sz="9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379-47BB-8621-8936ED47146B}"/>
                </c:ext>
              </c:extLst>
            </c:dLbl>
            <c:dLbl>
              <c:idx val="3"/>
              <c:layout>
                <c:manualLayout>
                  <c:x val="8.3587136869767042E-2"/>
                  <c:y val="2.3274872526331529E-2"/>
                </c:manualLayout>
              </c:layout>
              <c:numFmt formatCode="0.00%" sourceLinked="0"/>
              <c:spPr>
                <a:noFill/>
                <a:ln w="25400">
                  <a:noFill/>
                </a:ln>
              </c:spPr>
              <c:txPr>
                <a:bodyPr/>
                <a:lstStyle/>
                <a:p>
                  <a:pPr>
                    <a:defRPr sz="9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379-47BB-8621-8936ED47146B}"/>
                </c:ext>
              </c:extLst>
            </c:dLbl>
            <c:dLbl>
              <c:idx val="4"/>
              <c:layout>
                <c:manualLayout>
                  <c:x val="-9.5784860022826018E-3"/>
                  <c:y val="3.7242008334910079E-2"/>
                </c:manualLayout>
              </c:layout>
              <c:numFmt formatCode="0.00%" sourceLinked="0"/>
              <c:spPr>
                <a:noFill/>
                <a:ln w="25400">
                  <a:noFill/>
                </a:ln>
              </c:spPr>
              <c:txPr>
                <a:bodyPr/>
                <a:lstStyle/>
                <a:p>
                  <a:pPr>
                    <a:defRPr sz="9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8379-47BB-8621-8936ED47146B}"/>
                </c:ext>
              </c:extLst>
            </c:dLbl>
            <c:dLbl>
              <c:idx val="5"/>
              <c:layout>
                <c:manualLayout>
                  <c:x val="-8.3035668044539504E-2"/>
                  <c:y val="-5.3133838861639977E-3"/>
                </c:manualLayout>
              </c:layout>
              <c:numFmt formatCode="0.00%" sourceLinked="0"/>
              <c:spPr>
                <a:noFill/>
                <a:ln w="25400">
                  <a:noFill/>
                </a:ln>
              </c:spPr>
              <c:txPr>
                <a:bodyPr/>
                <a:lstStyle/>
                <a:p>
                  <a:pPr>
                    <a:defRPr sz="9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8379-47BB-8621-8936ED47146B}"/>
                </c:ext>
              </c:extLst>
            </c:dLbl>
            <c:dLbl>
              <c:idx val="6"/>
              <c:layout>
                <c:manualLayout>
                  <c:x val="-0.10359308314231737"/>
                  <c:y val="-2.7110289587184273E-2"/>
                </c:manualLayout>
              </c:layout>
              <c:numFmt formatCode="0.00%" sourceLinked="0"/>
              <c:spPr>
                <a:noFill/>
                <a:ln w="25400">
                  <a:noFill/>
                </a:ln>
              </c:spPr>
              <c:txPr>
                <a:bodyPr/>
                <a:lstStyle/>
                <a:p>
                  <a:pPr>
                    <a:defRPr sz="9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8379-47BB-8621-8936ED47146B}"/>
                </c:ext>
              </c:extLst>
            </c:dLbl>
            <c:dLbl>
              <c:idx val="7"/>
              <c:layout>
                <c:manualLayout>
                  <c:x val="-5.8333333333333348E-2"/>
                  <c:y val="4.137283170230989E-2"/>
                </c:manualLayout>
              </c:layout>
              <c:numFmt formatCode="0.00%" sourceLinked="0"/>
              <c:spPr>
                <a:noFill/>
                <a:ln w="25400">
                  <a:noFill/>
                </a:ln>
              </c:spPr>
              <c:txPr>
                <a:bodyPr/>
                <a:lstStyle/>
                <a:p>
                  <a:pPr>
                    <a:defRPr sz="9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E-8379-47BB-8621-8936ED47146B}"/>
                </c:ext>
              </c:extLst>
            </c:dLbl>
            <c:dLbl>
              <c:idx val="8"/>
              <c:layout>
                <c:manualLayout>
                  <c:x val="-0.22222222222222221"/>
                  <c:y val="-2.3987950051708635E-2"/>
                </c:manualLayout>
              </c:layout>
              <c:numFmt formatCode="0.00%" sourceLinked="0"/>
              <c:spPr>
                <a:noFill/>
                <a:ln w="25400">
                  <a:noFill/>
                </a:ln>
              </c:spPr>
              <c:txPr>
                <a:bodyPr/>
                <a:lstStyle/>
                <a:p>
                  <a:pPr>
                    <a:defRPr sz="9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8379-47BB-8621-8936ED47146B}"/>
                </c:ext>
              </c:extLst>
            </c:dLbl>
            <c:numFmt formatCode="0.00%" sourceLinked="0"/>
            <c:spPr>
              <a:noFill/>
              <a:ln w="25400">
                <a:noFill/>
              </a:ln>
            </c:spPr>
            <c:txPr>
              <a:bodyPr wrap="square" lIns="38100" tIns="19050" rIns="38100" bIns="19050" anchor="ctr">
                <a:spAutoFit/>
              </a:bodyPr>
              <a:lstStyle/>
              <a:p>
                <a:pPr>
                  <a:defRPr sz="900" b="0" i="0" u="none" strike="noStrike" baseline="0">
                    <a:solidFill>
                      <a:srgbClr val="333333"/>
                    </a:solidFill>
                    <a:latin typeface="Calibri"/>
                    <a:ea typeface="Calibri"/>
                    <a:cs typeface="Calibri"/>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Sheet2!$A$28:$A$34</c:f>
              <c:strCache>
                <c:ptCount val="7"/>
                <c:pt idx="0">
                  <c:v>Dry Deciduous</c:v>
                </c:pt>
                <c:pt idx="1">
                  <c:v>Dry Evergreen</c:v>
                </c:pt>
                <c:pt idx="2">
                  <c:v>Eucalyptus Plantation</c:v>
                </c:pt>
                <c:pt idx="3">
                  <c:v>Forest Woodland</c:v>
                </c:pt>
                <c:pt idx="4">
                  <c:v>Moist Evergreen</c:v>
                </c:pt>
                <c:pt idx="5">
                  <c:v>Other Wooded Land</c:v>
                </c:pt>
                <c:pt idx="6">
                  <c:v>Pine Plantation</c:v>
                </c:pt>
              </c:strCache>
            </c:strRef>
          </c:cat>
          <c:val>
            <c:numRef>
              <c:f>Sheet2!$K$28:$K$34</c:f>
              <c:numCache>
                <c:formatCode>#,##0.0</c:formatCode>
                <c:ptCount val="7"/>
                <c:pt idx="0">
                  <c:v>-10424.639939999999</c:v>
                </c:pt>
                <c:pt idx="1">
                  <c:v>-8293.6397500000003</c:v>
                </c:pt>
                <c:pt idx="2">
                  <c:v>-719.11363333333327</c:v>
                </c:pt>
                <c:pt idx="3">
                  <c:v>-60065.782333333336</c:v>
                </c:pt>
                <c:pt idx="4">
                  <c:v>-20352.868433333333</c:v>
                </c:pt>
                <c:pt idx="5">
                  <c:v>-35680.360466666665</c:v>
                </c:pt>
                <c:pt idx="6">
                  <c:v>-730.39812999999992</c:v>
                </c:pt>
              </c:numCache>
            </c:numRef>
          </c:val>
          <c:extLst>
            <c:ext xmlns:c16="http://schemas.microsoft.com/office/drawing/2014/chart" uri="{C3380CC4-5D6E-409C-BE32-E72D297353CC}">
              <c16:uniqueId val="{00000010-8379-47BB-8621-8936ED47146B}"/>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4735323709536308"/>
          <c:y val="0.19934260884679419"/>
          <c:w val="0.43307130358705159"/>
          <c:h val="0.6016621050798766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F28-4B26-8A12-4503F5F9250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F28-4B26-8A12-4503F5F9250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F28-4B26-8A12-4503F5F9250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EF28-4B26-8A12-4503F5F9250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EF28-4B26-8A12-4503F5F92502}"/>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EF28-4B26-8A12-4503F5F92502}"/>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EF28-4B26-8A12-4503F5F92502}"/>
              </c:ext>
            </c:extLst>
          </c:dPt>
          <c:dLbls>
            <c:dLbl>
              <c:idx val="0"/>
              <c:layout>
                <c:manualLayout>
                  <c:x val="-0.19444444444444445"/>
                  <c:y val="-4.6309703128670179E-2"/>
                </c:manualLayout>
              </c:layout>
              <c:spPr>
                <a:noFill/>
                <a:ln w="25400">
                  <a:noFill/>
                </a:ln>
              </c:spPr>
              <c:txPr>
                <a:bodyPr/>
                <a:lstStyle/>
                <a:p>
                  <a:pPr>
                    <a:defRPr sz="10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F28-4B26-8A12-4503F5F92502}"/>
                </c:ext>
              </c:extLst>
            </c:dLbl>
            <c:dLbl>
              <c:idx val="1"/>
              <c:layout>
                <c:manualLayout>
                  <c:x val="8.8888888888888892E-2"/>
                  <c:y val="-5.7887128910837714E-2"/>
                </c:manualLayout>
              </c:layout>
              <c:spPr>
                <a:noFill/>
                <a:ln w="25400">
                  <a:noFill/>
                </a:ln>
              </c:spPr>
              <c:txPr>
                <a:bodyPr/>
                <a:lstStyle/>
                <a:p>
                  <a:pPr>
                    <a:defRPr sz="10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F28-4B26-8A12-4503F5F92502}"/>
                </c:ext>
              </c:extLst>
            </c:dLbl>
            <c:dLbl>
              <c:idx val="2"/>
              <c:layout>
                <c:manualLayout>
                  <c:x val="0.24722222222222223"/>
                  <c:y val="-9.2619406257340345E-2"/>
                </c:manualLayout>
              </c:layout>
              <c:spPr>
                <a:noFill/>
                <a:ln w="25400">
                  <a:noFill/>
                </a:ln>
              </c:spPr>
              <c:txPr>
                <a:bodyPr/>
                <a:lstStyle/>
                <a:p>
                  <a:pPr>
                    <a:defRPr sz="10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F28-4B26-8A12-4503F5F92502}"/>
                </c:ext>
              </c:extLst>
            </c:dLbl>
            <c:dLbl>
              <c:idx val="3"/>
              <c:layout>
                <c:manualLayout>
                  <c:x val="0.2"/>
                  <c:y val="7.3323696620394438E-2"/>
                </c:manualLayout>
              </c:layout>
              <c:spPr>
                <a:noFill/>
                <a:ln w="25400">
                  <a:noFill/>
                </a:ln>
              </c:spPr>
              <c:txPr>
                <a:bodyPr/>
                <a:lstStyle/>
                <a:p>
                  <a:pPr>
                    <a:defRPr sz="10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F28-4B26-8A12-4503F5F92502}"/>
                </c:ext>
              </c:extLst>
            </c:dLbl>
            <c:dLbl>
              <c:idx val="5"/>
              <c:layout>
                <c:manualLayout>
                  <c:x val="-8.8888888888888906E-2"/>
                  <c:y val="-3.8591419273892517E-3"/>
                </c:manualLayout>
              </c:layout>
              <c:spPr>
                <a:noFill/>
                <a:ln w="25400">
                  <a:noFill/>
                </a:ln>
              </c:spPr>
              <c:txPr>
                <a:bodyPr/>
                <a:lstStyle/>
                <a:p>
                  <a:pPr>
                    <a:defRPr sz="10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EF28-4B26-8A12-4503F5F92502}"/>
                </c:ext>
              </c:extLst>
            </c:dLbl>
            <c:dLbl>
              <c:idx val="6"/>
              <c:layout>
                <c:manualLayout>
                  <c:x val="-0.1362862010221465"/>
                  <c:y val="6.8675991336558509E-2"/>
                </c:manualLayout>
              </c:layout>
              <c:spPr>
                <a:noFill/>
                <a:ln w="25400">
                  <a:noFill/>
                </a:ln>
              </c:spPr>
              <c:txPr>
                <a:bodyPr/>
                <a:lstStyle/>
                <a:p>
                  <a:pPr>
                    <a:defRPr sz="10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EF28-4B26-8A12-4503F5F92502}"/>
                </c:ext>
              </c:extLst>
            </c:dLbl>
            <c:dLbl>
              <c:idx val="7"/>
              <c:layout>
                <c:manualLayout>
                  <c:x val="-5.5555555555555552E-2"/>
                  <c:y val="-4.6309703128670207E-2"/>
                </c:manualLayout>
              </c:layout>
              <c:spPr>
                <a:noFill/>
                <a:ln w="25400">
                  <a:noFill/>
                </a:ln>
              </c:spPr>
              <c:txPr>
                <a:bodyPr/>
                <a:lstStyle/>
                <a:p>
                  <a:pPr>
                    <a:defRPr sz="10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E-EF28-4B26-8A12-4503F5F92502}"/>
                </c:ext>
              </c:extLst>
            </c:dLbl>
            <c:dLbl>
              <c:idx val="8"/>
              <c:layout>
                <c:manualLayout>
                  <c:x val="-9.1666666666666674E-2"/>
                  <c:y val="1.157742578216756E-2"/>
                </c:manualLayout>
              </c:layout>
              <c:spPr>
                <a:noFill/>
                <a:ln w="25400">
                  <a:noFill/>
                </a:ln>
              </c:spPr>
              <c:txPr>
                <a:bodyPr/>
                <a:lstStyle/>
                <a:p>
                  <a:pPr>
                    <a:defRPr sz="1000" b="0" i="0" u="none" strike="noStrike" baseline="0">
                      <a:solidFill>
                        <a:srgbClr val="333333"/>
                      </a:solidFill>
                      <a:latin typeface="Calibri"/>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EF28-4B26-8A12-4503F5F92502}"/>
                </c:ext>
              </c:extLst>
            </c:dLbl>
            <c:spPr>
              <a:noFill/>
              <a:ln w="25400">
                <a:noFill/>
              </a:ln>
            </c:spPr>
            <c:txPr>
              <a:bodyPr wrap="square" lIns="38100" tIns="19050" rIns="38100" bIns="19050" anchor="ctr">
                <a:spAutoFit/>
              </a:bodyPr>
              <a:lstStyle/>
              <a:p>
                <a:pPr>
                  <a:defRPr sz="1000" b="0" i="0" u="none" strike="noStrike" baseline="0">
                    <a:solidFill>
                      <a:srgbClr val="333333"/>
                    </a:solidFill>
                    <a:latin typeface="Calibri"/>
                    <a:ea typeface="Calibri"/>
                    <a:cs typeface="Calibri"/>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Sheet2!$A$28:$A$34</c:f>
              <c:strCache>
                <c:ptCount val="7"/>
                <c:pt idx="0">
                  <c:v>Dry Deciduous</c:v>
                </c:pt>
                <c:pt idx="1">
                  <c:v>Dry Evergreen</c:v>
                </c:pt>
                <c:pt idx="2">
                  <c:v>Eucalyptus Plantation</c:v>
                </c:pt>
                <c:pt idx="3">
                  <c:v>Forest Woodland</c:v>
                </c:pt>
                <c:pt idx="4">
                  <c:v>Moist Evergreen</c:v>
                </c:pt>
                <c:pt idx="5">
                  <c:v>Other Wooded Land</c:v>
                </c:pt>
                <c:pt idx="6">
                  <c:v>Pine Plantation</c:v>
                </c:pt>
              </c:strCache>
            </c:strRef>
          </c:cat>
          <c:val>
            <c:numRef>
              <c:f>Sheet2!$AD$28:$AD$34</c:f>
              <c:numCache>
                <c:formatCode>#,##0.0</c:formatCode>
                <c:ptCount val="7"/>
                <c:pt idx="0">
                  <c:v>145.24718999999999</c:v>
                </c:pt>
                <c:pt idx="1">
                  <c:v>864.00599999999997</c:v>
                </c:pt>
                <c:pt idx="2">
                  <c:v>249.49011999999999</c:v>
                </c:pt>
                <c:pt idx="3">
                  <c:v>22698.526766666666</c:v>
                </c:pt>
                <c:pt idx="4">
                  <c:v>181.07353000000003</c:v>
                </c:pt>
                <c:pt idx="5">
                  <c:v>6388.9492333333337</c:v>
                </c:pt>
                <c:pt idx="6">
                  <c:v>4494.9373333333333</c:v>
                </c:pt>
              </c:numCache>
            </c:numRef>
          </c:val>
          <c:extLst>
            <c:ext xmlns:c16="http://schemas.microsoft.com/office/drawing/2014/chart" uri="{C3380CC4-5D6E-409C-BE32-E72D297353CC}">
              <c16:uniqueId val="{00000010-EF28-4B26-8A12-4503F5F92502}"/>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266863517060364"/>
          <c:y val="0.23355650531220792"/>
          <c:w val="0.54966294838145235"/>
          <c:h val="0.6636949430696214"/>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F9F-43F4-8940-9CF328BBF27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F9F-43F4-8940-9CF328BBF27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F9F-43F4-8940-9CF328BBF27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F9F-43F4-8940-9CF328BBF27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F9F-43F4-8940-9CF328BBF276}"/>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F9F-43F4-8940-9CF328BBF276}"/>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5F9F-43F4-8940-9CF328BBF276}"/>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5F9F-43F4-8940-9CF328BBF276}"/>
              </c:ext>
            </c:extLst>
          </c:dPt>
          <c:dLbls>
            <c:dLbl>
              <c:idx val="0"/>
              <c:layout>
                <c:manualLayout>
                  <c:x val="0.16071420186966789"/>
                  <c:y val="-4.15780157965242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F9F-43F4-8940-9CF328BBF276}"/>
                </c:ext>
              </c:extLst>
            </c:dLbl>
            <c:dLbl>
              <c:idx val="1"/>
              <c:layout>
                <c:manualLayout>
                  <c:x val="0.15263194962883664"/>
                  <c:y val="3.5369452549395795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F9F-43F4-8940-9CF328BBF276}"/>
                </c:ext>
              </c:extLst>
            </c:dLbl>
            <c:dLbl>
              <c:idx val="2"/>
              <c:layout>
                <c:manualLayout>
                  <c:x val="8.9973189845008308E-2"/>
                  <c:y val="0.17556509246967686"/>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5F9F-43F4-8940-9CF328BBF276}"/>
                </c:ext>
              </c:extLst>
            </c:dLbl>
            <c:dLbl>
              <c:idx val="3"/>
              <c:layout>
                <c:manualLayout>
                  <c:x val="0.14850812293084953"/>
                  <c:y val="-1.6199688718398705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F9F-43F4-8940-9CF328BBF276}"/>
                </c:ext>
              </c:extLst>
            </c:dLbl>
            <c:dLbl>
              <c:idx val="4"/>
              <c:layout>
                <c:manualLayout>
                  <c:x val="-1.6240959572159416E-2"/>
                  <c:y val="0.13000220439555521"/>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5F9F-43F4-8940-9CF328BBF276}"/>
                </c:ext>
              </c:extLst>
            </c:dLbl>
            <c:dLbl>
              <c:idx val="5"/>
              <c:layout>
                <c:manualLayout>
                  <c:x val="-3.5690179352580925E-2"/>
                  <c:y val="5.4805178547706876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5F9F-43F4-8940-9CF328BBF276}"/>
                </c:ext>
              </c:extLst>
            </c:dLbl>
            <c:dLbl>
              <c:idx val="6"/>
              <c:layout>
                <c:manualLayout>
                  <c:x val="3.9588801399825021E-4"/>
                  <c:y val="-3.3602828177295617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5F9F-43F4-8940-9CF328BBF276}"/>
                </c:ext>
              </c:extLst>
            </c:dLbl>
            <c:dLbl>
              <c:idx val="7"/>
              <c:layout>
                <c:manualLayout>
                  <c:x val="-6.1751531058617672E-2"/>
                  <c:y val="5.7264463152590529E-3"/>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5F9F-43F4-8940-9CF328BBF276}"/>
                </c:ext>
              </c:extLst>
            </c:dLbl>
            <c:numFmt formatCode="0.00%" sourceLinked="0"/>
            <c:spPr>
              <a:noFill/>
              <a:ln w="25400">
                <a:noFill/>
              </a:ln>
            </c:spPr>
            <c:txPr>
              <a:bodyPr wrap="square" lIns="38100" tIns="19050" rIns="38100" bIns="19050" anchor="ctr">
                <a:spAutoFit/>
              </a:bodyPr>
              <a:lstStyle/>
              <a:p>
                <a:pPr>
                  <a:defRPr sz="1100" b="0" i="0" u="none" strike="noStrike" baseline="0">
                    <a:solidFill>
                      <a:srgbClr val="333333"/>
                    </a:solidFill>
                    <a:latin typeface="Garamond" panose="02020404030301010803" pitchFamily="18" charset="0"/>
                    <a:ea typeface="Calibri"/>
                    <a:cs typeface="Calibri"/>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Sheet2!$A$28:$A$34</c:f>
              <c:strCache>
                <c:ptCount val="7"/>
                <c:pt idx="0">
                  <c:v>Dry Deciduous</c:v>
                </c:pt>
                <c:pt idx="1">
                  <c:v>Dry Evergreen</c:v>
                </c:pt>
                <c:pt idx="2">
                  <c:v>Eucalyptus Plantation</c:v>
                </c:pt>
                <c:pt idx="3">
                  <c:v>Forest Woodland</c:v>
                </c:pt>
                <c:pt idx="4">
                  <c:v>Moist Evergreen</c:v>
                </c:pt>
                <c:pt idx="5">
                  <c:v>Other Wooded Land</c:v>
                </c:pt>
                <c:pt idx="6">
                  <c:v>Pine Plantation</c:v>
                </c:pt>
              </c:strCache>
            </c:strRef>
          </c:cat>
          <c:val>
            <c:numRef>
              <c:f>Sheet2!$AE$28:$AE$35</c:f>
              <c:numCache>
                <c:formatCode>#,##0.0</c:formatCode>
                <c:ptCount val="8"/>
                <c:pt idx="0">
                  <c:v>1800.9950566666666</c:v>
                </c:pt>
                <c:pt idx="1">
                  <c:v>3297.5965733333337</c:v>
                </c:pt>
                <c:pt idx="2">
                  <c:v>0</c:v>
                </c:pt>
                <c:pt idx="3">
                  <c:v>20734.275980000002</c:v>
                </c:pt>
                <c:pt idx="4">
                  <c:v>2191.6333999999997</c:v>
                </c:pt>
                <c:pt idx="5">
                  <c:v>7853.3552166666659</c:v>
                </c:pt>
                <c:pt idx="6">
                  <c:v>0</c:v>
                </c:pt>
              </c:numCache>
            </c:numRef>
          </c:val>
          <c:extLst>
            <c:ext xmlns:c16="http://schemas.microsoft.com/office/drawing/2014/chart" uri="{C3380CC4-5D6E-409C-BE32-E72D297353CC}">
              <c16:uniqueId val="{00000010-5F9F-43F4-8940-9CF328BBF276}"/>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807221212733023"/>
          <c:y val="6.0122143268676778E-2"/>
          <c:w val="0.73192778787266977"/>
          <c:h val="0.76435797964278851"/>
        </c:manualLayout>
      </c:layout>
      <c:barChart>
        <c:barDir val="col"/>
        <c:grouping val="stacked"/>
        <c:varyColors val="0"/>
        <c:ser>
          <c:idx val="0"/>
          <c:order val="0"/>
          <c:tx>
            <c:strRef>
              <c:f>'AFOLU summary Land'!$A$11</c:f>
              <c:strCache>
                <c:ptCount val="1"/>
                <c:pt idx="0">
                  <c:v>      3.B.5 - Settlements </c:v>
                </c:pt>
              </c:strCache>
            </c:strRef>
          </c:tx>
          <c:spPr>
            <a:solidFill>
              <a:srgbClr val="5B9BD5"/>
            </a:solidFill>
            <a:ln w="25400">
              <a:noFill/>
            </a:ln>
          </c:spPr>
          <c:invertIfNegative val="0"/>
          <c:cat>
            <c:numRef>
              <c:f>'AFOLU summary Land'!$B$1:$K$1</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 summary Land'!$B$11:$K$11</c:f>
              <c:numCache>
                <c:formatCode>General</c:formatCode>
                <c:ptCount val="10"/>
                <c:pt idx="0">
                  <c:v>3137.8773259166669</c:v>
                </c:pt>
                <c:pt idx="1">
                  <c:v>11073.336165833332</c:v>
                </c:pt>
                <c:pt idx="2">
                  <c:v>8534.6153713333333</c:v>
                </c:pt>
                <c:pt idx="3">
                  <c:v>9975.7361586666666</c:v>
                </c:pt>
                <c:pt idx="4" formatCode="0.0">
                  <c:v>9851.7774905000006</c:v>
                </c:pt>
                <c:pt idx="5" formatCode="0.0">
                  <c:v>9851.7774905000006</c:v>
                </c:pt>
                <c:pt idx="6" formatCode="0.0">
                  <c:v>9851.7774905000006</c:v>
                </c:pt>
                <c:pt idx="7" formatCode="0.0">
                  <c:v>9851.7774905000006</c:v>
                </c:pt>
                <c:pt idx="8" formatCode="0.0">
                  <c:v>9851.7774905000006</c:v>
                </c:pt>
                <c:pt idx="9" formatCode="0.0">
                  <c:v>9851.7774905000006</c:v>
                </c:pt>
              </c:numCache>
            </c:numRef>
          </c:val>
          <c:extLst>
            <c:ext xmlns:c16="http://schemas.microsoft.com/office/drawing/2014/chart" uri="{C3380CC4-5D6E-409C-BE32-E72D297353CC}">
              <c16:uniqueId val="{00000000-09BD-408B-A028-394C6E12921D}"/>
            </c:ext>
          </c:extLst>
        </c:ser>
        <c:dLbls>
          <c:showLegendKey val="0"/>
          <c:showVal val="0"/>
          <c:showCatName val="0"/>
          <c:showSerName val="0"/>
          <c:showPercent val="0"/>
          <c:showBubbleSize val="0"/>
        </c:dLbls>
        <c:gapWidth val="95"/>
        <c:overlap val="100"/>
        <c:axId val="327363584"/>
        <c:axId val="327385856"/>
      </c:barChart>
      <c:catAx>
        <c:axId val="327363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en-US"/>
          </a:p>
        </c:txPr>
        <c:crossAx val="327385856"/>
        <c:crosses val="autoZero"/>
        <c:auto val="1"/>
        <c:lblAlgn val="ctr"/>
        <c:lblOffset val="100"/>
        <c:noMultiLvlLbl val="0"/>
      </c:catAx>
      <c:valAx>
        <c:axId val="327385856"/>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200" b="0" i="0" u="none" strike="noStrike" baseline="0">
                    <a:solidFill>
                      <a:srgbClr val="333333"/>
                    </a:solidFill>
                    <a:latin typeface="Calibri"/>
                    <a:ea typeface="Calibri"/>
                    <a:cs typeface="Calibri"/>
                  </a:defRPr>
                </a:pPr>
                <a:r>
                  <a:rPr lang="en-US"/>
                  <a:t>Emissions (Gg CO2 eq.)</a:t>
                </a:r>
              </a:p>
            </c:rich>
          </c:tx>
          <c:layout>
            <c:manualLayout>
              <c:xMode val="edge"/>
              <c:yMode val="edge"/>
              <c:x val="0.12572574377923429"/>
              <c:y val="0.27993859899636903"/>
            </c:manualLayout>
          </c:layout>
          <c:overlay val="0"/>
          <c:spPr>
            <a:noFill/>
            <a:ln w="25400">
              <a:noFill/>
            </a:ln>
          </c:spPr>
        </c:title>
        <c:numFmt formatCode="General" sourceLinked="1"/>
        <c:majorTickMark val="none"/>
        <c:minorTickMark val="none"/>
        <c:tickLblPos val="nextTo"/>
        <c:spPr>
          <a:ln w="6350">
            <a:noFill/>
          </a:ln>
        </c:spPr>
        <c:txPr>
          <a:bodyPr rot="0" vert="horz"/>
          <a:lstStyle/>
          <a:p>
            <a:pPr>
              <a:defRPr sz="1200" b="0" i="0" u="none" strike="noStrike" baseline="0">
                <a:solidFill>
                  <a:srgbClr val="333333"/>
                </a:solidFill>
                <a:latin typeface="Calibri"/>
                <a:ea typeface="Calibri"/>
                <a:cs typeface="Calibri"/>
              </a:defRPr>
            </a:pPr>
            <a:endParaRPr lang="en-US"/>
          </a:p>
        </c:txPr>
        <c:crossAx val="32736358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1100" b="0" i="0" u="none" strike="noStrike" baseline="0">
                <a:solidFill>
                  <a:srgbClr val="333333"/>
                </a:solidFill>
                <a:latin typeface="Garamond" panose="02020404030301010803" pitchFamily="18" charset="0"/>
                <a:ea typeface="Calibri"/>
                <a:cs typeface="Calibri"/>
              </a:defRPr>
            </a:pPr>
            <a:endParaRPr lang="en-US"/>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325674334920575"/>
          <c:y val="5.7256821719096213E-2"/>
          <c:w val="0.80771207336907169"/>
          <c:h val="0.77818621625558726"/>
        </c:manualLayout>
      </c:layout>
      <c:barChart>
        <c:barDir val="col"/>
        <c:grouping val="stacked"/>
        <c:varyColors val="0"/>
        <c:ser>
          <c:idx val="0"/>
          <c:order val="0"/>
          <c:spPr>
            <a:solidFill>
              <a:srgbClr val="5B9BD5"/>
            </a:solidFill>
            <a:ln w="25400">
              <a:noFill/>
            </a:ln>
          </c:spPr>
          <c:invertIfNegative val="0"/>
          <c:cat>
            <c:numRef>
              <c:f>'AFOLU-Aggregate sources'!$V$72:$AE$72</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'AFOLU-Aggregate sources'!$V$84:$AE$84</c:f>
              <c:numCache>
                <c:formatCode>0.0</c:formatCode>
                <c:ptCount val="10"/>
                <c:pt idx="0">
                  <c:v>7211.1547946608371</c:v>
                </c:pt>
                <c:pt idx="1">
                  <c:v>8437.6807895125112</c:v>
                </c:pt>
                <c:pt idx="2">
                  <c:v>9921.4559358924416</c:v>
                </c:pt>
                <c:pt idx="3">
                  <c:v>10903.793154010558</c:v>
                </c:pt>
                <c:pt idx="4">
                  <c:v>10733.359680733027</c:v>
                </c:pt>
                <c:pt idx="5">
                  <c:v>10406.003004553178</c:v>
                </c:pt>
                <c:pt idx="6">
                  <c:v>10293.313422549536</c:v>
                </c:pt>
                <c:pt idx="7">
                  <c:v>10383.014230457266</c:v>
                </c:pt>
                <c:pt idx="8">
                  <c:v>10840.517101088728</c:v>
                </c:pt>
                <c:pt idx="9">
                  <c:v>11079.584674945789</c:v>
                </c:pt>
              </c:numCache>
            </c:numRef>
          </c:val>
          <c:extLst>
            <c:ext xmlns:c16="http://schemas.microsoft.com/office/drawing/2014/chart" uri="{C3380CC4-5D6E-409C-BE32-E72D297353CC}">
              <c16:uniqueId val="{00000000-9862-4B46-ADE9-5B126270009A}"/>
            </c:ext>
          </c:extLst>
        </c:ser>
        <c:dLbls>
          <c:showLegendKey val="0"/>
          <c:showVal val="0"/>
          <c:showCatName val="0"/>
          <c:showSerName val="0"/>
          <c:showPercent val="0"/>
          <c:showBubbleSize val="0"/>
        </c:dLbls>
        <c:gapWidth val="95"/>
        <c:overlap val="100"/>
        <c:axId val="327563904"/>
        <c:axId val="327557504"/>
      </c:barChart>
      <c:catAx>
        <c:axId val="32756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a:pPr>
            <a:endParaRPr lang="en-US"/>
          </a:p>
        </c:txPr>
        <c:crossAx val="327557504"/>
        <c:crosses val="autoZero"/>
        <c:auto val="1"/>
        <c:lblAlgn val="ctr"/>
        <c:lblOffset val="100"/>
        <c:noMultiLvlLbl val="0"/>
      </c:catAx>
      <c:valAx>
        <c:axId val="327557504"/>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GHG emissions (Gg CO2 eq)</a:t>
                </a:r>
              </a:p>
            </c:rich>
          </c:tx>
          <c:overlay val="0"/>
          <c:spPr>
            <a:noFill/>
            <a:ln w="25400">
              <a:noFill/>
            </a:ln>
          </c:spPr>
        </c:title>
        <c:numFmt formatCode="0.0" sourceLinked="1"/>
        <c:majorTickMark val="none"/>
        <c:minorTickMark val="none"/>
        <c:tickLblPos val="nextTo"/>
        <c:txPr>
          <a:bodyPr rot="0" vert="horz"/>
          <a:lstStyle/>
          <a:p>
            <a:pPr>
              <a:defRPr/>
            </a:pPr>
            <a:endParaRPr lang="en-US"/>
          </a:p>
        </c:txPr>
        <c:crossAx val="327563904"/>
        <c:crosses val="autoZero"/>
        <c:crossBetween val="between"/>
      </c:valAx>
      <c:dTable>
        <c:showHorzBorder val="1"/>
        <c:showVertBorder val="1"/>
        <c:showOutline val="1"/>
        <c:showKeys val="1"/>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Garamond" panose="02020404030301010803" pitchFamily="18" charset="0"/>
          <a:ea typeface="Calibri"/>
          <a:cs typeface="Calibri"/>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857193987115245"/>
          <c:y val="0.26766174540682419"/>
          <c:w val="0.39149672388073792"/>
          <c:h val="0.52833053028565602"/>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71D-43E2-AE37-8956D7FD4A1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71D-43E2-AE37-8956D7FD4A1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71D-43E2-AE37-8956D7FD4A1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71D-43E2-AE37-8956D7FD4A1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71D-43E2-AE37-8956D7FD4A15}"/>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671D-43E2-AE37-8956D7FD4A15}"/>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671D-43E2-AE37-8956D7FD4A15}"/>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671D-43E2-AE37-8956D7FD4A15}"/>
              </c:ext>
            </c:extLst>
          </c:dPt>
          <c:dLbls>
            <c:dLbl>
              <c:idx val="0"/>
              <c:layout>
                <c:manualLayout>
                  <c:x val="7.5066796956135884E-2"/>
                  <c:y val="-1.2252185103077192E-3"/>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15:layout>
                    <c:manualLayout>
                      <c:w val="0.28708623652259291"/>
                      <c:h val="0.2837783171521035"/>
                    </c:manualLayout>
                  </c15:layout>
                </c:ext>
                <c:ext xmlns:c16="http://schemas.microsoft.com/office/drawing/2014/chart" uri="{C3380CC4-5D6E-409C-BE32-E72D297353CC}">
                  <c16:uniqueId val="{00000001-671D-43E2-AE37-8956D7FD4A15}"/>
                </c:ext>
              </c:extLst>
            </c:dLbl>
            <c:dLbl>
              <c:idx val="1"/>
              <c:delete val="1"/>
              <c:extLst>
                <c:ext xmlns:c15="http://schemas.microsoft.com/office/drawing/2012/chart" uri="{CE6537A1-D6FC-4f65-9D91-7224C49458BB}"/>
                <c:ext xmlns:c16="http://schemas.microsoft.com/office/drawing/2014/chart" uri="{C3380CC4-5D6E-409C-BE32-E72D297353CC}">
                  <c16:uniqueId val="{00000003-671D-43E2-AE37-8956D7FD4A15}"/>
                </c:ext>
              </c:extLst>
            </c:dLbl>
            <c:dLbl>
              <c:idx val="2"/>
              <c:layout>
                <c:manualLayout>
                  <c:x val="-0.21037571517589079"/>
                  <c:y val="7.0228766913844512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671D-43E2-AE37-8956D7FD4A15}"/>
                </c:ext>
              </c:extLst>
            </c:dLbl>
            <c:dLbl>
              <c:idx val="3"/>
              <c:layout>
                <c:manualLayout>
                  <c:x val="-1.9848427921216605E-2"/>
                  <c:y val="-5.1048891430942316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15:layout>
                    <c:manualLayout>
                      <c:w val="0.46604307105496706"/>
                      <c:h val="0.24506472491909384"/>
                    </c:manualLayout>
                  </c15:layout>
                </c:ext>
                <c:ext xmlns:c16="http://schemas.microsoft.com/office/drawing/2014/chart" uri="{C3380CC4-5D6E-409C-BE32-E72D297353CC}">
                  <c16:uniqueId val="{00000007-671D-43E2-AE37-8956D7FD4A15}"/>
                </c:ext>
              </c:extLst>
            </c:dLbl>
            <c:dLbl>
              <c:idx val="4"/>
              <c:delete val="1"/>
              <c:extLst>
                <c:ext xmlns:c15="http://schemas.microsoft.com/office/drawing/2012/chart" uri="{CE6537A1-D6FC-4f65-9D91-7224C49458BB}"/>
                <c:ext xmlns:c16="http://schemas.microsoft.com/office/drawing/2014/chart" uri="{C3380CC4-5D6E-409C-BE32-E72D297353CC}">
                  <c16:uniqueId val="{00000009-671D-43E2-AE37-8956D7FD4A15}"/>
                </c:ext>
              </c:extLst>
            </c:dLbl>
            <c:dLbl>
              <c:idx val="5"/>
              <c:delete val="1"/>
              <c:extLst>
                <c:ext xmlns:c15="http://schemas.microsoft.com/office/drawing/2012/chart" uri="{CE6537A1-D6FC-4f65-9D91-7224C49458BB}"/>
                <c:ext xmlns:c16="http://schemas.microsoft.com/office/drawing/2014/chart" uri="{C3380CC4-5D6E-409C-BE32-E72D297353CC}">
                  <c16:uniqueId val="{0000000B-671D-43E2-AE37-8956D7FD4A15}"/>
                </c:ext>
              </c:extLst>
            </c:dLbl>
            <c:dLbl>
              <c:idx val="6"/>
              <c:layout>
                <c:manualLayout>
                  <c:x val="0.31499910307974094"/>
                  <c:y val="6.7625436383558848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671D-43E2-AE37-8956D7FD4A15}"/>
                </c:ext>
              </c:extLst>
            </c:dLbl>
            <c:dLbl>
              <c:idx val="7"/>
              <c:delete val="1"/>
              <c:extLst>
                <c:ext xmlns:c15="http://schemas.microsoft.com/office/drawing/2012/chart" uri="{CE6537A1-D6FC-4f65-9D91-7224C49458BB}"/>
                <c:ext xmlns:c16="http://schemas.microsoft.com/office/drawing/2014/chart" uri="{C3380CC4-5D6E-409C-BE32-E72D297353CC}">
                  <c16:uniqueId val="{0000000F-671D-43E2-AE37-8956D7FD4A15}"/>
                </c:ext>
              </c:extLst>
            </c:dLbl>
            <c:numFmt formatCode="0.00%" sourceLinked="0"/>
            <c:spPr>
              <a:noFill/>
              <a:ln w="25400">
                <a:noFill/>
              </a:ln>
            </c:spPr>
            <c:txPr>
              <a:bodyPr wrap="square" lIns="38100" tIns="19050" rIns="38100" bIns="19050" anchor="ctr">
                <a:spAutoFit/>
              </a:bodyPr>
              <a:lstStyle/>
              <a:p>
                <a:pPr>
                  <a:defRPr sz="1100" b="0" i="0" u="none" strike="noStrike" baseline="0">
                    <a:solidFill>
                      <a:srgbClr val="333333"/>
                    </a:solidFill>
                    <a:latin typeface="Garamond" panose="02020404030301010803" pitchFamily="18" charset="0"/>
                    <a:ea typeface="Calibri"/>
                    <a:cs typeface="Calibri"/>
                  </a:defRPr>
                </a:pPr>
                <a:endParaRPr lang="en-US"/>
              </a:p>
            </c:txPr>
            <c:showLegendKey val="1"/>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'AFOLU-Aggregate sources'!$U$85:$U$92</c:f>
              <c:strCache>
                <c:ptCount val="8"/>
                <c:pt idx="0">
                  <c:v>Emissions from biomass burning </c:v>
                </c:pt>
                <c:pt idx="1">
                  <c:v>      Liming </c:v>
                </c:pt>
                <c:pt idx="2">
                  <c:v>Urea application </c:v>
                </c:pt>
                <c:pt idx="3">
                  <c:v>Direct N2O Emissions from managed soils </c:v>
                </c:pt>
                <c:pt idx="4">
                  <c:v> Indirect N2O Emissions from managed soils </c:v>
                </c:pt>
                <c:pt idx="5">
                  <c:v>       Indirect N2O Emissions from manure management </c:v>
                </c:pt>
                <c:pt idx="6">
                  <c:v>Rice cultivations </c:v>
                </c:pt>
                <c:pt idx="7">
                  <c:v>Other (please specify) </c:v>
                </c:pt>
              </c:strCache>
            </c:strRef>
          </c:cat>
          <c:val>
            <c:numRef>
              <c:f>'AFOLU-Aggregate sources'!$AE$85:$AE$92</c:f>
              <c:numCache>
                <c:formatCode>0.0</c:formatCode>
                <c:ptCount val="8"/>
                <c:pt idx="0">
                  <c:v>10257.31553186131</c:v>
                </c:pt>
                <c:pt idx="1">
                  <c:v>1.6704211333333334</c:v>
                </c:pt>
                <c:pt idx="2">
                  <c:v>103.81844000000001</c:v>
                </c:pt>
                <c:pt idx="3">
                  <c:v>654.97302024628561</c:v>
                </c:pt>
                <c:pt idx="4">
                  <c:v>41.141996158842858</c:v>
                </c:pt>
                <c:pt idx="5">
                  <c:v>0</c:v>
                </c:pt>
                <c:pt idx="6">
                  <c:v>20.665265546016006</c:v>
                </c:pt>
                <c:pt idx="7">
                  <c:v>0</c:v>
                </c:pt>
              </c:numCache>
            </c:numRef>
          </c:val>
          <c:extLst>
            <c:ext xmlns:c16="http://schemas.microsoft.com/office/drawing/2014/chart" uri="{C3380CC4-5D6E-409C-BE32-E72D297353CC}">
              <c16:uniqueId val="{00000010-671D-43E2-AE37-8956D7FD4A15}"/>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333333"/>
                </a:solidFill>
                <a:latin typeface="Garamond" panose="02020404030301010803" pitchFamily="18" charset="0"/>
                <a:ea typeface="Calibri"/>
                <a:cs typeface="Calibri"/>
              </a:defRPr>
            </a:pPr>
            <a:r>
              <a:rPr lang="en-US" sz="1200" b="1">
                <a:latin typeface="Garamond" panose="02020404030301010803" pitchFamily="18" charset="0"/>
              </a:rPr>
              <a:t>GHG emissions by sector-2016</a:t>
            </a:r>
          </a:p>
        </c:rich>
      </c:tx>
      <c:layout>
        <c:manualLayout>
          <c:xMode val="edge"/>
          <c:yMode val="edge"/>
          <c:x val="0.25625610878334476"/>
          <c:y val="3.5020696680230982E-3"/>
        </c:manualLayout>
      </c:layout>
      <c:overlay val="0"/>
      <c:spPr>
        <a:noFill/>
        <a:ln w="25400">
          <a:noFill/>
        </a:ln>
      </c:spPr>
    </c:title>
    <c:autoTitleDeleted val="0"/>
    <c:plotArea>
      <c:layout>
        <c:manualLayout>
          <c:layoutTarget val="inner"/>
          <c:xMode val="edge"/>
          <c:yMode val="edge"/>
          <c:x val="0.19354049198108911"/>
          <c:y val="0.3057679537045821"/>
          <c:w val="0.55965305958654321"/>
          <c:h val="0.70183820052078805"/>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BF3-4A97-B181-3837225A4D5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BF3-4A97-B181-3837225A4D5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BF3-4A97-B181-3837225A4D5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BF3-4A97-B181-3837225A4D5C}"/>
              </c:ext>
            </c:extLst>
          </c:dPt>
          <c:dLbls>
            <c:dLbl>
              <c:idx val="0"/>
              <c:layout>
                <c:manualLayout>
                  <c:x val="-2.5000000000000102E-2"/>
                  <c:y val="-6.4814814814814825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BF3-4A97-B181-3837225A4D5C}"/>
                </c:ext>
              </c:extLst>
            </c:dLbl>
            <c:dLbl>
              <c:idx val="1"/>
              <c:layout>
                <c:manualLayout>
                  <c:x val="8.8888888888888781E-2"/>
                  <c:y val="-6.4814814814814811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BF3-4A97-B181-3837225A4D5C}"/>
                </c:ext>
              </c:extLst>
            </c:dLbl>
            <c:dLbl>
              <c:idx val="2"/>
              <c:layout>
                <c:manualLayout>
                  <c:x val="-0.19722222222222227"/>
                  <c:y val="-4.6296296296296294E-3"/>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4BF3-4A97-B181-3837225A4D5C}"/>
                </c:ext>
              </c:extLst>
            </c:dLbl>
            <c:dLbl>
              <c:idx val="3"/>
              <c:layout>
                <c:manualLayout>
                  <c:x val="-0.13333333333333333"/>
                  <c:y val="2.7777777777777776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4BF3-4A97-B181-3837225A4D5C}"/>
                </c:ext>
              </c:extLst>
            </c:dLbl>
            <c:numFmt formatCode="0.00%" sourceLinked="0"/>
            <c:spPr>
              <a:noFill/>
              <a:ln w="25400">
                <a:noFill/>
              </a:ln>
            </c:spPr>
            <c:txPr>
              <a:bodyPr wrap="square" lIns="38100" tIns="19050" rIns="38100" bIns="19050" anchor="ctr">
                <a:spAutoFit/>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outEnd"/>
            <c:showLegendKey val="1"/>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'Total with or Without AFOLU'!$E$47:$H$47</c:f>
              <c:strCache>
                <c:ptCount val="4"/>
                <c:pt idx="0">
                  <c:v>Energy</c:v>
                </c:pt>
                <c:pt idx="1">
                  <c:v>IPPU</c:v>
                </c:pt>
                <c:pt idx="2">
                  <c:v>AFOLU</c:v>
                </c:pt>
                <c:pt idx="3">
                  <c:v>Waste</c:v>
                </c:pt>
              </c:strCache>
            </c:strRef>
          </c:cat>
          <c:val>
            <c:numRef>
              <c:f>'Total with or Without AFOLU'!$E$65:$H$65</c:f>
              <c:numCache>
                <c:formatCode>#,##0.0</c:formatCode>
                <c:ptCount val="4"/>
                <c:pt idx="0">
                  <c:v>6443.6880310353999</c:v>
                </c:pt>
                <c:pt idx="1">
                  <c:v>2091.4396333150894</c:v>
                </c:pt>
                <c:pt idx="2">
                  <c:v>117887.54467761244</c:v>
                </c:pt>
                <c:pt idx="3">
                  <c:v>335.84154686755073</c:v>
                </c:pt>
              </c:numCache>
            </c:numRef>
          </c:val>
          <c:extLst>
            <c:ext xmlns:c16="http://schemas.microsoft.com/office/drawing/2014/chart" uri="{C3380CC4-5D6E-409C-BE32-E72D297353CC}">
              <c16:uniqueId val="{00000008-4BF3-4A97-B181-3837225A4D5C}"/>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9B6-41B7-BF9E-814FBFC550D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9B6-41B7-BF9E-814FBFC550D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9B6-41B7-BF9E-814FBFC550DB}"/>
              </c:ext>
            </c:extLst>
          </c:dPt>
          <c:dLbls>
            <c:dLbl>
              <c:idx val="0"/>
              <c:layout>
                <c:manualLayout>
                  <c:x val="8.611111111111111E-2"/>
                  <c:y val="4.6296296296296294E-2"/>
                </c:manualLayout>
              </c:layout>
              <c:spPr>
                <a:noFill/>
                <a:ln w="25400">
                  <a:noFill/>
                </a:ln>
              </c:spPr>
              <c:txPr>
                <a:bodyPr/>
                <a:lstStyle/>
                <a:p>
                  <a:pPr>
                    <a:defRPr sz="1050" b="0" i="0" u="none" strike="noStrike" baseline="0">
                      <a:solidFill>
                        <a:srgbClr val="333333"/>
                      </a:solidFill>
                      <a:latin typeface="Garamond" panose="02020404030301010803" pitchFamily="18" charset="0"/>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9B6-41B7-BF9E-814FBFC550DB}"/>
                </c:ext>
              </c:extLst>
            </c:dLbl>
            <c:dLbl>
              <c:idx val="1"/>
              <c:layout>
                <c:manualLayout>
                  <c:x val="-6.6666666666666693E-2"/>
                  <c:y val="5.5555555555555552E-2"/>
                </c:manualLayout>
              </c:layout>
              <c:spPr>
                <a:noFill/>
                <a:ln w="25400">
                  <a:noFill/>
                </a:ln>
              </c:spPr>
              <c:txPr>
                <a:bodyPr/>
                <a:lstStyle/>
                <a:p>
                  <a:pPr>
                    <a:defRPr sz="1050" b="0" i="0" u="none" strike="noStrike" baseline="0">
                      <a:solidFill>
                        <a:srgbClr val="333333"/>
                      </a:solidFill>
                      <a:latin typeface="Garamond" panose="02020404030301010803" pitchFamily="18" charset="0"/>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9B6-41B7-BF9E-814FBFC550DB}"/>
                </c:ext>
              </c:extLst>
            </c:dLbl>
            <c:dLbl>
              <c:idx val="2"/>
              <c:layout>
                <c:manualLayout>
                  <c:x val="-0.28503223504828884"/>
                  <c:y val="3.4955672660181493E-2"/>
                </c:manualLayout>
              </c:layout>
              <c:spPr>
                <a:noFill/>
                <a:ln w="25400">
                  <a:noFill/>
                </a:ln>
              </c:spPr>
              <c:txPr>
                <a:bodyPr/>
                <a:lstStyle/>
                <a:p>
                  <a:pPr>
                    <a:defRPr sz="1050" b="0" i="0" u="none" strike="noStrike" baseline="0">
                      <a:solidFill>
                        <a:srgbClr val="333333"/>
                      </a:solidFill>
                      <a:latin typeface="Garamond" panose="02020404030301010803" pitchFamily="18" charset="0"/>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9B6-41B7-BF9E-814FBFC550DB}"/>
                </c:ext>
              </c:extLst>
            </c:dLbl>
            <c:spPr>
              <a:noFill/>
              <a:ln w="25400">
                <a:noFill/>
              </a:ln>
            </c:spPr>
            <c:txPr>
              <a:bodyPr wrap="square" lIns="38100" tIns="19050" rIns="38100" bIns="19050" anchor="ctr">
                <a:spAutoFit/>
              </a:bodyPr>
              <a:lstStyle/>
              <a:p>
                <a:pPr>
                  <a:defRPr sz="1050" b="0" i="0" u="none" strike="noStrike" baseline="0">
                    <a:solidFill>
                      <a:srgbClr val="333333"/>
                    </a:solidFill>
                    <a:latin typeface="Garamond" panose="02020404030301010803" pitchFamily="18" charset="0"/>
                    <a:ea typeface="Calibri"/>
                    <a:cs typeface="Calibri"/>
                  </a:defRPr>
                </a:pPr>
                <a:endParaRPr lang="en-US"/>
              </a:p>
            </c:txPr>
            <c:dLblPos val="outEnd"/>
            <c:showLegendKey val="1"/>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'AFOLU-Aggregate sources'!$B$3:$D$3</c:f>
              <c:strCache>
                <c:ptCount val="3"/>
                <c:pt idx="0">
                  <c:v>Net CO2</c:v>
                </c:pt>
                <c:pt idx="1">
                  <c:v>CH4</c:v>
                </c:pt>
                <c:pt idx="2">
                  <c:v>N2O</c:v>
                </c:pt>
              </c:strCache>
            </c:strRef>
          </c:cat>
          <c:val>
            <c:numRef>
              <c:f>'AFOLU-Aggregate sources'!$B$84:$D$84</c:f>
              <c:numCache>
                <c:formatCode>General</c:formatCode>
                <c:ptCount val="3"/>
                <c:pt idx="0">
                  <c:v>105.48886113333334</c:v>
                </c:pt>
                <c:pt idx="1">
                  <c:v>331.31270934717588</c:v>
                </c:pt>
                <c:pt idx="2">
                  <c:v>12.956544895231486</c:v>
                </c:pt>
              </c:numCache>
            </c:numRef>
          </c:val>
          <c:extLst>
            <c:ext xmlns:c16="http://schemas.microsoft.com/office/drawing/2014/chart" uri="{C3380CC4-5D6E-409C-BE32-E72D297353CC}">
              <c16:uniqueId val="{00000006-09B6-41B7-BF9E-814FBFC550DB}"/>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'AFOLU-Aggregate sources'!$U$85</c:f>
              <c:strCache>
                <c:ptCount val="1"/>
                <c:pt idx="0">
                  <c:v>Emissions from biomass burning </c:v>
                </c:pt>
              </c:strCache>
            </c:strRef>
          </c:tx>
          <c:spPr>
            <a:solidFill>
              <a:srgbClr val="5B9BD5"/>
            </a:solidFill>
            <a:ln w="25400">
              <a:noFill/>
            </a:ln>
          </c:spPr>
          <c:invertIfNegative val="0"/>
          <c:cat>
            <c:numRef>
              <c:f>'AFOLU-Aggregate sources'!$V$72:$AE$72</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'AFOLU-Aggregate sources'!$V$85:$AE$85</c:f>
              <c:numCache>
                <c:formatCode>0.0</c:formatCode>
                <c:ptCount val="10"/>
                <c:pt idx="0">
                  <c:v>7187.1317444386877</c:v>
                </c:pt>
                <c:pt idx="1">
                  <c:v>8274.626113438324</c:v>
                </c:pt>
                <c:pt idx="2">
                  <c:v>8730.4149552443196</c:v>
                </c:pt>
                <c:pt idx="3">
                  <c:v>10402.040400130958</c:v>
                </c:pt>
                <c:pt idx="4">
                  <c:v>9670.6086803650996</c:v>
                </c:pt>
                <c:pt idx="5">
                  <c:v>9590.4253702156821</c:v>
                </c:pt>
                <c:pt idx="6">
                  <c:v>9508.1647857337884</c:v>
                </c:pt>
                <c:pt idx="7">
                  <c:v>9431.2490078310766</c:v>
                </c:pt>
                <c:pt idx="8">
                  <c:v>9925.5598913021531</c:v>
                </c:pt>
                <c:pt idx="9">
                  <c:v>10257.31553186131</c:v>
                </c:pt>
              </c:numCache>
            </c:numRef>
          </c:val>
          <c:extLst>
            <c:ext xmlns:c16="http://schemas.microsoft.com/office/drawing/2014/chart" uri="{C3380CC4-5D6E-409C-BE32-E72D297353CC}">
              <c16:uniqueId val="{00000000-1B6C-474D-AA0D-D95C5ED15417}"/>
            </c:ext>
          </c:extLst>
        </c:ser>
        <c:dLbls>
          <c:showLegendKey val="0"/>
          <c:showVal val="0"/>
          <c:showCatName val="0"/>
          <c:showSerName val="0"/>
          <c:showPercent val="0"/>
          <c:showBubbleSize val="0"/>
        </c:dLbls>
        <c:gapWidth val="150"/>
        <c:axId val="331422720"/>
        <c:axId val="331424512"/>
      </c:barChart>
      <c:catAx>
        <c:axId val="331422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1424512"/>
        <c:crosses val="autoZero"/>
        <c:auto val="1"/>
        <c:lblAlgn val="ctr"/>
        <c:lblOffset val="100"/>
        <c:noMultiLvlLbl val="0"/>
      </c:catAx>
      <c:valAx>
        <c:axId val="331424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GHG</a:t>
                </a:r>
                <a:r>
                  <a:rPr lang="en-US" baseline="0"/>
                  <a:t> emissions (Gg CO2 eq)</a:t>
                </a:r>
                <a:endParaRPr lang="en-US"/>
              </a:p>
            </c:rich>
          </c:tx>
          <c:layout>
            <c:manualLayout>
              <c:xMode val="edge"/>
              <c:yMode val="edge"/>
              <c:x val="0.1384292062978649"/>
              <c:y val="0.10303129722421062"/>
            </c:manualLayout>
          </c:layout>
          <c:overlay val="0"/>
          <c:spPr>
            <a:noFill/>
            <a:ln w="25400">
              <a:noFill/>
            </a:ln>
          </c:spPr>
        </c:title>
        <c:numFmt formatCode="0.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14227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'AFOLU-Aggregate sources'!$U$87</c:f>
              <c:strCache>
                <c:ptCount val="1"/>
                <c:pt idx="0">
                  <c:v>      3.C.3 - Urea application </c:v>
                </c:pt>
              </c:strCache>
            </c:strRef>
          </c:tx>
          <c:spPr>
            <a:solidFill>
              <a:schemeClr val="accent1"/>
            </a:solidFill>
            <a:ln>
              <a:noFill/>
            </a:ln>
            <a:effectLst/>
          </c:spPr>
          <c:invertIfNegative val="0"/>
          <c:cat>
            <c:numRef>
              <c:f>'AFOLU-Aggregate sources'!$V$72:$AE$72</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'AFOLU-Aggregate sources'!$V$87:$AE$87</c:f>
              <c:numCache>
                <c:formatCode>0.0</c:formatCode>
                <c:ptCount val="10"/>
                <c:pt idx="0">
                  <c:v>0</c:v>
                </c:pt>
                <c:pt idx="1">
                  <c:v>22.029909</c:v>
                </c:pt>
                <c:pt idx="2">
                  <c:v>18.377333333333333</c:v>
                </c:pt>
                <c:pt idx="3">
                  <c:v>84.088106666666675</c:v>
                </c:pt>
                <c:pt idx="4">
                  <c:v>103.82269333333333</c:v>
                </c:pt>
                <c:pt idx="5">
                  <c:v>97.471073333333351</c:v>
                </c:pt>
                <c:pt idx="6">
                  <c:v>97.133446666666671</c:v>
                </c:pt>
                <c:pt idx="7">
                  <c:v>118.711164</c:v>
                </c:pt>
                <c:pt idx="8">
                  <c:v>132.45509933333335</c:v>
                </c:pt>
                <c:pt idx="9">
                  <c:v>103.81844000000001</c:v>
                </c:pt>
              </c:numCache>
            </c:numRef>
          </c:val>
          <c:extLst>
            <c:ext xmlns:c16="http://schemas.microsoft.com/office/drawing/2014/chart" uri="{C3380CC4-5D6E-409C-BE32-E72D297353CC}">
              <c16:uniqueId val="{00000000-9309-49AE-8228-D467EC8F2CAF}"/>
            </c:ext>
          </c:extLst>
        </c:ser>
        <c:dLbls>
          <c:showLegendKey val="0"/>
          <c:showVal val="0"/>
          <c:showCatName val="0"/>
          <c:showSerName val="0"/>
          <c:showPercent val="0"/>
          <c:showBubbleSize val="0"/>
        </c:dLbls>
        <c:gapWidth val="150"/>
        <c:axId val="331520256"/>
        <c:axId val="331522048"/>
      </c:barChart>
      <c:catAx>
        <c:axId val="331520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1522048"/>
        <c:crosses val="autoZero"/>
        <c:auto val="1"/>
        <c:lblAlgn val="ctr"/>
        <c:lblOffset val="100"/>
        <c:noMultiLvlLbl val="0"/>
      </c:catAx>
      <c:valAx>
        <c:axId val="3315220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GHG emissions</a:t>
                </a:r>
                <a:r>
                  <a:rPr lang="en-US" baseline="0"/>
                  <a:t> (Gg CO2 eq)</a:t>
                </a:r>
                <a:endParaRPr lang="en-US"/>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152025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'AFOLU-Aggregate sources'!$U$88</c:f>
              <c:strCache>
                <c:ptCount val="1"/>
                <c:pt idx="0">
                  <c:v>      3.C.4 - Direct N2O Emissions from managed soils </c:v>
                </c:pt>
              </c:strCache>
            </c:strRef>
          </c:tx>
          <c:spPr>
            <a:solidFill>
              <a:schemeClr val="accent1"/>
            </a:solidFill>
            <a:ln>
              <a:noFill/>
            </a:ln>
            <a:effectLst/>
          </c:spPr>
          <c:invertIfNegative val="0"/>
          <c:cat>
            <c:numRef>
              <c:f>'AFOLU-Aggregate sources'!$V$72:$AE$72</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'AFOLU-Aggregate sources'!$V$88:$AE$88</c:f>
              <c:numCache>
                <c:formatCode>0.0</c:formatCode>
                <c:ptCount val="10"/>
                <c:pt idx="0">
                  <c:v>15.956239674571428</c:v>
                </c:pt>
                <c:pt idx="1">
                  <c:v>103.79305534714287</c:v>
                </c:pt>
                <c:pt idx="2">
                  <c:v>105.94954811571426</c:v>
                </c:pt>
                <c:pt idx="3">
                  <c:v>395.3086469514285</c:v>
                </c:pt>
                <c:pt idx="4">
                  <c:v>678.7290494238573</c:v>
                </c:pt>
                <c:pt idx="5">
                  <c:v>651.71502417732859</c:v>
                </c:pt>
                <c:pt idx="6">
                  <c:v>618.23743387198567</c:v>
                </c:pt>
                <c:pt idx="7">
                  <c:v>753.28204564674286</c:v>
                </c:pt>
                <c:pt idx="8">
                  <c:v>717.70953739099991</c:v>
                </c:pt>
                <c:pt idx="9">
                  <c:v>654.97302024628561</c:v>
                </c:pt>
              </c:numCache>
            </c:numRef>
          </c:val>
          <c:extLst>
            <c:ext xmlns:c16="http://schemas.microsoft.com/office/drawing/2014/chart" uri="{C3380CC4-5D6E-409C-BE32-E72D297353CC}">
              <c16:uniqueId val="{00000000-5AE6-4A9D-ABAF-6A5034731F2F}"/>
            </c:ext>
          </c:extLst>
        </c:ser>
        <c:dLbls>
          <c:showLegendKey val="0"/>
          <c:showVal val="0"/>
          <c:showCatName val="0"/>
          <c:showSerName val="0"/>
          <c:showPercent val="0"/>
          <c:showBubbleSize val="0"/>
        </c:dLbls>
        <c:gapWidth val="150"/>
        <c:axId val="332883456"/>
        <c:axId val="332884992"/>
      </c:barChart>
      <c:catAx>
        <c:axId val="332883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2884992"/>
        <c:crosses val="autoZero"/>
        <c:auto val="1"/>
        <c:lblAlgn val="ctr"/>
        <c:lblOffset val="100"/>
        <c:noMultiLvlLbl val="0"/>
      </c:catAx>
      <c:valAx>
        <c:axId val="332884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GHG</a:t>
                </a:r>
                <a:r>
                  <a:rPr lang="en-US" baseline="0"/>
                  <a:t> Emissions Gg CO2 eq)</a:t>
                </a:r>
                <a:endParaRPr lang="en-US"/>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288345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'AFOLU-Aggregate sources'!$U$89</c:f>
              <c:strCache>
                <c:ptCount val="1"/>
                <c:pt idx="0">
                  <c:v>      3.C.5 - Indirect N2O Emissions from managed soils </c:v>
                </c:pt>
              </c:strCache>
            </c:strRef>
          </c:tx>
          <c:spPr>
            <a:solidFill>
              <a:schemeClr val="accent1"/>
            </a:solidFill>
            <a:ln>
              <a:noFill/>
            </a:ln>
            <a:effectLst/>
          </c:spPr>
          <c:invertIfNegative val="0"/>
          <c:cat>
            <c:numRef>
              <c:f>'AFOLU-Aggregate sources'!$V$72:$AE$72</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'AFOLU-Aggregate sources'!$V$89:$AE$89</c:f>
              <c:numCache>
                <c:formatCode>0.0</c:formatCode>
                <c:ptCount val="10"/>
                <c:pt idx="0">
                  <c:v>3.5901539267785707</c:v>
                </c:pt>
                <c:pt idx="1">
                  <c:v>32.137105584964281</c:v>
                </c:pt>
                <c:pt idx="2">
                  <c:v>30.980211326035711</c:v>
                </c:pt>
                <c:pt idx="3">
                  <c:v>0</c:v>
                </c:pt>
                <c:pt idx="4">
                  <c:v>254.12212623204786</c:v>
                </c:pt>
                <c:pt idx="5">
                  <c:v>39.41481903872856</c:v>
                </c:pt>
                <c:pt idx="6">
                  <c:v>39.61599745447144</c:v>
                </c:pt>
                <c:pt idx="7">
                  <c:v>48.07282634691429</c:v>
                </c:pt>
                <c:pt idx="8">
                  <c:v>52.828756445142858</c:v>
                </c:pt>
                <c:pt idx="9">
                  <c:v>41.141996158842858</c:v>
                </c:pt>
              </c:numCache>
            </c:numRef>
          </c:val>
          <c:extLst>
            <c:ext xmlns:c16="http://schemas.microsoft.com/office/drawing/2014/chart" uri="{C3380CC4-5D6E-409C-BE32-E72D297353CC}">
              <c16:uniqueId val="{00000000-17D8-4560-847C-1D15946F1FB9}"/>
            </c:ext>
          </c:extLst>
        </c:ser>
        <c:dLbls>
          <c:showLegendKey val="0"/>
          <c:showVal val="0"/>
          <c:showCatName val="0"/>
          <c:showSerName val="0"/>
          <c:showPercent val="0"/>
          <c:showBubbleSize val="0"/>
        </c:dLbls>
        <c:gapWidth val="150"/>
        <c:axId val="335753984"/>
        <c:axId val="335755520"/>
      </c:barChart>
      <c:catAx>
        <c:axId val="335753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755520"/>
        <c:crosses val="autoZero"/>
        <c:auto val="1"/>
        <c:lblAlgn val="ctr"/>
        <c:lblOffset val="100"/>
        <c:noMultiLvlLbl val="0"/>
      </c:catAx>
      <c:valAx>
        <c:axId val="335755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GHG emissions ( Gg CO2 eq)</a:t>
                </a:r>
              </a:p>
            </c:rich>
          </c:tx>
          <c:layout>
            <c:manualLayout>
              <c:xMode val="edge"/>
              <c:yMode val="edge"/>
              <c:x val="2.570694087403599E-2"/>
              <c:y val="6.7946662917135345E-2"/>
            </c:manualLayout>
          </c:layout>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575398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820783691305601"/>
          <c:y val="0.14810185185185185"/>
          <c:w val="0.70540548432754802"/>
          <c:h val="0.63025517643627882"/>
        </c:manualLayout>
      </c:layout>
      <c:barChart>
        <c:barDir val="col"/>
        <c:grouping val="clustered"/>
        <c:varyColors val="0"/>
        <c:ser>
          <c:idx val="0"/>
          <c:order val="0"/>
          <c:tx>
            <c:strRef>
              <c:f>'AFOLU-Aggregate sources'!$U$91</c:f>
              <c:strCache>
                <c:ptCount val="1"/>
                <c:pt idx="0">
                  <c:v>      3.C.7 - Rice cultivations </c:v>
                </c:pt>
              </c:strCache>
            </c:strRef>
          </c:tx>
          <c:spPr>
            <a:solidFill>
              <a:schemeClr val="accent1"/>
            </a:solidFill>
            <a:ln>
              <a:noFill/>
            </a:ln>
            <a:effectLst/>
          </c:spPr>
          <c:invertIfNegative val="0"/>
          <c:cat>
            <c:numRef>
              <c:f>'AFOLU-Aggregate sources'!$V$72:$AE$72</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'AFOLU-Aggregate sources'!$V$91:$AE$91</c:f>
              <c:numCache>
                <c:formatCode>0.0</c:formatCode>
                <c:ptCount val="10"/>
                <c:pt idx="0">
                  <c:v>4.4766566208000009</c:v>
                </c:pt>
                <c:pt idx="1">
                  <c:v>5.09460614208</c:v>
                </c:pt>
                <c:pt idx="2">
                  <c:v>11.379078547200002</c:v>
                </c:pt>
                <c:pt idx="3">
                  <c:v>22.356000261504004</c:v>
                </c:pt>
                <c:pt idx="4">
                  <c:v>25.725708878688007</c:v>
                </c:pt>
                <c:pt idx="5">
                  <c:v>24.574112821440007</c:v>
                </c:pt>
                <c:pt idx="6">
                  <c:v>29.585454522624005</c:v>
                </c:pt>
                <c:pt idx="7">
                  <c:v>31.069319299200004</c:v>
                </c:pt>
                <c:pt idx="8">
                  <c:v>11.169704250432002</c:v>
                </c:pt>
                <c:pt idx="9">
                  <c:v>20.665265546016006</c:v>
                </c:pt>
              </c:numCache>
            </c:numRef>
          </c:val>
          <c:extLst>
            <c:ext xmlns:c16="http://schemas.microsoft.com/office/drawing/2014/chart" uri="{C3380CC4-5D6E-409C-BE32-E72D297353CC}">
              <c16:uniqueId val="{00000000-804C-4549-820D-7B060B6C25A9}"/>
            </c:ext>
          </c:extLst>
        </c:ser>
        <c:dLbls>
          <c:showLegendKey val="0"/>
          <c:showVal val="0"/>
          <c:showCatName val="0"/>
          <c:showSerName val="0"/>
          <c:showPercent val="0"/>
          <c:showBubbleSize val="0"/>
        </c:dLbls>
        <c:gapWidth val="150"/>
        <c:axId val="337104896"/>
        <c:axId val="337106432"/>
      </c:barChart>
      <c:catAx>
        <c:axId val="337104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7106432"/>
        <c:crosses val="autoZero"/>
        <c:auto val="1"/>
        <c:lblAlgn val="ctr"/>
        <c:lblOffset val="100"/>
        <c:noMultiLvlLbl val="0"/>
      </c:catAx>
      <c:valAx>
        <c:axId val="3371064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GHG</a:t>
                </a:r>
                <a:r>
                  <a:rPr lang="en-US" baseline="0"/>
                  <a:t> emissions (Gg CO2 eq) </a:t>
                </a:r>
                <a:endParaRPr lang="en-US"/>
              </a:p>
            </c:rich>
          </c:tx>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71048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809273840769904"/>
          <c:y val="0.20099555263925342"/>
          <c:w val="0.76190726159230093"/>
          <c:h val="0.65273913677456985"/>
        </c:manualLayout>
      </c:layout>
      <c:barChart>
        <c:barDir val="col"/>
        <c:grouping val="stacked"/>
        <c:varyColors val="0"/>
        <c:ser>
          <c:idx val="0"/>
          <c:order val="0"/>
          <c:spPr>
            <a:solidFill>
              <a:srgbClr val="5B9BD5"/>
            </a:solidFill>
            <a:ln w="25400">
              <a:noFill/>
            </a:ln>
          </c:spPr>
          <c:invertIfNegative val="0"/>
          <c:cat>
            <c:numRef>
              <c:f>'Waste Summary  '!$R$95:$AA$95</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'Waste Summary  '!$R$96:$AA$96</c:f>
              <c:numCache>
                <c:formatCode>0.00</c:formatCode>
                <c:ptCount val="10"/>
                <c:pt idx="0">
                  <c:v>204.4751424711618</c:v>
                </c:pt>
                <c:pt idx="1">
                  <c:v>222.48146326129779</c:v>
                </c:pt>
                <c:pt idx="2">
                  <c:v>257.29104740225364</c:v>
                </c:pt>
                <c:pt idx="3">
                  <c:v>305.94065046093345</c:v>
                </c:pt>
                <c:pt idx="4">
                  <c:v>309.85937277567666</c:v>
                </c:pt>
                <c:pt idx="5">
                  <c:v>314.60184315607967</c:v>
                </c:pt>
                <c:pt idx="6">
                  <c:v>319.57890806861724</c:v>
                </c:pt>
                <c:pt idx="7">
                  <c:v>324.82748551850705</c:v>
                </c:pt>
                <c:pt idx="8">
                  <c:v>330.21905070818116</c:v>
                </c:pt>
                <c:pt idx="9">
                  <c:v>335.84154686755073</c:v>
                </c:pt>
              </c:numCache>
            </c:numRef>
          </c:val>
          <c:extLst>
            <c:ext xmlns:c16="http://schemas.microsoft.com/office/drawing/2014/chart" uri="{C3380CC4-5D6E-409C-BE32-E72D297353CC}">
              <c16:uniqueId val="{00000000-89C6-4044-8356-34CA22B9D648}"/>
            </c:ext>
          </c:extLst>
        </c:ser>
        <c:dLbls>
          <c:showLegendKey val="0"/>
          <c:showVal val="0"/>
          <c:showCatName val="0"/>
          <c:showSerName val="0"/>
          <c:showPercent val="0"/>
          <c:showBubbleSize val="0"/>
        </c:dLbls>
        <c:gapWidth val="95"/>
        <c:overlap val="100"/>
        <c:axId val="339766272"/>
        <c:axId val="339768064"/>
      </c:barChart>
      <c:catAx>
        <c:axId val="339766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1200" b="0" i="0" u="none" strike="noStrike" baseline="0">
                <a:solidFill>
                  <a:srgbClr val="333333"/>
                </a:solidFill>
                <a:latin typeface="Calibri"/>
                <a:ea typeface="Calibri"/>
                <a:cs typeface="Calibri"/>
              </a:defRPr>
            </a:pPr>
            <a:endParaRPr lang="en-US"/>
          </a:p>
        </c:txPr>
        <c:crossAx val="339768064"/>
        <c:crosses val="autoZero"/>
        <c:auto val="1"/>
        <c:lblAlgn val="ctr"/>
        <c:lblOffset val="100"/>
        <c:noMultiLvlLbl val="0"/>
      </c:catAx>
      <c:valAx>
        <c:axId val="339768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200" b="0" i="0" u="none" strike="noStrike" baseline="0">
                    <a:solidFill>
                      <a:srgbClr val="333333"/>
                    </a:solidFill>
                    <a:latin typeface="Garamond" panose="02020404030301010803" pitchFamily="18" charset="0"/>
                    <a:ea typeface="Calibri"/>
                    <a:cs typeface="Calibri"/>
                  </a:defRPr>
                </a:pPr>
                <a:r>
                  <a:rPr lang="en-US">
                    <a:latin typeface="Garamond" panose="02020404030301010803" pitchFamily="18" charset="0"/>
                  </a:rPr>
                  <a:t>GHG Emissions (Gg CO2 eq)</a:t>
                </a:r>
              </a:p>
            </c:rich>
          </c:tx>
          <c:overlay val="0"/>
          <c:spPr>
            <a:noFill/>
            <a:ln w="25400">
              <a:noFill/>
            </a:ln>
          </c:spPr>
        </c:title>
        <c:numFmt formatCode="0.00" sourceLinked="1"/>
        <c:majorTickMark val="none"/>
        <c:minorTickMark val="none"/>
        <c:tickLblPos val="nextTo"/>
        <c:txPr>
          <a:bodyPr rot="0" vert="horz"/>
          <a:lstStyle/>
          <a:p>
            <a:pPr>
              <a:defRPr sz="1200" b="0" i="0" u="none" strike="noStrike" baseline="0">
                <a:solidFill>
                  <a:srgbClr val="333333"/>
                </a:solidFill>
                <a:latin typeface="Calibri"/>
                <a:ea typeface="Calibri"/>
                <a:cs typeface="Calibri"/>
              </a:defRPr>
            </a:pPr>
            <a:endParaRPr lang="en-US"/>
          </a:p>
        </c:txPr>
        <c:crossAx val="339766272"/>
        <c:crosses val="autoZero"/>
        <c:crossBetween val="between"/>
      </c:valAx>
      <c:dTable>
        <c:showHorzBorder val="1"/>
        <c:showVertBorder val="1"/>
        <c:showOutline val="1"/>
        <c:showKeys val="1"/>
        <c:txPr>
          <a:bodyPr/>
          <a:lstStyle/>
          <a:p>
            <a:pPr rtl="0">
              <a:defRPr sz="1000" b="0" i="0" u="none" strike="noStrike" baseline="0">
                <a:solidFill>
                  <a:srgbClr val="000000"/>
                </a:solidFill>
                <a:latin typeface="Calibri"/>
                <a:ea typeface="Calibri"/>
                <a:cs typeface="Calibri"/>
              </a:defRPr>
            </a:pPr>
            <a:endParaRPr lang="en-US"/>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705236782429905"/>
          <c:y val="0.24262139107611549"/>
          <c:w val="0.51056942819175311"/>
          <c:h val="0.5354067259312154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910-4ABF-9407-A80BEF6C536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910-4ABF-9407-A80BEF6C536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910-4ABF-9407-A80BEF6C536D}"/>
              </c:ext>
            </c:extLst>
          </c:dPt>
          <c:dLbls>
            <c:dLbl>
              <c:idx val="0"/>
              <c:layout>
                <c:manualLayout>
                  <c:x val="0.1452992125984251"/>
                  <c:y val="4.6902158063575387E-2"/>
                </c:manualLayout>
              </c:layout>
              <c:spPr>
                <a:noFill/>
                <a:ln w="25400">
                  <a:noFill/>
                </a:ln>
              </c:spPr>
              <c:txPr>
                <a:bodyPr/>
                <a:lstStyle/>
                <a:p>
                  <a:pPr>
                    <a:defRPr sz="900" b="0" i="0" u="none" strike="noStrike" baseline="0">
                      <a:solidFill>
                        <a:srgbClr val="333333"/>
                      </a:solidFill>
                      <a:latin typeface="Calibri"/>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910-4ABF-9407-A80BEF6C536D}"/>
                </c:ext>
              </c:extLst>
            </c:dLbl>
            <c:dLbl>
              <c:idx val="1"/>
              <c:layout>
                <c:manualLayout>
                  <c:x val="-4.2865454160799191E-2"/>
                  <c:y val="3.6061898512685913E-3"/>
                </c:manualLayout>
              </c:layout>
              <c:spPr>
                <a:noFill/>
                <a:ln w="25400">
                  <a:noFill/>
                </a:ln>
              </c:spPr>
              <c:txPr>
                <a:bodyPr/>
                <a:lstStyle/>
                <a:p>
                  <a:pPr>
                    <a:defRPr sz="900" b="0" i="0" u="none" strike="noStrike" baseline="0">
                      <a:solidFill>
                        <a:srgbClr val="333333"/>
                      </a:solidFill>
                      <a:latin typeface="Calibri"/>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910-4ABF-9407-A80BEF6C536D}"/>
                </c:ext>
              </c:extLst>
            </c:dLbl>
            <c:dLbl>
              <c:idx val="2"/>
              <c:layout>
                <c:manualLayout>
                  <c:x val="-7.1600831146106741E-2"/>
                  <c:y val="-5.2781423155439751E-3"/>
                </c:manualLayout>
              </c:layout>
              <c:spPr>
                <a:noFill/>
                <a:ln w="25400">
                  <a:noFill/>
                </a:ln>
              </c:spPr>
              <c:txPr>
                <a:bodyPr/>
                <a:lstStyle/>
                <a:p>
                  <a:pPr>
                    <a:defRPr sz="900" b="0" i="0" u="none" strike="noStrike" baseline="0">
                      <a:solidFill>
                        <a:srgbClr val="333333"/>
                      </a:solidFill>
                      <a:latin typeface="Calibri"/>
                      <a:ea typeface="Calibri"/>
                      <a:cs typeface="Calibri"/>
                    </a:defRPr>
                  </a:pPr>
                  <a:endParaRPr lang="en-US"/>
                </a:p>
              </c:txPr>
              <c:dLblPos val="bestFi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A910-4ABF-9407-A80BEF6C536D}"/>
                </c:ext>
              </c:extLst>
            </c:dLbl>
            <c:spPr>
              <a:noFill/>
              <a:ln w="25400">
                <a:noFill/>
              </a:ln>
            </c:spPr>
            <c:txPr>
              <a:bodyPr wrap="square" lIns="38100" tIns="19050" rIns="38100" bIns="19050" anchor="ctr">
                <a:spAutoFit/>
              </a:bodyPr>
              <a:lstStyle/>
              <a:p>
                <a:pPr>
                  <a:defRPr sz="900" b="0" i="0" u="none" strike="noStrike" baseline="0">
                    <a:solidFill>
                      <a:srgbClr val="333333"/>
                    </a:solidFill>
                    <a:latin typeface="Calibri"/>
                    <a:ea typeface="Calibri"/>
                    <a:cs typeface="Calibri"/>
                  </a:defRPr>
                </a:pPr>
                <a:endParaRPr lang="en-US"/>
              </a:p>
            </c:txPr>
            <c:showLegendKey val="1"/>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'Waste Summary  '!$B$3:$D$3</c:f>
              <c:strCache>
                <c:ptCount val="3"/>
                <c:pt idx="0">
                  <c:v>Net CO2 </c:v>
                </c:pt>
                <c:pt idx="1">
                  <c:v>CH4</c:v>
                </c:pt>
                <c:pt idx="2">
                  <c:v>N2O</c:v>
                </c:pt>
              </c:strCache>
            </c:strRef>
          </c:cat>
          <c:val>
            <c:numRef>
              <c:f>'Waste Summary  '!$B$96:$D$96</c:f>
              <c:numCache>
                <c:formatCode>General</c:formatCode>
                <c:ptCount val="3"/>
                <c:pt idx="0">
                  <c:v>2.2664992114749749</c:v>
                </c:pt>
                <c:pt idx="1">
                  <c:v>7.3821871067946052</c:v>
                </c:pt>
                <c:pt idx="2">
                  <c:v>0.57596489810770646</c:v>
                </c:pt>
              </c:numCache>
            </c:numRef>
          </c:val>
          <c:extLst>
            <c:ext xmlns:c16="http://schemas.microsoft.com/office/drawing/2014/chart" uri="{C3380CC4-5D6E-409C-BE32-E72D297353CC}">
              <c16:uniqueId val="{00000006-A910-4ABF-9407-A80BEF6C536D}"/>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'Waste Summary  '!$A$97</c:f>
              <c:strCache>
                <c:ptCount val="1"/>
                <c:pt idx="0">
                  <c:v>   4.A - Solid Waste Disposal </c:v>
                </c:pt>
              </c:strCache>
            </c:strRef>
          </c:tx>
          <c:marker>
            <c:symbol val="none"/>
          </c:marker>
          <c:cat>
            <c:numRef>
              <c:f>'Waste Summary  '!$R$95:$AA$95</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'Waste Summary  '!$R$97:$AA$97</c:f>
              <c:numCache>
                <c:formatCode>0.00</c:formatCode>
                <c:ptCount val="10"/>
                <c:pt idx="0">
                  <c:v>46.426353716279962</c:v>
                </c:pt>
                <c:pt idx="1">
                  <c:v>55.779135086333675</c:v>
                </c:pt>
                <c:pt idx="2">
                  <c:v>64.311410389275409</c:v>
                </c:pt>
                <c:pt idx="3">
                  <c:v>75.63872220131401</c:v>
                </c:pt>
                <c:pt idx="4">
                  <c:v>78.285919088054328</c:v>
                </c:pt>
                <c:pt idx="5">
                  <c:v>80.940155838165651</c:v>
                </c:pt>
                <c:pt idx="6">
                  <c:v>83.719988930431015</c:v>
                </c:pt>
                <c:pt idx="7">
                  <c:v>86.693579664642954</c:v>
                </c:pt>
                <c:pt idx="8">
                  <c:v>89.731103486099215</c:v>
                </c:pt>
                <c:pt idx="9">
                  <c:v>92.907196047810572</c:v>
                </c:pt>
              </c:numCache>
            </c:numRef>
          </c:val>
          <c:smooth val="0"/>
          <c:extLst>
            <c:ext xmlns:c16="http://schemas.microsoft.com/office/drawing/2014/chart" uri="{C3380CC4-5D6E-409C-BE32-E72D297353CC}">
              <c16:uniqueId val="{00000000-3A3B-43F9-B07E-2DE6DB5A017F}"/>
            </c:ext>
          </c:extLst>
        </c:ser>
        <c:dLbls>
          <c:showLegendKey val="0"/>
          <c:showVal val="0"/>
          <c:showCatName val="0"/>
          <c:showSerName val="0"/>
          <c:showPercent val="0"/>
          <c:showBubbleSize val="0"/>
        </c:dLbls>
        <c:smooth val="0"/>
        <c:axId val="343935232"/>
        <c:axId val="343945216"/>
      </c:lineChart>
      <c:catAx>
        <c:axId val="343935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a:pPr>
            <a:endParaRPr lang="en-US"/>
          </a:p>
        </c:txPr>
        <c:crossAx val="343945216"/>
        <c:crosses val="autoZero"/>
        <c:auto val="1"/>
        <c:lblAlgn val="ctr"/>
        <c:lblOffset val="100"/>
        <c:noMultiLvlLbl val="0"/>
      </c:catAx>
      <c:valAx>
        <c:axId val="343945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GHG Emissions (Gg CO2 eq.)</a:t>
                </a:r>
              </a:p>
            </c:rich>
          </c:tx>
          <c:layout>
            <c:manualLayout>
              <c:xMode val="edge"/>
              <c:yMode val="edge"/>
              <c:x val="0.20091323584551932"/>
              <c:y val="5.9728766508560183E-2"/>
            </c:manualLayout>
          </c:layout>
          <c:overlay val="0"/>
          <c:spPr>
            <a:noFill/>
            <a:ln w="25400">
              <a:noFill/>
            </a:ln>
          </c:spPr>
        </c:title>
        <c:numFmt formatCode="0.00" sourceLinked="1"/>
        <c:majorTickMark val="none"/>
        <c:minorTickMark val="none"/>
        <c:tickLblPos val="nextTo"/>
        <c:txPr>
          <a:bodyPr rot="0" vert="horz"/>
          <a:lstStyle/>
          <a:p>
            <a:pPr>
              <a:defRPr/>
            </a:pPr>
            <a:endParaRPr lang="en-US"/>
          </a:p>
        </c:txPr>
        <c:crossAx val="343935232"/>
        <c:crosses val="autoZero"/>
        <c:crossBetween val="between"/>
      </c:valAx>
      <c:dTable>
        <c:showHorzBorder val="1"/>
        <c:showVertBorder val="1"/>
        <c:showOutline val="1"/>
        <c:showKeys val="1"/>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50" b="0" i="0" u="none" strike="noStrike" baseline="0">
          <a:solidFill>
            <a:srgbClr val="000000"/>
          </a:solidFill>
          <a:latin typeface="Garamond" panose="02020404030301010803" pitchFamily="18" charset="0"/>
          <a:ea typeface="Calibri"/>
          <a:cs typeface="Calibri"/>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7009106004606564"/>
          <c:y val="4.7426806107843507E-2"/>
          <c:w val="0.65101124151933842"/>
          <c:h val="0.75375414138806418"/>
        </c:manualLayout>
      </c:layout>
      <c:lineChart>
        <c:grouping val="standard"/>
        <c:varyColors val="0"/>
        <c:ser>
          <c:idx val="0"/>
          <c:order val="0"/>
          <c:tx>
            <c:strRef>
              <c:f>Scenario1!$C$31</c:f>
              <c:strCache>
                <c:ptCount val="1"/>
                <c:pt idx="0">
                  <c:v>Year</c:v>
                </c:pt>
              </c:strCache>
            </c:strRef>
          </c:tx>
          <c:spPr>
            <a:ln w="28575" cap="rnd">
              <a:solidFill>
                <a:schemeClr val="accent1"/>
              </a:solidFill>
              <a:round/>
            </a:ln>
            <a:effectLst/>
          </c:spPr>
          <c:marker>
            <c:symbol val="none"/>
          </c:marker>
          <c:cat>
            <c:numRef>
              <c:f>Scenario1!$D$31:$L$31</c:f>
              <c:numCache>
                <c:formatCode>0</c:formatCode>
                <c:ptCount val="9"/>
                <c:pt idx="0">
                  <c:v>2010</c:v>
                </c:pt>
                <c:pt idx="1">
                  <c:v>2015</c:v>
                </c:pt>
                <c:pt idx="2">
                  <c:v>2020</c:v>
                </c:pt>
                <c:pt idx="3">
                  <c:v>2025</c:v>
                </c:pt>
                <c:pt idx="4">
                  <c:v>2030</c:v>
                </c:pt>
                <c:pt idx="5">
                  <c:v>2035</c:v>
                </c:pt>
                <c:pt idx="6">
                  <c:v>2040</c:v>
                </c:pt>
                <c:pt idx="7">
                  <c:v>2045</c:v>
                </c:pt>
                <c:pt idx="8">
                  <c:v>2050</c:v>
                </c:pt>
              </c:numCache>
            </c:numRef>
          </c:cat>
          <c:val>
            <c:numRef>
              <c:f>Scenario1!$D$31:$L$31</c:f>
              <c:numCache>
                <c:formatCode>0</c:formatCode>
                <c:ptCount val="9"/>
                <c:pt idx="0">
                  <c:v>2010</c:v>
                </c:pt>
                <c:pt idx="1">
                  <c:v>2015</c:v>
                </c:pt>
                <c:pt idx="2">
                  <c:v>2020</c:v>
                </c:pt>
                <c:pt idx="3">
                  <c:v>2025</c:v>
                </c:pt>
                <c:pt idx="4">
                  <c:v>2030</c:v>
                </c:pt>
                <c:pt idx="5">
                  <c:v>2035</c:v>
                </c:pt>
                <c:pt idx="6">
                  <c:v>2040</c:v>
                </c:pt>
                <c:pt idx="7">
                  <c:v>2045</c:v>
                </c:pt>
                <c:pt idx="8">
                  <c:v>2050</c:v>
                </c:pt>
              </c:numCache>
            </c:numRef>
          </c:val>
          <c:smooth val="0"/>
          <c:extLst>
            <c:ext xmlns:c16="http://schemas.microsoft.com/office/drawing/2014/chart" uri="{C3380CC4-5D6E-409C-BE32-E72D297353CC}">
              <c16:uniqueId val="{00000000-1B25-4F76-AE0E-D6A0661304D2}"/>
            </c:ext>
          </c:extLst>
        </c:ser>
        <c:ser>
          <c:idx val="1"/>
          <c:order val="1"/>
          <c:tx>
            <c:strRef>
              <c:f>Scenario1!$C$32</c:f>
              <c:strCache>
                <c:ptCount val="1"/>
                <c:pt idx="0">
                  <c:v>Energy</c:v>
                </c:pt>
              </c:strCache>
            </c:strRef>
          </c:tx>
          <c:spPr>
            <a:ln w="28575" cap="rnd">
              <a:solidFill>
                <a:schemeClr val="accent2">
                  <a:lumMod val="75000"/>
                </a:schemeClr>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1-1B25-4F76-AE0E-D6A0661304D2}"/>
                </c:ext>
              </c:extLst>
            </c:dLbl>
            <c:dLbl>
              <c:idx val="1"/>
              <c:delete val="1"/>
              <c:extLst>
                <c:ext xmlns:c15="http://schemas.microsoft.com/office/drawing/2012/chart" uri="{CE6537A1-D6FC-4f65-9D91-7224C49458BB}"/>
                <c:ext xmlns:c16="http://schemas.microsoft.com/office/drawing/2014/chart" uri="{C3380CC4-5D6E-409C-BE32-E72D297353CC}">
                  <c16:uniqueId val="{00000002-1B25-4F76-AE0E-D6A0661304D2}"/>
                </c:ext>
              </c:extLst>
            </c:dLbl>
            <c:dLbl>
              <c:idx val="2"/>
              <c:delete val="1"/>
              <c:extLst>
                <c:ext xmlns:c15="http://schemas.microsoft.com/office/drawing/2012/chart" uri="{CE6537A1-D6FC-4f65-9D91-7224C49458BB}"/>
                <c:ext xmlns:c16="http://schemas.microsoft.com/office/drawing/2014/chart" uri="{C3380CC4-5D6E-409C-BE32-E72D297353CC}">
                  <c16:uniqueId val="{00000003-1B25-4F76-AE0E-D6A0661304D2}"/>
                </c:ext>
              </c:extLst>
            </c:dLbl>
            <c:dLbl>
              <c:idx val="3"/>
              <c:delete val="1"/>
              <c:extLst>
                <c:ext xmlns:c15="http://schemas.microsoft.com/office/drawing/2012/chart" uri="{CE6537A1-D6FC-4f65-9D91-7224C49458BB}"/>
                <c:ext xmlns:c16="http://schemas.microsoft.com/office/drawing/2014/chart" uri="{C3380CC4-5D6E-409C-BE32-E72D297353CC}">
                  <c16:uniqueId val="{00000004-1B25-4F76-AE0E-D6A0661304D2}"/>
                </c:ext>
              </c:extLst>
            </c:dLbl>
            <c:dLbl>
              <c:idx val="4"/>
              <c:delete val="1"/>
              <c:extLst>
                <c:ext xmlns:c15="http://schemas.microsoft.com/office/drawing/2012/chart" uri="{CE6537A1-D6FC-4f65-9D91-7224C49458BB}"/>
                <c:ext xmlns:c16="http://schemas.microsoft.com/office/drawing/2014/chart" uri="{C3380CC4-5D6E-409C-BE32-E72D297353CC}">
                  <c16:uniqueId val="{00000005-1B25-4F76-AE0E-D6A0661304D2}"/>
                </c:ext>
              </c:extLst>
            </c:dLbl>
            <c:dLbl>
              <c:idx val="5"/>
              <c:delete val="1"/>
              <c:extLst>
                <c:ext xmlns:c15="http://schemas.microsoft.com/office/drawing/2012/chart" uri="{CE6537A1-D6FC-4f65-9D91-7224C49458BB}"/>
                <c:ext xmlns:c16="http://schemas.microsoft.com/office/drawing/2014/chart" uri="{C3380CC4-5D6E-409C-BE32-E72D297353CC}">
                  <c16:uniqueId val="{00000006-1B25-4F76-AE0E-D6A0661304D2}"/>
                </c:ext>
              </c:extLst>
            </c:dLbl>
            <c:dLbl>
              <c:idx val="6"/>
              <c:delete val="1"/>
              <c:extLst>
                <c:ext xmlns:c15="http://schemas.microsoft.com/office/drawing/2012/chart" uri="{CE6537A1-D6FC-4f65-9D91-7224C49458BB}"/>
                <c:ext xmlns:c16="http://schemas.microsoft.com/office/drawing/2014/chart" uri="{C3380CC4-5D6E-409C-BE32-E72D297353CC}">
                  <c16:uniqueId val="{00000007-1B25-4F76-AE0E-D6A0661304D2}"/>
                </c:ext>
              </c:extLst>
            </c:dLbl>
            <c:dLbl>
              <c:idx val="7"/>
              <c:delete val="1"/>
              <c:extLst>
                <c:ext xmlns:c15="http://schemas.microsoft.com/office/drawing/2012/chart" uri="{CE6537A1-D6FC-4f65-9D91-7224C49458BB}"/>
                <c:ext xmlns:c16="http://schemas.microsoft.com/office/drawing/2014/chart" uri="{C3380CC4-5D6E-409C-BE32-E72D297353CC}">
                  <c16:uniqueId val="{00000008-1B25-4F76-AE0E-D6A0661304D2}"/>
                </c:ext>
              </c:extLst>
            </c:dLbl>
            <c:dLbl>
              <c:idx val="8"/>
              <c:layout>
                <c:manualLayout>
                  <c:x val="3.2398985841055418E-2"/>
                  <c:y val="-8.004634298096934E-2"/>
                </c:manualLayout>
              </c:layout>
              <c:spPr>
                <a:noFill/>
                <a:ln w="25400">
                  <a:noFill/>
                </a:ln>
              </c:spPr>
              <c:txPr>
                <a:bodyPr wrap="square" lIns="38100" tIns="19050" rIns="38100" bIns="19050" anchor="ctr">
                  <a:spAutoFit/>
                </a:bodyPr>
                <a:lstStyle/>
                <a:p>
                  <a:pPr>
                    <a:defRPr/>
                  </a:pPr>
                  <a:endParaRPr lang="en-US"/>
                </a:p>
              </c:txPr>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9-1B25-4F76-AE0E-D6A0661304D2}"/>
                </c:ext>
              </c:extLst>
            </c:dLbl>
            <c:spPr>
              <a:noFill/>
              <a:ln w="25400">
                <a:noFill/>
              </a:ln>
            </c:sp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numRef>
              <c:f>Scenario1!$D$31:$L$31</c:f>
              <c:numCache>
                <c:formatCode>0</c:formatCode>
                <c:ptCount val="9"/>
                <c:pt idx="0">
                  <c:v>2010</c:v>
                </c:pt>
                <c:pt idx="1">
                  <c:v>2015</c:v>
                </c:pt>
                <c:pt idx="2">
                  <c:v>2020</c:v>
                </c:pt>
                <c:pt idx="3">
                  <c:v>2025</c:v>
                </c:pt>
                <c:pt idx="4">
                  <c:v>2030</c:v>
                </c:pt>
                <c:pt idx="5">
                  <c:v>2035</c:v>
                </c:pt>
                <c:pt idx="6">
                  <c:v>2040</c:v>
                </c:pt>
                <c:pt idx="7">
                  <c:v>2045</c:v>
                </c:pt>
                <c:pt idx="8">
                  <c:v>2050</c:v>
                </c:pt>
              </c:numCache>
            </c:numRef>
          </c:cat>
          <c:val>
            <c:numRef>
              <c:f>Scenario1!$D$32:$L$32</c:f>
              <c:numCache>
                <c:formatCode>0.0</c:formatCode>
                <c:ptCount val="9"/>
                <c:pt idx="0">
                  <c:v>3155.8232906998996</c:v>
                </c:pt>
                <c:pt idx="1">
                  <c:v>7049.7549671077395</c:v>
                </c:pt>
                <c:pt idx="2">
                  <c:v>5281.41</c:v>
                </c:pt>
                <c:pt idx="3">
                  <c:v>6038.73</c:v>
                </c:pt>
                <c:pt idx="4">
                  <c:v>6904.73</c:v>
                </c:pt>
                <c:pt idx="5">
                  <c:v>7895.01</c:v>
                </c:pt>
                <c:pt idx="6">
                  <c:v>9027.42</c:v>
                </c:pt>
                <c:pt idx="7">
                  <c:v>10322.370000000001</c:v>
                </c:pt>
                <c:pt idx="8">
                  <c:v>11803.22</c:v>
                </c:pt>
              </c:numCache>
            </c:numRef>
          </c:val>
          <c:smooth val="0"/>
          <c:extLst>
            <c:ext xmlns:c16="http://schemas.microsoft.com/office/drawing/2014/chart" uri="{C3380CC4-5D6E-409C-BE32-E72D297353CC}">
              <c16:uniqueId val="{0000000A-1B25-4F76-AE0E-D6A0661304D2}"/>
            </c:ext>
          </c:extLst>
        </c:ser>
        <c:ser>
          <c:idx val="2"/>
          <c:order val="2"/>
          <c:tx>
            <c:strRef>
              <c:f>Scenario1!$C$33</c:f>
              <c:strCache>
                <c:ptCount val="1"/>
                <c:pt idx="0">
                  <c:v>IPPU</c:v>
                </c:pt>
              </c:strCache>
            </c:strRef>
          </c:tx>
          <c:spPr>
            <a:ln w="28575" cap="rnd">
              <a:solidFill>
                <a:srgbClr val="00B05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B-1B25-4F76-AE0E-D6A0661304D2}"/>
                </c:ext>
              </c:extLst>
            </c:dLbl>
            <c:dLbl>
              <c:idx val="1"/>
              <c:delete val="1"/>
              <c:extLst>
                <c:ext xmlns:c15="http://schemas.microsoft.com/office/drawing/2012/chart" uri="{CE6537A1-D6FC-4f65-9D91-7224C49458BB}"/>
                <c:ext xmlns:c16="http://schemas.microsoft.com/office/drawing/2014/chart" uri="{C3380CC4-5D6E-409C-BE32-E72D297353CC}">
                  <c16:uniqueId val="{0000000C-1B25-4F76-AE0E-D6A0661304D2}"/>
                </c:ext>
              </c:extLst>
            </c:dLbl>
            <c:dLbl>
              <c:idx val="2"/>
              <c:delete val="1"/>
              <c:extLst>
                <c:ext xmlns:c15="http://schemas.microsoft.com/office/drawing/2012/chart" uri="{CE6537A1-D6FC-4f65-9D91-7224C49458BB}"/>
                <c:ext xmlns:c16="http://schemas.microsoft.com/office/drawing/2014/chart" uri="{C3380CC4-5D6E-409C-BE32-E72D297353CC}">
                  <c16:uniqueId val="{0000000D-1B25-4F76-AE0E-D6A0661304D2}"/>
                </c:ext>
              </c:extLst>
            </c:dLbl>
            <c:dLbl>
              <c:idx val="3"/>
              <c:delete val="1"/>
              <c:extLst>
                <c:ext xmlns:c15="http://schemas.microsoft.com/office/drawing/2012/chart" uri="{CE6537A1-D6FC-4f65-9D91-7224C49458BB}"/>
                <c:ext xmlns:c16="http://schemas.microsoft.com/office/drawing/2014/chart" uri="{C3380CC4-5D6E-409C-BE32-E72D297353CC}">
                  <c16:uniqueId val="{0000000E-1B25-4F76-AE0E-D6A0661304D2}"/>
                </c:ext>
              </c:extLst>
            </c:dLbl>
            <c:dLbl>
              <c:idx val="4"/>
              <c:delete val="1"/>
              <c:extLst>
                <c:ext xmlns:c15="http://schemas.microsoft.com/office/drawing/2012/chart" uri="{CE6537A1-D6FC-4f65-9D91-7224C49458BB}"/>
                <c:ext xmlns:c16="http://schemas.microsoft.com/office/drawing/2014/chart" uri="{C3380CC4-5D6E-409C-BE32-E72D297353CC}">
                  <c16:uniqueId val="{0000000F-1B25-4F76-AE0E-D6A0661304D2}"/>
                </c:ext>
              </c:extLst>
            </c:dLbl>
            <c:dLbl>
              <c:idx val="5"/>
              <c:delete val="1"/>
              <c:extLst>
                <c:ext xmlns:c15="http://schemas.microsoft.com/office/drawing/2012/chart" uri="{CE6537A1-D6FC-4f65-9D91-7224C49458BB}"/>
                <c:ext xmlns:c16="http://schemas.microsoft.com/office/drawing/2014/chart" uri="{C3380CC4-5D6E-409C-BE32-E72D297353CC}">
                  <c16:uniqueId val="{00000010-1B25-4F76-AE0E-D6A0661304D2}"/>
                </c:ext>
              </c:extLst>
            </c:dLbl>
            <c:dLbl>
              <c:idx val="6"/>
              <c:delete val="1"/>
              <c:extLst>
                <c:ext xmlns:c15="http://schemas.microsoft.com/office/drawing/2012/chart" uri="{CE6537A1-D6FC-4f65-9D91-7224C49458BB}"/>
                <c:ext xmlns:c16="http://schemas.microsoft.com/office/drawing/2014/chart" uri="{C3380CC4-5D6E-409C-BE32-E72D297353CC}">
                  <c16:uniqueId val="{00000011-1B25-4F76-AE0E-D6A0661304D2}"/>
                </c:ext>
              </c:extLst>
            </c:dLbl>
            <c:dLbl>
              <c:idx val="7"/>
              <c:delete val="1"/>
              <c:extLst>
                <c:ext xmlns:c15="http://schemas.microsoft.com/office/drawing/2012/chart" uri="{CE6537A1-D6FC-4f65-9D91-7224C49458BB}"/>
                <c:ext xmlns:c16="http://schemas.microsoft.com/office/drawing/2014/chart" uri="{C3380CC4-5D6E-409C-BE32-E72D297353CC}">
                  <c16:uniqueId val="{00000012-1B25-4F76-AE0E-D6A0661304D2}"/>
                </c:ext>
              </c:extLst>
            </c:dLbl>
            <c:dLbl>
              <c:idx val="8"/>
              <c:layout>
                <c:manualLayout>
                  <c:x val="4.0816326530612242E-2"/>
                  <c:y val="-3.2786885245901641E-2"/>
                </c:manualLayout>
              </c:layout>
              <c:spPr>
                <a:noFill/>
                <a:ln w="25400">
                  <a:noFill/>
                </a:ln>
              </c:spPr>
              <c:txPr>
                <a:bodyPr wrap="square" lIns="38100" tIns="19050" rIns="38100" bIns="19050" anchor="ctr">
                  <a:spAutoFit/>
                </a:bodyPr>
                <a:lstStyle/>
                <a:p>
                  <a:pPr>
                    <a:defRPr/>
                  </a:pPr>
                  <a:endParaRPr lang="en-US"/>
                </a:p>
              </c:txPr>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13-1B25-4F76-AE0E-D6A0661304D2}"/>
                </c:ext>
              </c:extLst>
            </c:dLbl>
            <c:spPr>
              <a:noFill/>
              <a:ln w="25400">
                <a:noFill/>
              </a:ln>
            </c:sp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numRef>
              <c:f>Scenario1!$D$31:$L$31</c:f>
              <c:numCache>
                <c:formatCode>0</c:formatCode>
                <c:ptCount val="9"/>
                <c:pt idx="0">
                  <c:v>2010</c:v>
                </c:pt>
                <c:pt idx="1">
                  <c:v>2015</c:v>
                </c:pt>
                <c:pt idx="2">
                  <c:v>2020</c:v>
                </c:pt>
                <c:pt idx="3">
                  <c:v>2025</c:v>
                </c:pt>
                <c:pt idx="4">
                  <c:v>2030</c:v>
                </c:pt>
                <c:pt idx="5">
                  <c:v>2035</c:v>
                </c:pt>
                <c:pt idx="6">
                  <c:v>2040</c:v>
                </c:pt>
                <c:pt idx="7">
                  <c:v>2045</c:v>
                </c:pt>
                <c:pt idx="8">
                  <c:v>2050</c:v>
                </c:pt>
              </c:numCache>
            </c:numRef>
          </c:cat>
          <c:val>
            <c:numRef>
              <c:f>Scenario1!$D$33:$L$33</c:f>
              <c:numCache>
                <c:formatCode>0.0</c:formatCode>
                <c:ptCount val="9"/>
                <c:pt idx="0">
                  <c:v>1559.3821216543813</c:v>
                </c:pt>
                <c:pt idx="1">
                  <c:v>1904.8169633610639</c:v>
                </c:pt>
                <c:pt idx="2">
                  <c:v>2387.732971112534</c:v>
                </c:pt>
                <c:pt idx="3">
                  <c:v>2812.6643161012294</c:v>
                </c:pt>
                <c:pt idx="4">
                  <c:v>3313.2182914838795</c:v>
                </c:pt>
                <c:pt idx="5">
                  <c:v>3902.8530294861803</c:v>
                </c:pt>
                <c:pt idx="6">
                  <c:v>4597.421730080885</c:v>
                </c:pt>
                <c:pt idx="7">
                  <c:v>5415.598897661429</c:v>
                </c:pt>
                <c:pt idx="8">
                  <c:v>6379.3824326478925</c:v>
                </c:pt>
              </c:numCache>
            </c:numRef>
          </c:val>
          <c:smooth val="0"/>
          <c:extLst>
            <c:ext xmlns:c16="http://schemas.microsoft.com/office/drawing/2014/chart" uri="{C3380CC4-5D6E-409C-BE32-E72D297353CC}">
              <c16:uniqueId val="{00000014-1B25-4F76-AE0E-D6A0661304D2}"/>
            </c:ext>
          </c:extLst>
        </c:ser>
        <c:ser>
          <c:idx val="3"/>
          <c:order val="3"/>
          <c:tx>
            <c:strRef>
              <c:f>Scenario1!$C$34</c:f>
              <c:strCache>
                <c:ptCount val="1"/>
                <c:pt idx="0">
                  <c:v>AFOLU </c:v>
                </c:pt>
              </c:strCache>
            </c:strRef>
          </c:tx>
          <c:spPr>
            <a:ln w="28575" cap="rnd">
              <a:solidFill>
                <a:schemeClr val="accent1"/>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5-1B25-4F76-AE0E-D6A0661304D2}"/>
                </c:ext>
              </c:extLst>
            </c:dLbl>
            <c:dLbl>
              <c:idx val="1"/>
              <c:delete val="1"/>
              <c:extLst>
                <c:ext xmlns:c15="http://schemas.microsoft.com/office/drawing/2012/chart" uri="{CE6537A1-D6FC-4f65-9D91-7224C49458BB}"/>
                <c:ext xmlns:c16="http://schemas.microsoft.com/office/drawing/2014/chart" uri="{C3380CC4-5D6E-409C-BE32-E72D297353CC}">
                  <c16:uniqueId val="{00000016-1B25-4F76-AE0E-D6A0661304D2}"/>
                </c:ext>
              </c:extLst>
            </c:dLbl>
            <c:dLbl>
              <c:idx val="2"/>
              <c:delete val="1"/>
              <c:extLst>
                <c:ext xmlns:c15="http://schemas.microsoft.com/office/drawing/2012/chart" uri="{CE6537A1-D6FC-4f65-9D91-7224C49458BB}"/>
                <c:ext xmlns:c16="http://schemas.microsoft.com/office/drawing/2014/chart" uri="{C3380CC4-5D6E-409C-BE32-E72D297353CC}">
                  <c16:uniqueId val="{00000017-1B25-4F76-AE0E-D6A0661304D2}"/>
                </c:ext>
              </c:extLst>
            </c:dLbl>
            <c:dLbl>
              <c:idx val="3"/>
              <c:delete val="1"/>
              <c:extLst>
                <c:ext xmlns:c15="http://schemas.microsoft.com/office/drawing/2012/chart" uri="{CE6537A1-D6FC-4f65-9D91-7224C49458BB}"/>
                <c:ext xmlns:c16="http://schemas.microsoft.com/office/drawing/2014/chart" uri="{C3380CC4-5D6E-409C-BE32-E72D297353CC}">
                  <c16:uniqueId val="{00000018-1B25-4F76-AE0E-D6A0661304D2}"/>
                </c:ext>
              </c:extLst>
            </c:dLbl>
            <c:dLbl>
              <c:idx val="4"/>
              <c:delete val="1"/>
              <c:extLst>
                <c:ext xmlns:c15="http://schemas.microsoft.com/office/drawing/2012/chart" uri="{CE6537A1-D6FC-4f65-9D91-7224C49458BB}"/>
                <c:ext xmlns:c16="http://schemas.microsoft.com/office/drawing/2014/chart" uri="{C3380CC4-5D6E-409C-BE32-E72D297353CC}">
                  <c16:uniqueId val="{00000019-1B25-4F76-AE0E-D6A0661304D2}"/>
                </c:ext>
              </c:extLst>
            </c:dLbl>
            <c:dLbl>
              <c:idx val="5"/>
              <c:delete val="1"/>
              <c:extLst>
                <c:ext xmlns:c15="http://schemas.microsoft.com/office/drawing/2012/chart" uri="{CE6537A1-D6FC-4f65-9D91-7224C49458BB}"/>
                <c:ext xmlns:c16="http://schemas.microsoft.com/office/drawing/2014/chart" uri="{C3380CC4-5D6E-409C-BE32-E72D297353CC}">
                  <c16:uniqueId val="{0000001A-1B25-4F76-AE0E-D6A0661304D2}"/>
                </c:ext>
              </c:extLst>
            </c:dLbl>
            <c:dLbl>
              <c:idx val="6"/>
              <c:delete val="1"/>
              <c:extLst>
                <c:ext xmlns:c15="http://schemas.microsoft.com/office/drawing/2012/chart" uri="{CE6537A1-D6FC-4f65-9D91-7224C49458BB}"/>
                <c:ext xmlns:c16="http://schemas.microsoft.com/office/drawing/2014/chart" uri="{C3380CC4-5D6E-409C-BE32-E72D297353CC}">
                  <c16:uniqueId val="{0000001B-1B25-4F76-AE0E-D6A0661304D2}"/>
                </c:ext>
              </c:extLst>
            </c:dLbl>
            <c:dLbl>
              <c:idx val="7"/>
              <c:delete val="1"/>
              <c:extLst>
                <c:ext xmlns:c15="http://schemas.microsoft.com/office/drawing/2012/chart" uri="{CE6537A1-D6FC-4f65-9D91-7224C49458BB}"/>
                <c:ext xmlns:c16="http://schemas.microsoft.com/office/drawing/2014/chart" uri="{C3380CC4-5D6E-409C-BE32-E72D297353CC}">
                  <c16:uniqueId val="{0000001C-1B25-4F76-AE0E-D6A0661304D2}"/>
                </c:ext>
              </c:extLst>
            </c:dLbl>
            <c:dLbl>
              <c:idx val="8"/>
              <c:layout>
                <c:manualLayout>
                  <c:x val="0.10218821703890787"/>
                  <c:y val="-2.2318380475789046E-2"/>
                </c:manualLayout>
              </c:layout>
              <c:spPr>
                <a:noFill/>
                <a:ln w="25400">
                  <a:noFill/>
                </a:ln>
              </c:spPr>
              <c:txPr>
                <a:bodyPr wrap="square" lIns="38100" tIns="19050" rIns="38100" bIns="19050" anchor="ctr">
                  <a:spAutoFit/>
                </a:bodyPr>
                <a:lstStyle/>
                <a:p>
                  <a:pPr>
                    <a:defRPr/>
                  </a:pPr>
                  <a:endParaRPr lang="en-US"/>
                </a:p>
              </c:txPr>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1D-1B25-4F76-AE0E-D6A0661304D2}"/>
                </c:ext>
              </c:extLst>
            </c:dLbl>
            <c:spPr>
              <a:noFill/>
              <a:ln w="25400">
                <a:noFill/>
              </a:ln>
            </c:sp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numRef>
              <c:f>Scenario1!$D$31:$L$31</c:f>
              <c:numCache>
                <c:formatCode>0</c:formatCode>
                <c:ptCount val="9"/>
                <c:pt idx="0">
                  <c:v>2010</c:v>
                </c:pt>
                <c:pt idx="1">
                  <c:v>2015</c:v>
                </c:pt>
                <c:pt idx="2">
                  <c:v>2020</c:v>
                </c:pt>
                <c:pt idx="3">
                  <c:v>2025</c:v>
                </c:pt>
                <c:pt idx="4">
                  <c:v>2030</c:v>
                </c:pt>
                <c:pt idx="5">
                  <c:v>2035</c:v>
                </c:pt>
                <c:pt idx="6">
                  <c:v>2040</c:v>
                </c:pt>
                <c:pt idx="7">
                  <c:v>2045</c:v>
                </c:pt>
                <c:pt idx="8">
                  <c:v>2050</c:v>
                </c:pt>
              </c:numCache>
            </c:numRef>
          </c:cat>
          <c:val>
            <c:numRef>
              <c:f>Scenario1!$D$34:$L$34</c:f>
              <c:numCache>
                <c:formatCode>0.0</c:formatCode>
                <c:ptCount val="9"/>
                <c:pt idx="0">
                  <c:v>115424.96546870066</c:v>
                </c:pt>
                <c:pt idx="1">
                  <c:v>117140.95373004206</c:v>
                </c:pt>
                <c:pt idx="2">
                  <c:v>121223.21689148009</c:v>
                </c:pt>
                <c:pt idx="3">
                  <c:v>125525.84611191477</c:v>
                </c:pt>
                <c:pt idx="4">
                  <c:v>129981.1904531263</c:v>
                </c:pt>
                <c:pt idx="5">
                  <c:v>134594.6703003998</c:v>
                </c:pt>
                <c:pt idx="6">
                  <c:v>139371.89842715129</c:v>
                </c:pt>
                <c:pt idx="7">
                  <c:v>144318.68682344456</c:v>
                </c:pt>
                <c:pt idx="8">
                  <c:v>149441.05376687579</c:v>
                </c:pt>
              </c:numCache>
            </c:numRef>
          </c:val>
          <c:smooth val="0"/>
          <c:extLst>
            <c:ext xmlns:c16="http://schemas.microsoft.com/office/drawing/2014/chart" uri="{C3380CC4-5D6E-409C-BE32-E72D297353CC}">
              <c16:uniqueId val="{0000001E-1B25-4F76-AE0E-D6A0661304D2}"/>
            </c:ext>
          </c:extLst>
        </c:ser>
        <c:ser>
          <c:idx val="4"/>
          <c:order val="4"/>
          <c:tx>
            <c:strRef>
              <c:f>Scenario1!$C$35</c:f>
              <c:strCache>
                <c:ptCount val="1"/>
                <c:pt idx="0">
                  <c:v>Waste</c:v>
                </c:pt>
              </c:strCache>
            </c:strRef>
          </c:tx>
          <c:spPr>
            <a:ln w="28575" cap="rnd">
              <a:solidFill>
                <a:schemeClr val="accent5"/>
              </a:solidFill>
              <a:prstDash val="lgDash"/>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F-1B25-4F76-AE0E-D6A0661304D2}"/>
                </c:ext>
              </c:extLst>
            </c:dLbl>
            <c:dLbl>
              <c:idx val="1"/>
              <c:delete val="1"/>
              <c:extLst>
                <c:ext xmlns:c15="http://schemas.microsoft.com/office/drawing/2012/chart" uri="{CE6537A1-D6FC-4f65-9D91-7224C49458BB}"/>
                <c:ext xmlns:c16="http://schemas.microsoft.com/office/drawing/2014/chart" uri="{C3380CC4-5D6E-409C-BE32-E72D297353CC}">
                  <c16:uniqueId val="{00000020-1B25-4F76-AE0E-D6A0661304D2}"/>
                </c:ext>
              </c:extLst>
            </c:dLbl>
            <c:dLbl>
              <c:idx val="2"/>
              <c:delete val="1"/>
              <c:extLst>
                <c:ext xmlns:c15="http://schemas.microsoft.com/office/drawing/2012/chart" uri="{CE6537A1-D6FC-4f65-9D91-7224C49458BB}"/>
                <c:ext xmlns:c16="http://schemas.microsoft.com/office/drawing/2014/chart" uri="{C3380CC4-5D6E-409C-BE32-E72D297353CC}">
                  <c16:uniqueId val="{00000021-1B25-4F76-AE0E-D6A0661304D2}"/>
                </c:ext>
              </c:extLst>
            </c:dLbl>
            <c:dLbl>
              <c:idx val="3"/>
              <c:delete val="1"/>
              <c:extLst>
                <c:ext xmlns:c15="http://schemas.microsoft.com/office/drawing/2012/chart" uri="{CE6537A1-D6FC-4f65-9D91-7224C49458BB}"/>
                <c:ext xmlns:c16="http://schemas.microsoft.com/office/drawing/2014/chart" uri="{C3380CC4-5D6E-409C-BE32-E72D297353CC}">
                  <c16:uniqueId val="{00000022-1B25-4F76-AE0E-D6A0661304D2}"/>
                </c:ext>
              </c:extLst>
            </c:dLbl>
            <c:dLbl>
              <c:idx val="4"/>
              <c:delete val="1"/>
              <c:extLst>
                <c:ext xmlns:c15="http://schemas.microsoft.com/office/drawing/2012/chart" uri="{CE6537A1-D6FC-4f65-9D91-7224C49458BB}"/>
                <c:ext xmlns:c16="http://schemas.microsoft.com/office/drawing/2014/chart" uri="{C3380CC4-5D6E-409C-BE32-E72D297353CC}">
                  <c16:uniqueId val="{00000023-1B25-4F76-AE0E-D6A0661304D2}"/>
                </c:ext>
              </c:extLst>
            </c:dLbl>
            <c:dLbl>
              <c:idx val="5"/>
              <c:delete val="1"/>
              <c:extLst>
                <c:ext xmlns:c15="http://schemas.microsoft.com/office/drawing/2012/chart" uri="{CE6537A1-D6FC-4f65-9D91-7224C49458BB}"/>
                <c:ext xmlns:c16="http://schemas.microsoft.com/office/drawing/2014/chart" uri="{C3380CC4-5D6E-409C-BE32-E72D297353CC}">
                  <c16:uniqueId val="{00000024-1B25-4F76-AE0E-D6A0661304D2}"/>
                </c:ext>
              </c:extLst>
            </c:dLbl>
            <c:dLbl>
              <c:idx val="6"/>
              <c:delete val="1"/>
              <c:extLst>
                <c:ext xmlns:c15="http://schemas.microsoft.com/office/drawing/2012/chart" uri="{CE6537A1-D6FC-4f65-9D91-7224C49458BB}"/>
                <c:ext xmlns:c16="http://schemas.microsoft.com/office/drawing/2014/chart" uri="{C3380CC4-5D6E-409C-BE32-E72D297353CC}">
                  <c16:uniqueId val="{00000025-1B25-4F76-AE0E-D6A0661304D2}"/>
                </c:ext>
              </c:extLst>
            </c:dLbl>
            <c:dLbl>
              <c:idx val="7"/>
              <c:delete val="1"/>
              <c:extLst>
                <c:ext xmlns:c15="http://schemas.microsoft.com/office/drawing/2012/chart" uri="{CE6537A1-D6FC-4f65-9D91-7224C49458BB}"/>
                <c:ext xmlns:c16="http://schemas.microsoft.com/office/drawing/2014/chart" uri="{C3380CC4-5D6E-409C-BE32-E72D297353CC}">
                  <c16:uniqueId val="{00000026-1B25-4F76-AE0E-D6A0661304D2}"/>
                </c:ext>
              </c:extLst>
            </c:dLbl>
            <c:dLbl>
              <c:idx val="8"/>
              <c:layout>
                <c:manualLayout>
                  <c:x val="4.3083900226757371E-2"/>
                  <c:y val="-3.6429872495446266E-3"/>
                </c:manualLayout>
              </c:layout>
              <c:spPr>
                <a:noFill/>
                <a:ln w="25400">
                  <a:noFill/>
                </a:ln>
              </c:spPr>
              <c:txPr>
                <a:bodyPr wrap="square" lIns="38100" tIns="19050" rIns="38100" bIns="19050" anchor="ctr">
                  <a:spAutoFit/>
                </a:bodyPr>
                <a:lstStyle/>
                <a:p>
                  <a:pPr>
                    <a:defRPr/>
                  </a:pPr>
                  <a:endParaRPr lang="en-US"/>
                </a:p>
              </c:txPr>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27-1B25-4F76-AE0E-D6A0661304D2}"/>
                </c:ext>
              </c:extLst>
            </c:dLbl>
            <c:spPr>
              <a:noFill/>
              <a:ln w="25400">
                <a:noFill/>
              </a:ln>
            </c:sp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numRef>
              <c:f>Scenario1!$D$31:$L$31</c:f>
              <c:numCache>
                <c:formatCode>0</c:formatCode>
                <c:ptCount val="9"/>
                <c:pt idx="0">
                  <c:v>2010</c:v>
                </c:pt>
                <c:pt idx="1">
                  <c:v>2015</c:v>
                </c:pt>
                <c:pt idx="2">
                  <c:v>2020</c:v>
                </c:pt>
                <c:pt idx="3">
                  <c:v>2025</c:v>
                </c:pt>
                <c:pt idx="4">
                  <c:v>2030</c:v>
                </c:pt>
                <c:pt idx="5">
                  <c:v>2035</c:v>
                </c:pt>
                <c:pt idx="6">
                  <c:v>2040</c:v>
                </c:pt>
                <c:pt idx="7">
                  <c:v>2045</c:v>
                </c:pt>
                <c:pt idx="8">
                  <c:v>2050</c:v>
                </c:pt>
              </c:numCache>
            </c:numRef>
          </c:cat>
          <c:val>
            <c:numRef>
              <c:f>Scenario1!$D$35:$L$35</c:f>
              <c:numCache>
                <c:formatCode>0.0</c:formatCode>
                <c:ptCount val="9"/>
                <c:pt idx="0">
                  <c:v>305.94065046093345</c:v>
                </c:pt>
                <c:pt idx="1">
                  <c:v>330.21905070818116</c:v>
                </c:pt>
                <c:pt idx="2">
                  <c:v>403.40217965602716</c:v>
                </c:pt>
                <c:pt idx="3">
                  <c:v>466.35615758296757</c:v>
                </c:pt>
                <c:pt idx="4">
                  <c:v>536.86893217351997</c:v>
                </c:pt>
                <c:pt idx="5">
                  <c:v>614.22781688511532</c:v>
                </c:pt>
                <c:pt idx="6">
                  <c:v>698.15205641310502</c:v>
                </c:pt>
                <c:pt idx="7">
                  <c:v>788.6416507574894</c:v>
                </c:pt>
                <c:pt idx="8">
                  <c:v>885.48063429930778</c:v>
                </c:pt>
              </c:numCache>
            </c:numRef>
          </c:val>
          <c:smooth val="0"/>
          <c:extLst>
            <c:ext xmlns:c16="http://schemas.microsoft.com/office/drawing/2014/chart" uri="{C3380CC4-5D6E-409C-BE32-E72D297353CC}">
              <c16:uniqueId val="{00000028-1B25-4F76-AE0E-D6A0661304D2}"/>
            </c:ext>
          </c:extLst>
        </c:ser>
        <c:dLbls>
          <c:showLegendKey val="0"/>
          <c:showVal val="0"/>
          <c:showCatName val="0"/>
          <c:showSerName val="0"/>
          <c:showPercent val="0"/>
          <c:showBubbleSize val="0"/>
        </c:dLbls>
        <c:smooth val="0"/>
        <c:axId val="346628096"/>
        <c:axId val="346630016"/>
      </c:lineChart>
      <c:catAx>
        <c:axId val="346628096"/>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a:t>Year</a:t>
                </a:r>
              </a:p>
            </c:rich>
          </c:tx>
          <c:overlay val="0"/>
          <c:spPr>
            <a:noFill/>
            <a:ln w="25400">
              <a:noFill/>
            </a:ln>
          </c:spPr>
        </c:title>
        <c:numFmt formatCode="0" sourceLinked="1"/>
        <c:majorTickMark val="none"/>
        <c:minorTickMark val="none"/>
        <c:tickLblPos val="nextTo"/>
        <c:spPr>
          <a:noFill/>
          <a:ln w="9525" cap="flat" cmpd="sng" algn="ctr">
            <a:solidFill>
              <a:schemeClr val="accent2">
                <a:lumMod val="75000"/>
              </a:schemeClr>
            </a:solidFill>
            <a:round/>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346630016"/>
        <c:crosses val="autoZero"/>
        <c:auto val="1"/>
        <c:lblAlgn val="ctr"/>
        <c:lblOffset val="100"/>
        <c:noMultiLvlLbl val="0"/>
      </c:catAx>
      <c:valAx>
        <c:axId val="346630016"/>
        <c:scaling>
          <c:orientation val="minMax"/>
        </c:scaling>
        <c:delete val="0"/>
        <c:axPos val="l"/>
        <c:min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a:t>Emissions (Gg CO2 eq).</a:t>
                </a:r>
              </a:p>
            </c:rich>
          </c:tx>
          <c:overlay val="0"/>
          <c:spPr>
            <a:noFill/>
            <a:ln w="25400">
              <a:noFill/>
            </a:ln>
          </c:spPr>
        </c:title>
        <c:numFmt formatCode="0" sourceLinked="1"/>
        <c:majorTickMark val="none"/>
        <c:minorTickMark val="none"/>
        <c:tickLblPos val="nextTo"/>
        <c:spPr>
          <a:ln w="6350">
            <a:solidFill>
              <a:schemeClr val="accent2">
                <a:lumMod val="75000"/>
              </a:schemeClr>
            </a:solidFill>
          </a:ln>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34662809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Garamond" panose="02020404030301010803" pitchFamily="18" charset="0"/>
                <a:ea typeface="+mn-ea"/>
                <a:cs typeface="+mn-cs"/>
              </a:defRPr>
            </a:pPr>
            <a:r>
              <a:rPr lang="en-US" sz="1200" b="1">
                <a:latin typeface="Garamond" panose="02020404030301010803" pitchFamily="18" charset="0"/>
              </a:rPr>
              <a:t>GHG emissions by sector 2010</a:t>
            </a:r>
          </a:p>
        </c:rich>
      </c:tx>
      <c:layout>
        <c:manualLayout>
          <c:xMode val="edge"/>
          <c:yMode val="edge"/>
          <c:x val="0.2667082239720035"/>
          <c:y val="0"/>
        </c:manualLayout>
      </c:layout>
      <c:overlay val="0"/>
      <c:spPr>
        <a:noFill/>
        <a:ln>
          <a:noFill/>
        </a:ln>
        <a:effectLst/>
      </c:spPr>
    </c:title>
    <c:autoTitleDeleted val="0"/>
    <c:plotArea>
      <c:layout>
        <c:manualLayout>
          <c:layoutTarget val="inner"/>
          <c:xMode val="edge"/>
          <c:yMode val="edge"/>
          <c:x val="0.24153100494340049"/>
          <c:y val="0.27317775754221196"/>
          <c:w val="0.52260631531488011"/>
          <c:h val="0.64387626149905863"/>
        </c:manualLayout>
      </c:layout>
      <c:pieChart>
        <c:varyColors val="1"/>
        <c:ser>
          <c:idx val="0"/>
          <c:order val="0"/>
          <c:explosion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992-4419-AAF3-C3CD0E5C371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992-4419-AAF3-C3CD0E5C371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992-4419-AAF3-C3CD0E5C371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992-4419-AAF3-C3CD0E5C3719}"/>
              </c:ext>
            </c:extLst>
          </c:dPt>
          <c:dLbls>
            <c:dLbl>
              <c:idx val="0"/>
              <c:layout>
                <c:manualLayout>
                  <c:x val="1.5312773403324583E-3"/>
                  <c:y val="-5.810708217139513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992-4419-AAF3-C3CD0E5C3719}"/>
                </c:ext>
              </c:extLst>
            </c:dLbl>
            <c:dLbl>
              <c:idx val="1"/>
              <c:layout>
                <c:manualLayout>
                  <c:x val="0.19620352143482064"/>
                  <c:y val="-8.5443852113341128E-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992-4419-AAF3-C3CD0E5C3719}"/>
                </c:ext>
              </c:extLst>
            </c:dLbl>
            <c:dLbl>
              <c:idx val="2"/>
              <c:layout>
                <c:manualLayout>
                  <c:x val="-0.31891438416823664"/>
                  <c:y val="-4.5274191472336354E-3"/>
                </c:manualLayout>
              </c:layout>
              <c:showLegendKey val="0"/>
              <c:showVal val="0"/>
              <c:showCatName val="1"/>
              <c:showSerName val="0"/>
              <c:showPercent val="1"/>
              <c:showBubbleSize val="0"/>
              <c:extLst>
                <c:ext xmlns:c15="http://schemas.microsoft.com/office/drawing/2012/chart" uri="{CE6537A1-D6FC-4f65-9D91-7224C49458BB}">
                  <c15:layout>
                    <c:manualLayout>
                      <c:w val="0.20903885480572598"/>
                      <c:h val="0.23634209902866618"/>
                    </c:manualLayout>
                  </c15:layout>
                </c:ext>
                <c:ext xmlns:c16="http://schemas.microsoft.com/office/drawing/2014/chart" uri="{C3380CC4-5D6E-409C-BE32-E72D297353CC}">
                  <c16:uniqueId val="{00000005-5992-4419-AAF3-C3CD0E5C3719}"/>
                </c:ext>
              </c:extLst>
            </c:dLbl>
            <c:dLbl>
              <c:idx val="3"/>
              <c:layout>
                <c:manualLayout>
                  <c:x val="-0.15334186351706036"/>
                  <c:y val="6.462225594565462E-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992-4419-AAF3-C3CD0E5C3719}"/>
                </c:ext>
              </c:extLst>
            </c:dLbl>
            <c:numFmt formatCode="0.00%" sourceLinked="0"/>
            <c:spPr>
              <a:noFill/>
              <a:ln>
                <a:noFill/>
              </a:ln>
              <a:effectLst/>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Garamond" panose="02020404030301010803" pitchFamily="18" charset="0"/>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'Total with or Without AFOLU'!$E$55:$I$55</c:f>
              <c:strCache>
                <c:ptCount val="5"/>
                <c:pt idx="0">
                  <c:v>Energy</c:v>
                </c:pt>
                <c:pt idx="1">
                  <c:v>IPPU</c:v>
                </c:pt>
                <c:pt idx="2">
                  <c:v>AFOLU Emissions</c:v>
                </c:pt>
                <c:pt idx="3">
                  <c:v>Waste</c:v>
                </c:pt>
                <c:pt idx="4">
                  <c:v>AFOLU Removals</c:v>
                </c:pt>
              </c:strCache>
            </c:strRef>
          </c:cat>
          <c:val>
            <c:numRef>
              <c:f>'Total with or Without AFOLU'!$E$59:$H$59</c:f>
              <c:numCache>
                <c:formatCode>#,##0.0</c:formatCode>
                <c:ptCount val="4"/>
                <c:pt idx="0">
                  <c:v>3155.8232906998996</c:v>
                </c:pt>
                <c:pt idx="1">
                  <c:v>1620.9636222260015</c:v>
                </c:pt>
                <c:pt idx="2">
                  <c:v>115424.96546870066</c:v>
                </c:pt>
                <c:pt idx="3">
                  <c:v>305.94065046093345</c:v>
                </c:pt>
              </c:numCache>
            </c:numRef>
          </c:val>
          <c:extLst>
            <c:ext xmlns:c16="http://schemas.microsoft.com/office/drawing/2014/chart" uri="{C3380CC4-5D6E-409C-BE32-E72D297353CC}">
              <c16:uniqueId val="{00000008-5992-4419-AAF3-C3CD0E5C3719}"/>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124845243401179"/>
          <c:y val="0.1082680499209451"/>
          <c:w val="0.67730929860182576"/>
          <c:h val="0.8332081749223159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358-4E62-BD19-B8CE409063E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358-4E62-BD19-B8CE409063E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358-4E62-BD19-B8CE409063E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358-4E62-BD19-B8CE409063E4}"/>
              </c:ext>
            </c:extLst>
          </c:dPt>
          <c:dLbls>
            <c:dLbl>
              <c:idx val="0"/>
              <c:layout>
                <c:manualLayout>
                  <c:x val="5.0314465408804958E-2"/>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358-4E62-BD19-B8CE409063E4}"/>
                </c:ext>
              </c:extLst>
            </c:dLbl>
            <c:dLbl>
              <c:idx val="1"/>
              <c:layout>
                <c:manualLayout>
                  <c:x val="0.10901467505241075"/>
                  <c:y val="3.61057309014289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358-4E62-BD19-B8CE409063E4}"/>
                </c:ext>
              </c:extLst>
            </c:dLbl>
            <c:dLbl>
              <c:idx val="2"/>
              <c:layout>
                <c:manualLayout>
                  <c:x val="-0.18448637316561844"/>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6358-4E62-BD19-B8CE409063E4}"/>
                </c:ext>
              </c:extLst>
            </c:dLbl>
            <c:dLbl>
              <c:idx val="3"/>
              <c:layout>
                <c:manualLayout>
                  <c:x val="-0.19287211740041932"/>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6358-4E62-BD19-B8CE409063E4}"/>
                </c:ext>
              </c:extLst>
            </c:dLbl>
            <c:spPr>
              <a:noFill/>
              <a:ln w="25400">
                <a:noFill/>
              </a:ln>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Garamond" panose="02020404030301010803" pitchFamily="18" charset="0"/>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Scenario1!$C$32:$C$35</c:f>
              <c:strCache>
                <c:ptCount val="4"/>
                <c:pt idx="0">
                  <c:v>Energy</c:v>
                </c:pt>
                <c:pt idx="1">
                  <c:v>IPPU</c:v>
                </c:pt>
                <c:pt idx="2">
                  <c:v>AFOLU </c:v>
                </c:pt>
                <c:pt idx="3">
                  <c:v>Waste</c:v>
                </c:pt>
              </c:strCache>
            </c:strRef>
          </c:cat>
          <c:val>
            <c:numRef>
              <c:f>Scenario1!$H$32:$H$35</c:f>
              <c:numCache>
                <c:formatCode>0.0</c:formatCode>
                <c:ptCount val="4"/>
                <c:pt idx="0">
                  <c:v>6904.73</c:v>
                </c:pt>
                <c:pt idx="1">
                  <c:v>3313.2182914838795</c:v>
                </c:pt>
                <c:pt idx="2">
                  <c:v>129981.1904531263</c:v>
                </c:pt>
                <c:pt idx="3">
                  <c:v>536.86893217351997</c:v>
                </c:pt>
              </c:numCache>
            </c:numRef>
          </c:val>
          <c:extLst>
            <c:ext xmlns:c16="http://schemas.microsoft.com/office/drawing/2014/chart" uri="{C3380CC4-5D6E-409C-BE32-E72D297353CC}">
              <c16:uniqueId val="{00000008-6358-4E62-BD19-B8CE409063E4}"/>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73634687127727"/>
          <c:y val="0.13693305578182038"/>
          <c:w val="0.65527307897864873"/>
          <c:h val="0.8034002071580134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C10-4B88-B7B5-15AD0B79302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C10-4B88-B7B5-15AD0B79302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C10-4B88-B7B5-15AD0B79302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C10-4B88-B7B5-15AD0B793021}"/>
              </c:ext>
            </c:extLst>
          </c:dPt>
          <c:dLbls>
            <c:dLbl>
              <c:idx val="0"/>
              <c:layout>
                <c:manualLayout>
                  <c:x val="4.1666652996504849E-2"/>
                  <c:y val="-2.55427841634738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C10-4B88-B7B5-15AD0B793021}"/>
                </c:ext>
              </c:extLst>
            </c:dLbl>
            <c:dLbl>
              <c:idx val="1"/>
              <c:layout>
                <c:manualLayout>
                  <c:x val="7.4999975393708854E-2"/>
                  <c:y val="-1.53256704980842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C10-4B88-B7B5-15AD0B793021}"/>
                </c:ext>
              </c:extLst>
            </c:dLbl>
            <c:dLbl>
              <c:idx val="2"/>
              <c:layout>
                <c:manualLayout>
                  <c:x val="-0.14999995078741771"/>
                  <c:y val="4.597701149425287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AC10-4B88-B7B5-15AD0B793021}"/>
                </c:ext>
              </c:extLst>
            </c:dLbl>
            <c:dLbl>
              <c:idx val="3"/>
              <c:layout>
                <c:manualLayout>
                  <c:x val="-8.7499971292660336E-2"/>
                  <c:y val="-1.4633717710367808E-18"/>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AC10-4B88-B7B5-15AD0B793021}"/>
                </c:ext>
              </c:extLst>
            </c:dLbl>
            <c:spPr>
              <a:noFill/>
              <a:ln w="25400">
                <a:noFill/>
              </a:ln>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Garamond" panose="02020404030301010803" pitchFamily="18" charset="0"/>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Scenario1!$C$32:$C$35</c:f>
              <c:strCache>
                <c:ptCount val="4"/>
                <c:pt idx="0">
                  <c:v>Energy</c:v>
                </c:pt>
                <c:pt idx="1">
                  <c:v>IPPU</c:v>
                </c:pt>
                <c:pt idx="2">
                  <c:v>AFOLU </c:v>
                </c:pt>
                <c:pt idx="3">
                  <c:v>Waste</c:v>
                </c:pt>
              </c:strCache>
            </c:strRef>
          </c:cat>
          <c:val>
            <c:numRef>
              <c:f>Scenario1!$L$32:$L$35</c:f>
              <c:numCache>
                <c:formatCode>0.0</c:formatCode>
                <c:ptCount val="4"/>
                <c:pt idx="0">
                  <c:v>11803.22</c:v>
                </c:pt>
                <c:pt idx="1">
                  <c:v>6379.3824326478925</c:v>
                </c:pt>
                <c:pt idx="2">
                  <c:v>149441.05376687579</c:v>
                </c:pt>
                <c:pt idx="3">
                  <c:v>885.48063429930778</c:v>
                </c:pt>
              </c:numCache>
            </c:numRef>
          </c:val>
          <c:extLst>
            <c:ext xmlns:c16="http://schemas.microsoft.com/office/drawing/2014/chart" uri="{C3380CC4-5D6E-409C-BE32-E72D297353CC}">
              <c16:uniqueId val="{00000008-AC10-4B88-B7B5-15AD0B793021}"/>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451168329224247"/>
          <c:y val="3.5076593352146558E-2"/>
          <c:w val="0.78125171916400138"/>
          <c:h val="0.92954869025161924"/>
        </c:manualLayout>
      </c:layout>
      <c:lineChart>
        <c:grouping val="standard"/>
        <c:varyColors val="0"/>
        <c:ser>
          <c:idx val="4"/>
          <c:order val="0"/>
          <c:tx>
            <c:strRef>
              <c:f>Consolidate!$B$9</c:f>
              <c:strCache>
                <c:ptCount val="1"/>
                <c:pt idx="0">
                  <c:v>Scenario 1 with Sequestration</c:v>
                </c:pt>
              </c:strCache>
            </c:strRef>
          </c:tx>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0-307E-49EF-A3AD-1252A8309BF4}"/>
                </c:ext>
              </c:extLst>
            </c:dLbl>
            <c:dLbl>
              <c:idx val="1"/>
              <c:delete val="1"/>
              <c:extLst>
                <c:ext xmlns:c15="http://schemas.microsoft.com/office/drawing/2012/chart" uri="{CE6537A1-D6FC-4f65-9D91-7224C49458BB}"/>
                <c:ext xmlns:c16="http://schemas.microsoft.com/office/drawing/2014/chart" uri="{C3380CC4-5D6E-409C-BE32-E72D297353CC}">
                  <c16:uniqueId val="{00000001-307E-49EF-A3AD-1252A8309BF4}"/>
                </c:ext>
              </c:extLst>
            </c:dLbl>
            <c:dLbl>
              <c:idx val="2"/>
              <c:delete val="1"/>
              <c:extLst>
                <c:ext xmlns:c15="http://schemas.microsoft.com/office/drawing/2012/chart" uri="{CE6537A1-D6FC-4f65-9D91-7224C49458BB}"/>
                <c:ext xmlns:c16="http://schemas.microsoft.com/office/drawing/2014/chart" uri="{C3380CC4-5D6E-409C-BE32-E72D297353CC}">
                  <c16:uniqueId val="{00000002-307E-49EF-A3AD-1252A8309BF4}"/>
                </c:ext>
              </c:extLst>
            </c:dLbl>
            <c:dLbl>
              <c:idx val="3"/>
              <c:delete val="1"/>
              <c:extLst>
                <c:ext xmlns:c15="http://schemas.microsoft.com/office/drawing/2012/chart" uri="{CE6537A1-D6FC-4f65-9D91-7224C49458BB}"/>
                <c:ext xmlns:c16="http://schemas.microsoft.com/office/drawing/2014/chart" uri="{C3380CC4-5D6E-409C-BE32-E72D297353CC}">
                  <c16:uniqueId val="{00000003-307E-49EF-A3AD-1252A8309BF4}"/>
                </c:ext>
              </c:extLst>
            </c:dLbl>
            <c:dLbl>
              <c:idx val="4"/>
              <c:delete val="1"/>
              <c:extLst>
                <c:ext xmlns:c15="http://schemas.microsoft.com/office/drawing/2012/chart" uri="{CE6537A1-D6FC-4f65-9D91-7224C49458BB}"/>
                <c:ext xmlns:c16="http://schemas.microsoft.com/office/drawing/2014/chart" uri="{C3380CC4-5D6E-409C-BE32-E72D297353CC}">
                  <c16:uniqueId val="{00000004-307E-49EF-A3AD-1252A8309BF4}"/>
                </c:ext>
              </c:extLst>
            </c:dLbl>
            <c:dLbl>
              <c:idx val="5"/>
              <c:delete val="1"/>
              <c:extLst>
                <c:ext xmlns:c15="http://schemas.microsoft.com/office/drawing/2012/chart" uri="{CE6537A1-D6FC-4f65-9D91-7224C49458BB}"/>
                <c:ext xmlns:c16="http://schemas.microsoft.com/office/drawing/2014/chart" uri="{C3380CC4-5D6E-409C-BE32-E72D297353CC}">
                  <c16:uniqueId val="{00000005-307E-49EF-A3AD-1252A8309BF4}"/>
                </c:ext>
              </c:extLst>
            </c:dLbl>
            <c:dLbl>
              <c:idx val="6"/>
              <c:delete val="1"/>
              <c:extLst>
                <c:ext xmlns:c15="http://schemas.microsoft.com/office/drawing/2012/chart" uri="{CE6537A1-D6FC-4f65-9D91-7224C49458BB}"/>
                <c:ext xmlns:c16="http://schemas.microsoft.com/office/drawing/2014/chart" uri="{C3380CC4-5D6E-409C-BE32-E72D297353CC}">
                  <c16:uniqueId val="{00000006-307E-49EF-A3AD-1252A8309BF4}"/>
                </c:ext>
              </c:extLst>
            </c:dLbl>
            <c:dLbl>
              <c:idx val="7"/>
              <c:delete val="1"/>
              <c:extLst>
                <c:ext xmlns:c15="http://schemas.microsoft.com/office/drawing/2012/chart" uri="{CE6537A1-D6FC-4f65-9D91-7224C49458BB}"/>
                <c:ext xmlns:c16="http://schemas.microsoft.com/office/drawing/2014/chart" uri="{C3380CC4-5D6E-409C-BE32-E72D297353CC}">
                  <c16:uniqueId val="{00000007-307E-49EF-A3AD-1252A8309BF4}"/>
                </c:ext>
              </c:extLst>
            </c:dLbl>
            <c:dLbl>
              <c:idx val="8"/>
              <c:delete val="1"/>
              <c:extLst>
                <c:ext xmlns:c15="http://schemas.microsoft.com/office/drawing/2012/chart" uri="{CE6537A1-D6FC-4f65-9D91-7224C49458BB}"/>
                <c:ext xmlns:c16="http://schemas.microsoft.com/office/drawing/2014/chart" uri="{C3380CC4-5D6E-409C-BE32-E72D297353CC}">
                  <c16:uniqueId val="{00000008-307E-49EF-A3AD-1252A8309BF4}"/>
                </c:ext>
              </c:extLst>
            </c:dLbl>
            <c:dLbl>
              <c:idx val="9"/>
              <c:delete val="1"/>
              <c:extLst>
                <c:ext xmlns:c15="http://schemas.microsoft.com/office/drawing/2012/chart" uri="{CE6537A1-D6FC-4f65-9D91-7224C49458BB}"/>
                <c:ext xmlns:c16="http://schemas.microsoft.com/office/drawing/2014/chart" uri="{C3380CC4-5D6E-409C-BE32-E72D297353CC}">
                  <c16:uniqueId val="{00000009-307E-49EF-A3AD-1252A8309BF4}"/>
                </c:ext>
              </c:extLst>
            </c:dLbl>
            <c:dLbl>
              <c:idx val="10"/>
              <c:delete val="1"/>
              <c:extLst>
                <c:ext xmlns:c15="http://schemas.microsoft.com/office/drawing/2012/chart" uri="{CE6537A1-D6FC-4f65-9D91-7224C49458BB}"/>
                <c:ext xmlns:c16="http://schemas.microsoft.com/office/drawing/2014/chart" uri="{C3380CC4-5D6E-409C-BE32-E72D297353CC}">
                  <c16:uniqueId val="{0000000A-307E-49EF-A3AD-1252A8309BF4}"/>
                </c:ext>
              </c:extLst>
            </c:dLbl>
            <c:dLbl>
              <c:idx val="11"/>
              <c:delete val="1"/>
              <c:extLst>
                <c:ext xmlns:c15="http://schemas.microsoft.com/office/drawing/2012/chart" uri="{CE6537A1-D6FC-4f65-9D91-7224C49458BB}"/>
                <c:ext xmlns:c16="http://schemas.microsoft.com/office/drawing/2014/chart" uri="{C3380CC4-5D6E-409C-BE32-E72D297353CC}">
                  <c16:uniqueId val="{0000000B-307E-49EF-A3AD-1252A8309BF4}"/>
                </c:ext>
              </c:extLst>
            </c:dLbl>
            <c:dLbl>
              <c:idx val="12"/>
              <c:delete val="1"/>
              <c:extLst>
                <c:ext xmlns:c15="http://schemas.microsoft.com/office/drawing/2012/chart" uri="{CE6537A1-D6FC-4f65-9D91-7224C49458BB}"/>
                <c:ext xmlns:c16="http://schemas.microsoft.com/office/drawing/2014/chart" uri="{C3380CC4-5D6E-409C-BE32-E72D297353CC}">
                  <c16:uniqueId val="{0000000C-307E-49EF-A3AD-1252A8309BF4}"/>
                </c:ext>
              </c:extLst>
            </c:dLbl>
            <c:dLbl>
              <c:idx val="13"/>
              <c:delete val="1"/>
              <c:extLst>
                <c:ext xmlns:c15="http://schemas.microsoft.com/office/drawing/2012/chart" uri="{CE6537A1-D6FC-4f65-9D91-7224C49458BB}"/>
                <c:ext xmlns:c16="http://schemas.microsoft.com/office/drawing/2014/chart" uri="{C3380CC4-5D6E-409C-BE32-E72D297353CC}">
                  <c16:uniqueId val="{0000000D-307E-49EF-A3AD-1252A8309BF4}"/>
                </c:ext>
              </c:extLst>
            </c:dLbl>
            <c:dLbl>
              <c:idx val="14"/>
              <c:delete val="1"/>
              <c:extLst>
                <c:ext xmlns:c15="http://schemas.microsoft.com/office/drawing/2012/chart" uri="{CE6537A1-D6FC-4f65-9D91-7224C49458BB}"/>
                <c:ext xmlns:c16="http://schemas.microsoft.com/office/drawing/2014/chart" uri="{C3380CC4-5D6E-409C-BE32-E72D297353CC}">
                  <c16:uniqueId val="{0000000E-307E-49EF-A3AD-1252A8309BF4}"/>
                </c:ext>
              </c:extLst>
            </c:dLbl>
            <c:dLbl>
              <c:idx val="15"/>
              <c:delete val="1"/>
              <c:extLst>
                <c:ext xmlns:c15="http://schemas.microsoft.com/office/drawing/2012/chart" uri="{CE6537A1-D6FC-4f65-9D91-7224C49458BB}"/>
                <c:ext xmlns:c16="http://schemas.microsoft.com/office/drawing/2014/chart" uri="{C3380CC4-5D6E-409C-BE32-E72D297353CC}">
                  <c16:uniqueId val="{0000000F-307E-49EF-A3AD-1252A8309BF4}"/>
                </c:ext>
              </c:extLst>
            </c:dLbl>
            <c:dLbl>
              <c:idx val="16"/>
              <c:delete val="1"/>
              <c:extLst>
                <c:ext xmlns:c15="http://schemas.microsoft.com/office/drawing/2012/chart" uri="{CE6537A1-D6FC-4f65-9D91-7224C49458BB}"/>
                <c:ext xmlns:c16="http://schemas.microsoft.com/office/drawing/2014/chart" uri="{C3380CC4-5D6E-409C-BE32-E72D297353CC}">
                  <c16:uniqueId val="{00000010-307E-49EF-A3AD-1252A8309BF4}"/>
                </c:ext>
              </c:extLst>
            </c:dLbl>
            <c:dLbl>
              <c:idx val="17"/>
              <c:delete val="1"/>
              <c:extLst>
                <c:ext xmlns:c15="http://schemas.microsoft.com/office/drawing/2012/chart" uri="{CE6537A1-D6FC-4f65-9D91-7224C49458BB}"/>
                <c:ext xmlns:c16="http://schemas.microsoft.com/office/drawing/2014/chart" uri="{C3380CC4-5D6E-409C-BE32-E72D297353CC}">
                  <c16:uniqueId val="{00000011-307E-49EF-A3AD-1252A8309BF4}"/>
                </c:ext>
              </c:extLst>
            </c:dLbl>
            <c:dLbl>
              <c:idx val="18"/>
              <c:delete val="1"/>
              <c:extLst>
                <c:ext xmlns:c15="http://schemas.microsoft.com/office/drawing/2012/chart" uri="{CE6537A1-D6FC-4f65-9D91-7224C49458BB}"/>
                <c:ext xmlns:c16="http://schemas.microsoft.com/office/drawing/2014/chart" uri="{C3380CC4-5D6E-409C-BE32-E72D297353CC}">
                  <c16:uniqueId val="{00000012-307E-49EF-A3AD-1252A8309BF4}"/>
                </c:ext>
              </c:extLst>
            </c:dLbl>
            <c:dLbl>
              <c:idx val="19"/>
              <c:delete val="1"/>
              <c:extLst>
                <c:ext xmlns:c15="http://schemas.microsoft.com/office/drawing/2012/chart" uri="{CE6537A1-D6FC-4f65-9D91-7224C49458BB}"/>
                <c:ext xmlns:c16="http://schemas.microsoft.com/office/drawing/2014/chart" uri="{C3380CC4-5D6E-409C-BE32-E72D297353CC}">
                  <c16:uniqueId val="{00000013-307E-49EF-A3AD-1252A8309BF4}"/>
                </c:ext>
              </c:extLst>
            </c:dLbl>
            <c:dLbl>
              <c:idx val="20"/>
              <c:delete val="1"/>
              <c:extLst>
                <c:ext xmlns:c15="http://schemas.microsoft.com/office/drawing/2012/chart" uri="{CE6537A1-D6FC-4f65-9D91-7224C49458BB}"/>
                <c:ext xmlns:c16="http://schemas.microsoft.com/office/drawing/2014/chart" uri="{C3380CC4-5D6E-409C-BE32-E72D297353CC}">
                  <c16:uniqueId val="{00000014-307E-49EF-A3AD-1252A8309BF4}"/>
                </c:ext>
              </c:extLst>
            </c:dLbl>
            <c:dLbl>
              <c:idx val="21"/>
              <c:delete val="1"/>
              <c:extLst>
                <c:ext xmlns:c15="http://schemas.microsoft.com/office/drawing/2012/chart" uri="{CE6537A1-D6FC-4f65-9D91-7224C49458BB}"/>
                <c:ext xmlns:c16="http://schemas.microsoft.com/office/drawing/2014/chart" uri="{C3380CC4-5D6E-409C-BE32-E72D297353CC}">
                  <c16:uniqueId val="{00000015-307E-49EF-A3AD-1252A8309BF4}"/>
                </c:ext>
              </c:extLst>
            </c:dLbl>
            <c:dLbl>
              <c:idx val="22"/>
              <c:delete val="1"/>
              <c:extLst>
                <c:ext xmlns:c15="http://schemas.microsoft.com/office/drawing/2012/chart" uri="{CE6537A1-D6FC-4f65-9D91-7224C49458BB}"/>
                <c:ext xmlns:c16="http://schemas.microsoft.com/office/drawing/2014/chart" uri="{C3380CC4-5D6E-409C-BE32-E72D297353CC}">
                  <c16:uniqueId val="{00000016-307E-49EF-A3AD-1252A8309BF4}"/>
                </c:ext>
              </c:extLst>
            </c:dLbl>
            <c:dLbl>
              <c:idx val="23"/>
              <c:delete val="1"/>
              <c:extLst>
                <c:ext xmlns:c15="http://schemas.microsoft.com/office/drawing/2012/chart" uri="{CE6537A1-D6FC-4f65-9D91-7224C49458BB}"/>
                <c:ext xmlns:c16="http://schemas.microsoft.com/office/drawing/2014/chart" uri="{C3380CC4-5D6E-409C-BE32-E72D297353CC}">
                  <c16:uniqueId val="{00000017-307E-49EF-A3AD-1252A8309BF4}"/>
                </c:ext>
              </c:extLst>
            </c:dLbl>
            <c:dLbl>
              <c:idx val="24"/>
              <c:delete val="1"/>
              <c:extLst>
                <c:ext xmlns:c15="http://schemas.microsoft.com/office/drawing/2012/chart" uri="{CE6537A1-D6FC-4f65-9D91-7224C49458BB}"/>
                <c:ext xmlns:c16="http://schemas.microsoft.com/office/drawing/2014/chart" uri="{C3380CC4-5D6E-409C-BE32-E72D297353CC}">
                  <c16:uniqueId val="{00000018-307E-49EF-A3AD-1252A8309BF4}"/>
                </c:ext>
              </c:extLst>
            </c:dLbl>
            <c:dLbl>
              <c:idx val="25"/>
              <c:delete val="1"/>
              <c:extLst>
                <c:ext xmlns:c15="http://schemas.microsoft.com/office/drawing/2012/chart" uri="{CE6537A1-D6FC-4f65-9D91-7224C49458BB}"/>
                <c:ext xmlns:c16="http://schemas.microsoft.com/office/drawing/2014/chart" uri="{C3380CC4-5D6E-409C-BE32-E72D297353CC}">
                  <c16:uniqueId val="{00000019-307E-49EF-A3AD-1252A8309BF4}"/>
                </c:ext>
              </c:extLst>
            </c:dLbl>
            <c:dLbl>
              <c:idx val="26"/>
              <c:delete val="1"/>
              <c:extLst>
                <c:ext xmlns:c15="http://schemas.microsoft.com/office/drawing/2012/chart" uri="{CE6537A1-D6FC-4f65-9D91-7224C49458BB}"/>
                <c:ext xmlns:c16="http://schemas.microsoft.com/office/drawing/2014/chart" uri="{C3380CC4-5D6E-409C-BE32-E72D297353CC}">
                  <c16:uniqueId val="{0000001A-307E-49EF-A3AD-1252A8309BF4}"/>
                </c:ext>
              </c:extLst>
            </c:dLbl>
            <c:dLbl>
              <c:idx val="27"/>
              <c:delete val="1"/>
              <c:extLst>
                <c:ext xmlns:c15="http://schemas.microsoft.com/office/drawing/2012/chart" uri="{CE6537A1-D6FC-4f65-9D91-7224C49458BB}"/>
                <c:ext xmlns:c16="http://schemas.microsoft.com/office/drawing/2014/chart" uri="{C3380CC4-5D6E-409C-BE32-E72D297353CC}">
                  <c16:uniqueId val="{0000001B-307E-49EF-A3AD-1252A8309BF4}"/>
                </c:ext>
              </c:extLst>
            </c:dLbl>
            <c:dLbl>
              <c:idx val="28"/>
              <c:delete val="1"/>
              <c:extLst>
                <c:ext xmlns:c15="http://schemas.microsoft.com/office/drawing/2012/chart" uri="{CE6537A1-D6FC-4f65-9D91-7224C49458BB}"/>
                <c:ext xmlns:c16="http://schemas.microsoft.com/office/drawing/2014/chart" uri="{C3380CC4-5D6E-409C-BE32-E72D297353CC}">
                  <c16:uniqueId val="{0000001C-307E-49EF-A3AD-1252A8309BF4}"/>
                </c:ext>
              </c:extLst>
            </c:dLbl>
            <c:dLbl>
              <c:idx val="29"/>
              <c:delete val="1"/>
              <c:extLst>
                <c:ext xmlns:c15="http://schemas.microsoft.com/office/drawing/2012/chart" uri="{CE6537A1-D6FC-4f65-9D91-7224C49458BB}"/>
                <c:ext xmlns:c16="http://schemas.microsoft.com/office/drawing/2014/chart" uri="{C3380CC4-5D6E-409C-BE32-E72D297353CC}">
                  <c16:uniqueId val="{0000001D-307E-49EF-A3AD-1252A8309BF4}"/>
                </c:ext>
              </c:extLst>
            </c:dLbl>
            <c:dLbl>
              <c:idx val="30"/>
              <c:delete val="1"/>
              <c:extLst>
                <c:ext xmlns:c15="http://schemas.microsoft.com/office/drawing/2012/chart" uri="{CE6537A1-D6FC-4f65-9D91-7224C49458BB}"/>
                <c:ext xmlns:c16="http://schemas.microsoft.com/office/drawing/2014/chart" uri="{C3380CC4-5D6E-409C-BE32-E72D297353CC}">
                  <c16:uniqueId val="{0000001E-307E-49EF-A3AD-1252A8309BF4}"/>
                </c:ext>
              </c:extLst>
            </c:dLbl>
            <c:dLbl>
              <c:idx val="31"/>
              <c:delete val="1"/>
              <c:extLst>
                <c:ext xmlns:c15="http://schemas.microsoft.com/office/drawing/2012/chart" uri="{CE6537A1-D6FC-4f65-9D91-7224C49458BB}"/>
                <c:ext xmlns:c16="http://schemas.microsoft.com/office/drawing/2014/chart" uri="{C3380CC4-5D6E-409C-BE32-E72D297353CC}">
                  <c16:uniqueId val="{0000001F-307E-49EF-A3AD-1252A8309BF4}"/>
                </c:ext>
              </c:extLst>
            </c:dLbl>
            <c:dLbl>
              <c:idx val="32"/>
              <c:delete val="1"/>
              <c:extLst>
                <c:ext xmlns:c15="http://schemas.microsoft.com/office/drawing/2012/chart" uri="{CE6537A1-D6FC-4f65-9D91-7224C49458BB}"/>
                <c:ext xmlns:c16="http://schemas.microsoft.com/office/drawing/2014/chart" uri="{C3380CC4-5D6E-409C-BE32-E72D297353CC}">
                  <c16:uniqueId val="{00000020-307E-49EF-A3AD-1252A8309BF4}"/>
                </c:ext>
              </c:extLst>
            </c:dLbl>
            <c:dLbl>
              <c:idx val="33"/>
              <c:delete val="1"/>
              <c:extLst>
                <c:ext xmlns:c15="http://schemas.microsoft.com/office/drawing/2012/chart" uri="{CE6537A1-D6FC-4f65-9D91-7224C49458BB}"/>
                <c:ext xmlns:c16="http://schemas.microsoft.com/office/drawing/2014/chart" uri="{C3380CC4-5D6E-409C-BE32-E72D297353CC}">
                  <c16:uniqueId val="{00000021-307E-49EF-A3AD-1252A8309BF4}"/>
                </c:ext>
              </c:extLst>
            </c:dLbl>
            <c:dLbl>
              <c:idx val="34"/>
              <c:delete val="1"/>
              <c:extLst>
                <c:ext xmlns:c15="http://schemas.microsoft.com/office/drawing/2012/chart" uri="{CE6537A1-D6FC-4f65-9D91-7224C49458BB}"/>
                <c:ext xmlns:c16="http://schemas.microsoft.com/office/drawing/2014/chart" uri="{C3380CC4-5D6E-409C-BE32-E72D297353CC}">
                  <c16:uniqueId val="{00000022-307E-49EF-A3AD-1252A8309BF4}"/>
                </c:ext>
              </c:extLst>
            </c:dLbl>
            <c:dLbl>
              <c:idx val="35"/>
              <c:delete val="1"/>
              <c:extLst>
                <c:ext xmlns:c15="http://schemas.microsoft.com/office/drawing/2012/chart" uri="{CE6537A1-D6FC-4f65-9D91-7224C49458BB}"/>
                <c:ext xmlns:c16="http://schemas.microsoft.com/office/drawing/2014/chart" uri="{C3380CC4-5D6E-409C-BE32-E72D297353CC}">
                  <c16:uniqueId val="{00000023-307E-49EF-A3AD-1252A8309BF4}"/>
                </c:ext>
              </c:extLst>
            </c:dLbl>
            <c:dLbl>
              <c:idx val="36"/>
              <c:delete val="1"/>
              <c:extLst>
                <c:ext xmlns:c15="http://schemas.microsoft.com/office/drawing/2012/chart" uri="{CE6537A1-D6FC-4f65-9D91-7224C49458BB}"/>
                <c:ext xmlns:c16="http://schemas.microsoft.com/office/drawing/2014/chart" uri="{C3380CC4-5D6E-409C-BE32-E72D297353CC}">
                  <c16:uniqueId val="{00000024-307E-49EF-A3AD-1252A8309BF4}"/>
                </c:ext>
              </c:extLst>
            </c:dLbl>
            <c:dLbl>
              <c:idx val="37"/>
              <c:layout>
                <c:manualLayout>
                  <c:x val="-1.0836978633476254E-16"/>
                  <c:y val="-5.1227315498190124E-2"/>
                </c:manualLayout>
              </c:layout>
              <c:spPr>
                <a:noFill/>
                <a:ln w="25400">
                  <a:noFill/>
                </a:ln>
              </c:spPr>
              <c:txPr>
                <a:bodyPr wrap="square" lIns="38100" tIns="19050" rIns="38100" bIns="19050" anchor="ctr">
                  <a:spAutoFit/>
                </a:bodyPr>
                <a:lstStyle/>
                <a:p>
                  <a:pPr>
                    <a:defRPr/>
                  </a:pPr>
                  <a:endParaRPr lang="en-US"/>
                </a:p>
              </c:txPr>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25-307E-49EF-A3AD-1252A8309BF4}"/>
                </c:ext>
              </c:extLst>
            </c:dLbl>
            <c:dLbl>
              <c:idx val="38"/>
              <c:delete val="1"/>
              <c:extLst>
                <c:ext xmlns:c15="http://schemas.microsoft.com/office/drawing/2012/chart" uri="{CE6537A1-D6FC-4f65-9D91-7224C49458BB}"/>
                <c:ext xmlns:c16="http://schemas.microsoft.com/office/drawing/2014/chart" uri="{C3380CC4-5D6E-409C-BE32-E72D297353CC}">
                  <c16:uniqueId val="{00000026-307E-49EF-A3AD-1252A8309BF4}"/>
                </c:ext>
              </c:extLst>
            </c:dLbl>
            <c:dLbl>
              <c:idx val="39"/>
              <c:delete val="1"/>
              <c:extLst>
                <c:ext xmlns:c15="http://schemas.microsoft.com/office/drawing/2012/chart" uri="{CE6537A1-D6FC-4f65-9D91-7224C49458BB}"/>
                <c:ext xmlns:c16="http://schemas.microsoft.com/office/drawing/2014/chart" uri="{C3380CC4-5D6E-409C-BE32-E72D297353CC}">
                  <c16:uniqueId val="{00000027-307E-49EF-A3AD-1252A8309BF4}"/>
                </c:ext>
              </c:extLst>
            </c:dLbl>
            <c:dLbl>
              <c:idx val="40"/>
              <c:delete val="1"/>
              <c:extLst>
                <c:ext xmlns:c15="http://schemas.microsoft.com/office/drawing/2012/chart" uri="{CE6537A1-D6FC-4f65-9D91-7224C49458BB}"/>
                <c:ext xmlns:c16="http://schemas.microsoft.com/office/drawing/2014/chart" uri="{C3380CC4-5D6E-409C-BE32-E72D297353CC}">
                  <c16:uniqueId val="{00000028-307E-49EF-A3AD-1252A8309BF4}"/>
                </c:ext>
              </c:extLst>
            </c:dLbl>
            <c:spPr>
              <a:noFill/>
              <a:ln w="25400">
                <a:noFill/>
              </a:ln>
            </c:sp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numRef>
              <c:f>Consolidate!$C$2:$AQ$2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Consolidate!$C$9:$AQ$9</c:f>
              <c:numCache>
                <c:formatCode>General</c:formatCode>
                <c:ptCount val="41"/>
                <c:pt idx="0">
                  <c:v>-16876.830026484153</c:v>
                </c:pt>
                <c:pt idx="1">
                  <c:v>-18707.642178480251</c:v>
                </c:pt>
                <c:pt idx="2">
                  <c:v>-13631.642794043306</c:v>
                </c:pt>
                <c:pt idx="3">
                  <c:v>-10577.79332537626</c:v>
                </c:pt>
                <c:pt idx="4">
                  <c:v>-9921.2926094068098</c:v>
                </c:pt>
                <c:pt idx="5">
                  <c:v>-7608.3436354797741</c:v>
                </c:pt>
                <c:pt idx="6">
                  <c:v>-6850.1105135545367</c:v>
                </c:pt>
                <c:pt idx="7">
                  <c:v>-6535.8754177456431</c:v>
                </c:pt>
                <c:pt idx="8">
                  <c:v>-4614.3407764823787</c:v>
                </c:pt>
                <c:pt idx="9">
                  <c:v>-3051.4478014030901</c:v>
                </c:pt>
                <c:pt idx="10">
                  <c:v>-1869.5603615102154</c:v>
                </c:pt>
                <c:pt idx="11">
                  <c:v>-2848.4483763921598</c:v>
                </c:pt>
                <c:pt idx="12">
                  <c:v>-1832.6868008774472</c:v>
                </c:pt>
                <c:pt idx="13">
                  <c:v>-1373.859231239665</c:v>
                </c:pt>
                <c:pt idx="14">
                  <c:v>-1766.4997811481444</c:v>
                </c:pt>
                <c:pt idx="15">
                  <c:v>-2879.9968240684684</c:v>
                </c:pt>
                <c:pt idx="16">
                  <c:v>-5268.5213594464149</c:v>
                </c:pt>
                <c:pt idx="17">
                  <c:v>-4779.5488619883254</c:v>
                </c:pt>
                <c:pt idx="18">
                  <c:v>-4922.1481995214417</c:v>
                </c:pt>
                <c:pt idx="19">
                  <c:v>-5790.2188446676591</c:v>
                </c:pt>
                <c:pt idx="20">
                  <c:v>-10844.602747887009</c:v>
                </c:pt>
                <c:pt idx="21">
                  <c:v>-12302.556531561495</c:v>
                </c:pt>
                <c:pt idx="22">
                  <c:v>-13763.983314024896</c:v>
                </c:pt>
                <c:pt idx="23">
                  <c:v>-11918.122668051117</c:v>
                </c:pt>
                <c:pt idx="24">
                  <c:v>-11341.701472432062</c:v>
                </c:pt>
                <c:pt idx="25">
                  <c:v>-10444.57047085966</c:v>
                </c:pt>
                <c:pt idx="26">
                  <c:v>-9096.776252665426</c:v>
                </c:pt>
                <c:pt idx="27">
                  <c:v>-9178.2527871470229</c:v>
                </c:pt>
                <c:pt idx="28">
                  <c:v>-7277.3997874508932</c:v>
                </c:pt>
                <c:pt idx="29">
                  <c:v>-5364.3952966780489</c:v>
                </c:pt>
                <c:pt idx="30">
                  <c:v>-3438.8080645142763</c:v>
                </c:pt>
                <c:pt idx="31">
                  <c:v>-1500.2564513452671</c:v>
                </c:pt>
                <c:pt idx="32">
                  <c:v>451.71292250993429</c:v>
                </c:pt>
                <c:pt idx="33">
                  <c:v>2417.5457779457065</c:v>
                </c:pt>
                <c:pt idx="34">
                  <c:v>4397.6503634623077</c:v>
                </c:pt>
                <c:pt idx="35">
                  <c:v>6392.5056304372411</c:v>
                </c:pt>
                <c:pt idx="36">
                  <c:v>8402.5634490500088</c:v>
                </c:pt>
                <c:pt idx="37">
                  <c:v>10428.31519974496</c:v>
                </c:pt>
                <c:pt idx="38">
                  <c:v>12470.257195457263</c:v>
                </c:pt>
                <c:pt idx="39">
                  <c:v>14528.912497007273</c:v>
                </c:pt>
                <c:pt idx="40">
                  <c:v>16604.759542520784</c:v>
                </c:pt>
              </c:numCache>
            </c:numRef>
          </c:val>
          <c:smooth val="0"/>
          <c:extLst>
            <c:ext xmlns:c16="http://schemas.microsoft.com/office/drawing/2014/chart" uri="{C3380CC4-5D6E-409C-BE32-E72D297353CC}">
              <c16:uniqueId val="{00000029-307E-49EF-A3AD-1252A8309BF4}"/>
            </c:ext>
          </c:extLst>
        </c:ser>
        <c:ser>
          <c:idx val="5"/>
          <c:order val="1"/>
          <c:tx>
            <c:strRef>
              <c:f>Consolidate!$B$10</c:f>
              <c:strCache>
                <c:ptCount val="1"/>
                <c:pt idx="0">
                  <c:v>Scenario 2 With Sequestration</c:v>
                </c:pt>
              </c:strCache>
            </c:strRef>
          </c:tx>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2A-307E-49EF-A3AD-1252A8309BF4}"/>
                </c:ext>
              </c:extLst>
            </c:dLbl>
            <c:dLbl>
              <c:idx val="1"/>
              <c:delete val="1"/>
              <c:extLst>
                <c:ext xmlns:c15="http://schemas.microsoft.com/office/drawing/2012/chart" uri="{CE6537A1-D6FC-4f65-9D91-7224C49458BB}"/>
                <c:ext xmlns:c16="http://schemas.microsoft.com/office/drawing/2014/chart" uri="{C3380CC4-5D6E-409C-BE32-E72D297353CC}">
                  <c16:uniqueId val="{0000002B-307E-49EF-A3AD-1252A8309BF4}"/>
                </c:ext>
              </c:extLst>
            </c:dLbl>
            <c:dLbl>
              <c:idx val="2"/>
              <c:delete val="1"/>
              <c:extLst>
                <c:ext xmlns:c15="http://schemas.microsoft.com/office/drawing/2012/chart" uri="{CE6537A1-D6FC-4f65-9D91-7224C49458BB}"/>
                <c:ext xmlns:c16="http://schemas.microsoft.com/office/drawing/2014/chart" uri="{C3380CC4-5D6E-409C-BE32-E72D297353CC}">
                  <c16:uniqueId val="{0000002C-307E-49EF-A3AD-1252A8309BF4}"/>
                </c:ext>
              </c:extLst>
            </c:dLbl>
            <c:dLbl>
              <c:idx val="3"/>
              <c:delete val="1"/>
              <c:extLst>
                <c:ext xmlns:c15="http://schemas.microsoft.com/office/drawing/2012/chart" uri="{CE6537A1-D6FC-4f65-9D91-7224C49458BB}"/>
                <c:ext xmlns:c16="http://schemas.microsoft.com/office/drawing/2014/chart" uri="{C3380CC4-5D6E-409C-BE32-E72D297353CC}">
                  <c16:uniqueId val="{0000002D-307E-49EF-A3AD-1252A8309BF4}"/>
                </c:ext>
              </c:extLst>
            </c:dLbl>
            <c:dLbl>
              <c:idx val="4"/>
              <c:delete val="1"/>
              <c:extLst>
                <c:ext xmlns:c15="http://schemas.microsoft.com/office/drawing/2012/chart" uri="{CE6537A1-D6FC-4f65-9D91-7224C49458BB}"/>
                <c:ext xmlns:c16="http://schemas.microsoft.com/office/drawing/2014/chart" uri="{C3380CC4-5D6E-409C-BE32-E72D297353CC}">
                  <c16:uniqueId val="{0000002E-307E-49EF-A3AD-1252A8309BF4}"/>
                </c:ext>
              </c:extLst>
            </c:dLbl>
            <c:dLbl>
              <c:idx val="5"/>
              <c:delete val="1"/>
              <c:extLst>
                <c:ext xmlns:c15="http://schemas.microsoft.com/office/drawing/2012/chart" uri="{CE6537A1-D6FC-4f65-9D91-7224C49458BB}"/>
                <c:ext xmlns:c16="http://schemas.microsoft.com/office/drawing/2014/chart" uri="{C3380CC4-5D6E-409C-BE32-E72D297353CC}">
                  <c16:uniqueId val="{0000002F-307E-49EF-A3AD-1252A8309BF4}"/>
                </c:ext>
              </c:extLst>
            </c:dLbl>
            <c:dLbl>
              <c:idx val="6"/>
              <c:delete val="1"/>
              <c:extLst>
                <c:ext xmlns:c15="http://schemas.microsoft.com/office/drawing/2012/chart" uri="{CE6537A1-D6FC-4f65-9D91-7224C49458BB}"/>
                <c:ext xmlns:c16="http://schemas.microsoft.com/office/drawing/2014/chart" uri="{C3380CC4-5D6E-409C-BE32-E72D297353CC}">
                  <c16:uniqueId val="{00000030-307E-49EF-A3AD-1252A8309BF4}"/>
                </c:ext>
              </c:extLst>
            </c:dLbl>
            <c:dLbl>
              <c:idx val="7"/>
              <c:delete val="1"/>
              <c:extLst>
                <c:ext xmlns:c15="http://schemas.microsoft.com/office/drawing/2012/chart" uri="{CE6537A1-D6FC-4f65-9D91-7224C49458BB}"/>
                <c:ext xmlns:c16="http://schemas.microsoft.com/office/drawing/2014/chart" uri="{C3380CC4-5D6E-409C-BE32-E72D297353CC}">
                  <c16:uniqueId val="{00000031-307E-49EF-A3AD-1252A8309BF4}"/>
                </c:ext>
              </c:extLst>
            </c:dLbl>
            <c:dLbl>
              <c:idx val="8"/>
              <c:delete val="1"/>
              <c:extLst>
                <c:ext xmlns:c15="http://schemas.microsoft.com/office/drawing/2012/chart" uri="{CE6537A1-D6FC-4f65-9D91-7224C49458BB}"/>
                <c:ext xmlns:c16="http://schemas.microsoft.com/office/drawing/2014/chart" uri="{C3380CC4-5D6E-409C-BE32-E72D297353CC}">
                  <c16:uniqueId val="{00000032-307E-49EF-A3AD-1252A8309BF4}"/>
                </c:ext>
              </c:extLst>
            </c:dLbl>
            <c:dLbl>
              <c:idx val="9"/>
              <c:delete val="1"/>
              <c:extLst>
                <c:ext xmlns:c15="http://schemas.microsoft.com/office/drawing/2012/chart" uri="{CE6537A1-D6FC-4f65-9D91-7224C49458BB}"/>
                <c:ext xmlns:c16="http://schemas.microsoft.com/office/drawing/2014/chart" uri="{C3380CC4-5D6E-409C-BE32-E72D297353CC}">
                  <c16:uniqueId val="{00000033-307E-49EF-A3AD-1252A8309BF4}"/>
                </c:ext>
              </c:extLst>
            </c:dLbl>
            <c:dLbl>
              <c:idx val="10"/>
              <c:delete val="1"/>
              <c:extLst>
                <c:ext xmlns:c15="http://schemas.microsoft.com/office/drawing/2012/chart" uri="{CE6537A1-D6FC-4f65-9D91-7224C49458BB}"/>
                <c:ext xmlns:c16="http://schemas.microsoft.com/office/drawing/2014/chart" uri="{C3380CC4-5D6E-409C-BE32-E72D297353CC}">
                  <c16:uniqueId val="{00000034-307E-49EF-A3AD-1252A8309BF4}"/>
                </c:ext>
              </c:extLst>
            </c:dLbl>
            <c:dLbl>
              <c:idx val="11"/>
              <c:delete val="1"/>
              <c:extLst>
                <c:ext xmlns:c15="http://schemas.microsoft.com/office/drawing/2012/chart" uri="{CE6537A1-D6FC-4f65-9D91-7224C49458BB}"/>
                <c:ext xmlns:c16="http://schemas.microsoft.com/office/drawing/2014/chart" uri="{C3380CC4-5D6E-409C-BE32-E72D297353CC}">
                  <c16:uniqueId val="{00000035-307E-49EF-A3AD-1252A8309BF4}"/>
                </c:ext>
              </c:extLst>
            </c:dLbl>
            <c:dLbl>
              <c:idx val="12"/>
              <c:delete val="1"/>
              <c:extLst>
                <c:ext xmlns:c15="http://schemas.microsoft.com/office/drawing/2012/chart" uri="{CE6537A1-D6FC-4f65-9D91-7224C49458BB}"/>
                <c:ext xmlns:c16="http://schemas.microsoft.com/office/drawing/2014/chart" uri="{C3380CC4-5D6E-409C-BE32-E72D297353CC}">
                  <c16:uniqueId val="{00000036-307E-49EF-A3AD-1252A8309BF4}"/>
                </c:ext>
              </c:extLst>
            </c:dLbl>
            <c:dLbl>
              <c:idx val="13"/>
              <c:delete val="1"/>
              <c:extLst>
                <c:ext xmlns:c15="http://schemas.microsoft.com/office/drawing/2012/chart" uri="{CE6537A1-D6FC-4f65-9D91-7224C49458BB}"/>
                <c:ext xmlns:c16="http://schemas.microsoft.com/office/drawing/2014/chart" uri="{C3380CC4-5D6E-409C-BE32-E72D297353CC}">
                  <c16:uniqueId val="{00000037-307E-49EF-A3AD-1252A8309BF4}"/>
                </c:ext>
              </c:extLst>
            </c:dLbl>
            <c:dLbl>
              <c:idx val="14"/>
              <c:delete val="1"/>
              <c:extLst>
                <c:ext xmlns:c15="http://schemas.microsoft.com/office/drawing/2012/chart" uri="{CE6537A1-D6FC-4f65-9D91-7224C49458BB}"/>
                <c:ext xmlns:c16="http://schemas.microsoft.com/office/drawing/2014/chart" uri="{C3380CC4-5D6E-409C-BE32-E72D297353CC}">
                  <c16:uniqueId val="{00000038-307E-49EF-A3AD-1252A8309BF4}"/>
                </c:ext>
              </c:extLst>
            </c:dLbl>
            <c:dLbl>
              <c:idx val="15"/>
              <c:delete val="1"/>
              <c:extLst>
                <c:ext xmlns:c15="http://schemas.microsoft.com/office/drawing/2012/chart" uri="{CE6537A1-D6FC-4f65-9D91-7224C49458BB}"/>
                <c:ext xmlns:c16="http://schemas.microsoft.com/office/drawing/2014/chart" uri="{C3380CC4-5D6E-409C-BE32-E72D297353CC}">
                  <c16:uniqueId val="{00000039-307E-49EF-A3AD-1252A8309BF4}"/>
                </c:ext>
              </c:extLst>
            </c:dLbl>
            <c:dLbl>
              <c:idx val="16"/>
              <c:delete val="1"/>
              <c:extLst>
                <c:ext xmlns:c15="http://schemas.microsoft.com/office/drawing/2012/chart" uri="{CE6537A1-D6FC-4f65-9D91-7224C49458BB}"/>
                <c:ext xmlns:c16="http://schemas.microsoft.com/office/drawing/2014/chart" uri="{C3380CC4-5D6E-409C-BE32-E72D297353CC}">
                  <c16:uniqueId val="{0000003A-307E-49EF-A3AD-1252A8309BF4}"/>
                </c:ext>
              </c:extLst>
            </c:dLbl>
            <c:dLbl>
              <c:idx val="17"/>
              <c:delete val="1"/>
              <c:extLst>
                <c:ext xmlns:c15="http://schemas.microsoft.com/office/drawing/2012/chart" uri="{CE6537A1-D6FC-4f65-9D91-7224C49458BB}"/>
                <c:ext xmlns:c16="http://schemas.microsoft.com/office/drawing/2014/chart" uri="{C3380CC4-5D6E-409C-BE32-E72D297353CC}">
                  <c16:uniqueId val="{0000003B-307E-49EF-A3AD-1252A8309BF4}"/>
                </c:ext>
              </c:extLst>
            </c:dLbl>
            <c:dLbl>
              <c:idx val="18"/>
              <c:delete val="1"/>
              <c:extLst>
                <c:ext xmlns:c15="http://schemas.microsoft.com/office/drawing/2012/chart" uri="{CE6537A1-D6FC-4f65-9D91-7224C49458BB}"/>
                <c:ext xmlns:c16="http://schemas.microsoft.com/office/drawing/2014/chart" uri="{C3380CC4-5D6E-409C-BE32-E72D297353CC}">
                  <c16:uniqueId val="{0000003C-307E-49EF-A3AD-1252A8309BF4}"/>
                </c:ext>
              </c:extLst>
            </c:dLbl>
            <c:dLbl>
              <c:idx val="19"/>
              <c:delete val="1"/>
              <c:extLst>
                <c:ext xmlns:c15="http://schemas.microsoft.com/office/drawing/2012/chart" uri="{CE6537A1-D6FC-4f65-9D91-7224C49458BB}"/>
                <c:ext xmlns:c16="http://schemas.microsoft.com/office/drawing/2014/chart" uri="{C3380CC4-5D6E-409C-BE32-E72D297353CC}">
                  <c16:uniqueId val="{0000003D-307E-49EF-A3AD-1252A8309BF4}"/>
                </c:ext>
              </c:extLst>
            </c:dLbl>
            <c:dLbl>
              <c:idx val="20"/>
              <c:delete val="1"/>
              <c:extLst>
                <c:ext xmlns:c15="http://schemas.microsoft.com/office/drawing/2012/chart" uri="{CE6537A1-D6FC-4f65-9D91-7224C49458BB}"/>
                <c:ext xmlns:c16="http://schemas.microsoft.com/office/drawing/2014/chart" uri="{C3380CC4-5D6E-409C-BE32-E72D297353CC}">
                  <c16:uniqueId val="{0000003E-307E-49EF-A3AD-1252A8309BF4}"/>
                </c:ext>
              </c:extLst>
            </c:dLbl>
            <c:dLbl>
              <c:idx val="21"/>
              <c:delete val="1"/>
              <c:extLst>
                <c:ext xmlns:c15="http://schemas.microsoft.com/office/drawing/2012/chart" uri="{CE6537A1-D6FC-4f65-9D91-7224C49458BB}"/>
                <c:ext xmlns:c16="http://schemas.microsoft.com/office/drawing/2014/chart" uri="{C3380CC4-5D6E-409C-BE32-E72D297353CC}">
                  <c16:uniqueId val="{0000003F-307E-49EF-A3AD-1252A8309BF4}"/>
                </c:ext>
              </c:extLst>
            </c:dLbl>
            <c:dLbl>
              <c:idx val="22"/>
              <c:delete val="1"/>
              <c:extLst>
                <c:ext xmlns:c15="http://schemas.microsoft.com/office/drawing/2012/chart" uri="{CE6537A1-D6FC-4f65-9D91-7224C49458BB}"/>
                <c:ext xmlns:c16="http://schemas.microsoft.com/office/drawing/2014/chart" uri="{C3380CC4-5D6E-409C-BE32-E72D297353CC}">
                  <c16:uniqueId val="{00000040-307E-49EF-A3AD-1252A8309BF4}"/>
                </c:ext>
              </c:extLst>
            </c:dLbl>
            <c:dLbl>
              <c:idx val="23"/>
              <c:delete val="1"/>
              <c:extLst>
                <c:ext xmlns:c15="http://schemas.microsoft.com/office/drawing/2012/chart" uri="{CE6537A1-D6FC-4f65-9D91-7224C49458BB}"/>
                <c:ext xmlns:c16="http://schemas.microsoft.com/office/drawing/2014/chart" uri="{C3380CC4-5D6E-409C-BE32-E72D297353CC}">
                  <c16:uniqueId val="{00000041-307E-49EF-A3AD-1252A8309BF4}"/>
                </c:ext>
              </c:extLst>
            </c:dLbl>
            <c:dLbl>
              <c:idx val="24"/>
              <c:delete val="1"/>
              <c:extLst>
                <c:ext xmlns:c15="http://schemas.microsoft.com/office/drawing/2012/chart" uri="{CE6537A1-D6FC-4f65-9D91-7224C49458BB}"/>
                <c:ext xmlns:c16="http://schemas.microsoft.com/office/drawing/2014/chart" uri="{C3380CC4-5D6E-409C-BE32-E72D297353CC}">
                  <c16:uniqueId val="{00000042-307E-49EF-A3AD-1252A8309BF4}"/>
                </c:ext>
              </c:extLst>
            </c:dLbl>
            <c:dLbl>
              <c:idx val="25"/>
              <c:delete val="1"/>
              <c:extLst>
                <c:ext xmlns:c15="http://schemas.microsoft.com/office/drawing/2012/chart" uri="{CE6537A1-D6FC-4f65-9D91-7224C49458BB}"/>
                <c:ext xmlns:c16="http://schemas.microsoft.com/office/drawing/2014/chart" uri="{C3380CC4-5D6E-409C-BE32-E72D297353CC}">
                  <c16:uniqueId val="{00000043-307E-49EF-A3AD-1252A8309BF4}"/>
                </c:ext>
              </c:extLst>
            </c:dLbl>
            <c:dLbl>
              <c:idx val="26"/>
              <c:delete val="1"/>
              <c:extLst>
                <c:ext xmlns:c15="http://schemas.microsoft.com/office/drawing/2012/chart" uri="{CE6537A1-D6FC-4f65-9D91-7224C49458BB}"/>
                <c:ext xmlns:c16="http://schemas.microsoft.com/office/drawing/2014/chart" uri="{C3380CC4-5D6E-409C-BE32-E72D297353CC}">
                  <c16:uniqueId val="{00000044-307E-49EF-A3AD-1252A8309BF4}"/>
                </c:ext>
              </c:extLst>
            </c:dLbl>
            <c:dLbl>
              <c:idx val="27"/>
              <c:delete val="1"/>
              <c:extLst>
                <c:ext xmlns:c15="http://schemas.microsoft.com/office/drawing/2012/chart" uri="{CE6537A1-D6FC-4f65-9D91-7224C49458BB}"/>
                <c:ext xmlns:c16="http://schemas.microsoft.com/office/drawing/2014/chart" uri="{C3380CC4-5D6E-409C-BE32-E72D297353CC}">
                  <c16:uniqueId val="{00000045-307E-49EF-A3AD-1252A8309BF4}"/>
                </c:ext>
              </c:extLst>
            </c:dLbl>
            <c:dLbl>
              <c:idx val="28"/>
              <c:delete val="1"/>
              <c:extLst>
                <c:ext xmlns:c15="http://schemas.microsoft.com/office/drawing/2012/chart" uri="{CE6537A1-D6FC-4f65-9D91-7224C49458BB}"/>
                <c:ext xmlns:c16="http://schemas.microsoft.com/office/drawing/2014/chart" uri="{C3380CC4-5D6E-409C-BE32-E72D297353CC}">
                  <c16:uniqueId val="{00000046-307E-49EF-A3AD-1252A8309BF4}"/>
                </c:ext>
              </c:extLst>
            </c:dLbl>
            <c:dLbl>
              <c:idx val="29"/>
              <c:delete val="1"/>
              <c:extLst>
                <c:ext xmlns:c15="http://schemas.microsoft.com/office/drawing/2012/chart" uri="{CE6537A1-D6FC-4f65-9D91-7224C49458BB}"/>
                <c:ext xmlns:c16="http://schemas.microsoft.com/office/drawing/2014/chart" uri="{C3380CC4-5D6E-409C-BE32-E72D297353CC}">
                  <c16:uniqueId val="{00000047-307E-49EF-A3AD-1252A8309BF4}"/>
                </c:ext>
              </c:extLst>
            </c:dLbl>
            <c:dLbl>
              <c:idx val="30"/>
              <c:delete val="1"/>
              <c:extLst>
                <c:ext xmlns:c15="http://schemas.microsoft.com/office/drawing/2012/chart" uri="{CE6537A1-D6FC-4f65-9D91-7224C49458BB}"/>
                <c:ext xmlns:c16="http://schemas.microsoft.com/office/drawing/2014/chart" uri="{C3380CC4-5D6E-409C-BE32-E72D297353CC}">
                  <c16:uniqueId val="{00000048-307E-49EF-A3AD-1252A8309BF4}"/>
                </c:ext>
              </c:extLst>
            </c:dLbl>
            <c:dLbl>
              <c:idx val="31"/>
              <c:delete val="1"/>
              <c:extLst>
                <c:ext xmlns:c15="http://schemas.microsoft.com/office/drawing/2012/chart" uri="{CE6537A1-D6FC-4f65-9D91-7224C49458BB}"/>
                <c:ext xmlns:c16="http://schemas.microsoft.com/office/drawing/2014/chart" uri="{C3380CC4-5D6E-409C-BE32-E72D297353CC}">
                  <c16:uniqueId val="{00000049-307E-49EF-A3AD-1252A8309BF4}"/>
                </c:ext>
              </c:extLst>
            </c:dLbl>
            <c:dLbl>
              <c:idx val="32"/>
              <c:delete val="1"/>
              <c:extLst>
                <c:ext xmlns:c15="http://schemas.microsoft.com/office/drawing/2012/chart" uri="{CE6537A1-D6FC-4f65-9D91-7224C49458BB}"/>
                <c:ext xmlns:c16="http://schemas.microsoft.com/office/drawing/2014/chart" uri="{C3380CC4-5D6E-409C-BE32-E72D297353CC}">
                  <c16:uniqueId val="{0000004A-307E-49EF-A3AD-1252A8309BF4}"/>
                </c:ext>
              </c:extLst>
            </c:dLbl>
            <c:dLbl>
              <c:idx val="33"/>
              <c:delete val="1"/>
              <c:extLst>
                <c:ext xmlns:c15="http://schemas.microsoft.com/office/drawing/2012/chart" uri="{CE6537A1-D6FC-4f65-9D91-7224C49458BB}"/>
                <c:ext xmlns:c16="http://schemas.microsoft.com/office/drawing/2014/chart" uri="{C3380CC4-5D6E-409C-BE32-E72D297353CC}">
                  <c16:uniqueId val="{0000004B-307E-49EF-A3AD-1252A8309BF4}"/>
                </c:ext>
              </c:extLst>
            </c:dLbl>
            <c:dLbl>
              <c:idx val="34"/>
              <c:delete val="1"/>
              <c:extLst>
                <c:ext xmlns:c15="http://schemas.microsoft.com/office/drawing/2012/chart" uri="{CE6537A1-D6FC-4f65-9D91-7224C49458BB}"/>
                <c:ext xmlns:c16="http://schemas.microsoft.com/office/drawing/2014/chart" uri="{C3380CC4-5D6E-409C-BE32-E72D297353CC}">
                  <c16:uniqueId val="{0000004C-307E-49EF-A3AD-1252A8309BF4}"/>
                </c:ext>
              </c:extLst>
            </c:dLbl>
            <c:dLbl>
              <c:idx val="35"/>
              <c:delete val="1"/>
              <c:extLst>
                <c:ext xmlns:c15="http://schemas.microsoft.com/office/drawing/2012/chart" uri="{CE6537A1-D6FC-4f65-9D91-7224C49458BB}"/>
                <c:ext xmlns:c16="http://schemas.microsoft.com/office/drawing/2014/chart" uri="{C3380CC4-5D6E-409C-BE32-E72D297353CC}">
                  <c16:uniqueId val="{0000004D-307E-49EF-A3AD-1252A8309BF4}"/>
                </c:ext>
              </c:extLst>
            </c:dLbl>
            <c:dLbl>
              <c:idx val="36"/>
              <c:layout>
                <c:manualLayout>
                  <c:x val="0"/>
                  <c:y val="3.6997505637581758E-2"/>
                </c:manualLayout>
              </c:layout>
              <c:spPr>
                <a:noFill/>
                <a:ln w="25400">
                  <a:noFill/>
                </a:ln>
              </c:spPr>
              <c:txPr>
                <a:bodyPr wrap="square" lIns="38100" tIns="19050" rIns="38100" bIns="19050" anchor="ctr">
                  <a:spAutoFit/>
                </a:bodyPr>
                <a:lstStyle/>
                <a:p>
                  <a:pPr>
                    <a:defRPr/>
                  </a:pPr>
                  <a:endParaRPr lang="en-US"/>
                </a:p>
              </c:txPr>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4E-307E-49EF-A3AD-1252A8309BF4}"/>
                </c:ext>
              </c:extLst>
            </c:dLbl>
            <c:dLbl>
              <c:idx val="37"/>
              <c:delete val="1"/>
              <c:extLst>
                <c:ext xmlns:c15="http://schemas.microsoft.com/office/drawing/2012/chart" uri="{CE6537A1-D6FC-4f65-9D91-7224C49458BB}"/>
                <c:ext xmlns:c16="http://schemas.microsoft.com/office/drawing/2014/chart" uri="{C3380CC4-5D6E-409C-BE32-E72D297353CC}">
                  <c16:uniqueId val="{0000004F-307E-49EF-A3AD-1252A8309BF4}"/>
                </c:ext>
              </c:extLst>
            </c:dLbl>
            <c:dLbl>
              <c:idx val="38"/>
              <c:delete val="1"/>
              <c:extLst>
                <c:ext xmlns:c15="http://schemas.microsoft.com/office/drawing/2012/chart" uri="{CE6537A1-D6FC-4f65-9D91-7224C49458BB}"/>
                <c:ext xmlns:c16="http://schemas.microsoft.com/office/drawing/2014/chart" uri="{C3380CC4-5D6E-409C-BE32-E72D297353CC}">
                  <c16:uniqueId val="{00000050-307E-49EF-A3AD-1252A8309BF4}"/>
                </c:ext>
              </c:extLst>
            </c:dLbl>
            <c:dLbl>
              <c:idx val="39"/>
              <c:delete val="1"/>
              <c:extLst>
                <c:ext xmlns:c15="http://schemas.microsoft.com/office/drawing/2012/chart" uri="{CE6537A1-D6FC-4f65-9D91-7224C49458BB}"/>
                <c:ext xmlns:c16="http://schemas.microsoft.com/office/drawing/2014/chart" uri="{C3380CC4-5D6E-409C-BE32-E72D297353CC}">
                  <c16:uniqueId val="{00000051-307E-49EF-A3AD-1252A8309BF4}"/>
                </c:ext>
              </c:extLst>
            </c:dLbl>
            <c:dLbl>
              <c:idx val="40"/>
              <c:delete val="1"/>
              <c:extLst>
                <c:ext xmlns:c15="http://schemas.microsoft.com/office/drawing/2012/chart" uri="{CE6537A1-D6FC-4f65-9D91-7224C49458BB}"/>
                <c:ext xmlns:c16="http://schemas.microsoft.com/office/drawing/2014/chart" uri="{C3380CC4-5D6E-409C-BE32-E72D297353CC}">
                  <c16:uniqueId val="{00000052-307E-49EF-A3AD-1252A8309BF4}"/>
                </c:ext>
              </c:extLst>
            </c:dLbl>
            <c:spPr>
              <a:noFill/>
              <a:ln w="25400">
                <a:noFill/>
              </a:ln>
            </c:sp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numRef>
              <c:f>Consolidate!$C$2:$AQ$2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Consolidate!$C$10:$AQ$10</c:f>
              <c:numCache>
                <c:formatCode>General</c:formatCode>
                <c:ptCount val="41"/>
                <c:pt idx="0">
                  <c:v>-16876.830026484153</c:v>
                </c:pt>
                <c:pt idx="1">
                  <c:v>-18707.642178480251</c:v>
                </c:pt>
                <c:pt idx="2">
                  <c:v>-13631.642794043306</c:v>
                </c:pt>
                <c:pt idx="3">
                  <c:v>-10577.79332537626</c:v>
                </c:pt>
                <c:pt idx="4">
                  <c:v>-9921.2926094068098</c:v>
                </c:pt>
                <c:pt idx="5">
                  <c:v>-7608.3436354797741</c:v>
                </c:pt>
                <c:pt idx="6">
                  <c:v>-6850.1105135545367</c:v>
                </c:pt>
                <c:pt idx="7">
                  <c:v>-6535.8754177456431</c:v>
                </c:pt>
                <c:pt idx="8">
                  <c:v>-4614.3407764823787</c:v>
                </c:pt>
                <c:pt idx="9">
                  <c:v>-3051.4478014030901</c:v>
                </c:pt>
                <c:pt idx="10">
                  <c:v>-12251.490361510223</c:v>
                </c:pt>
                <c:pt idx="11">
                  <c:v>-17429.231054748161</c:v>
                </c:pt>
                <c:pt idx="12">
                  <c:v>-17443.640740176124</c:v>
                </c:pt>
                <c:pt idx="13">
                  <c:v>-18014.984431481003</c:v>
                </c:pt>
                <c:pt idx="14">
                  <c:v>-19437.796242332144</c:v>
                </c:pt>
                <c:pt idx="15">
                  <c:v>-21654.887879528455</c:v>
                </c:pt>
                <c:pt idx="16">
                  <c:v>-25077.403018515732</c:v>
                </c:pt>
                <c:pt idx="17">
                  <c:v>-25622.421124666987</c:v>
                </c:pt>
                <c:pt idx="18">
                  <c:v>-26799.011065809449</c:v>
                </c:pt>
                <c:pt idx="19">
                  <c:v>-28701.072314564983</c:v>
                </c:pt>
                <c:pt idx="20">
                  <c:v>-34789.446821393678</c:v>
                </c:pt>
                <c:pt idx="21">
                  <c:v>-37277.794274093714</c:v>
                </c:pt>
                <c:pt idx="22">
                  <c:v>-39769.57199074814</c:v>
                </c:pt>
                <c:pt idx="23">
                  <c:v>-38954.100710793049</c:v>
                </c:pt>
                <c:pt idx="24">
                  <c:v>-39408.107046824865</c:v>
                </c:pt>
                <c:pt idx="25">
                  <c:v>-39541.441431698026</c:v>
                </c:pt>
                <c:pt idx="26">
                  <c:v>-39224.153499128312</c:v>
                </c:pt>
                <c:pt idx="27">
                  <c:v>-40336.178430326094</c:v>
                </c:pt>
                <c:pt idx="28">
                  <c:v>-39465.917460466357</c:v>
                </c:pt>
                <c:pt idx="29">
                  <c:v>-38583.55051807109</c:v>
                </c:pt>
                <c:pt idx="30">
                  <c:v>-37688.648659933489</c:v>
                </c:pt>
                <c:pt idx="31">
                  <c:v>-36780.823895360067</c:v>
                </c:pt>
                <c:pt idx="32">
                  <c:v>-35859.621861682506</c:v>
                </c:pt>
                <c:pt idx="33">
                  <c:v>-34924.595542348441</c:v>
                </c:pt>
                <c:pt idx="34">
                  <c:v>-33975.335028309521</c:v>
                </c:pt>
                <c:pt idx="35">
                  <c:v>-33011.35928593608</c:v>
                </c:pt>
                <c:pt idx="36">
                  <c:v>-32032.233116413554</c:v>
                </c:pt>
                <c:pt idx="37">
                  <c:v>-31037.456501011315</c:v>
                </c:pt>
                <c:pt idx="38">
                  <c:v>-30026.533164257111</c:v>
                </c:pt>
                <c:pt idx="39">
                  <c:v>-28998.939880066158</c:v>
                </c:pt>
                <c:pt idx="40">
                  <c:v>-27954.197766538258</c:v>
                </c:pt>
              </c:numCache>
            </c:numRef>
          </c:val>
          <c:smooth val="0"/>
          <c:extLst>
            <c:ext xmlns:c16="http://schemas.microsoft.com/office/drawing/2014/chart" uri="{C3380CC4-5D6E-409C-BE32-E72D297353CC}">
              <c16:uniqueId val="{00000053-307E-49EF-A3AD-1252A8309BF4}"/>
            </c:ext>
          </c:extLst>
        </c:ser>
        <c:ser>
          <c:idx val="6"/>
          <c:order val="2"/>
          <c:tx>
            <c:strRef>
              <c:f>Consolidate!$B$11</c:f>
              <c:strCache>
                <c:ptCount val="1"/>
                <c:pt idx="0">
                  <c:v>Scenario 3 With Sequestration</c:v>
                </c:pt>
              </c:strCache>
            </c:strRef>
          </c:tx>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54-307E-49EF-A3AD-1252A8309BF4}"/>
                </c:ext>
              </c:extLst>
            </c:dLbl>
            <c:dLbl>
              <c:idx val="1"/>
              <c:delete val="1"/>
              <c:extLst>
                <c:ext xmlns:c15="http://schemas.microsoft.com/office/drawing/2012/chart" uri="{CE6537A1-D6FC-4f65-9D91-7224C49458BB}"/>
                <c:ext xmlns:c16="http://schemas.microsoft.com/office/drawing/2014/chart" uri="{C3380CC4-5D6E-409C-BE32-E72D297353CC}">
                  <c16:uniqueId val="{00000055-307E-49EF-A3AD-1252A8309BF4}"/>
                </c:ext>
              </c:extLst>
            </c:dLbl>
            <c:dLbl>
              <c:idx val="2"/>
              <c:delete val="1"/>
              <c:extLst>
                <c:ext xmlns:c15="http://schemas.microsoft.com/office/drawing/2012/chart" uri="{CE6537A1-D6FC-4f65-9D91-7224C49458BB}"/>
                <c:ext xmlns:c16="http://schemas.microsoft.com/office/drawing/2014/chart" uri="{C3380CC4-5D6E-409C-BE32-E72D297353CC}">
                  <c16:uniqueId val="{00000056-307E-49EF-A3AD-1252A8309BF4}"/>
                </c:ext>
              </c:extLst>
            </c:dLbl>
            <c:dLbl>
              <c:idx val="3"/>
              <c:delete val="1"/>
              <c:extLst>
                <c:ext xmlns:c15="http://schemas.microsoft.com/office/drawing/2012/chart" uri="{CE6537A1-D6FC-4f65-9D91-7224C49458BB}"/>
                <c:ext xmlns:c16="http://schemas.microsoft.com/office/drawing/2014/chart" uri="{C3380CC4-5D6E-409C-BE32-E72D297353CC}">
                  <c16:uniqueId val="{00000057-307E-49EF-A3AD-1252A8309BF4}"/>
                </c:ext>
              </c:extLst>
            </c:dLbl>
            <c:dLbl>
              <c:idx val="4"/>
              <c:delete val="1"/>
              <c:extLst>
                <c:ext xmlns:c15="http://schemas.microsoft.com/office/drawing/2012/chart" uri="{CE6537A1-D6FC-4f65-9D91-7224C49458BB}"/>
                <c:ext xmlns:c16="http://schemas.microsoft.com/office/drawing/2014/chart" uri="{C3380CC4-5D6E-409C-BE32-E72D297353CC}">
                  <c16:uniqueId val="{00000058-307E-49EF-A3AD-1252A8309BF4}"/>
                </c:ext>
              </c:extLst>
            </c:dLbl>
            <c:dLbl>
              <c:idx val="5"/>
              <c:delete val="1"/>
              <c:extLst>
                <c:ext xmlns:c15="http://schemas.microsoft.com/office/drawing/2012/chart" uri="{CE6537A1-D6FC-4f65-9D91-7224C49458BB}"/>
                <c:ext xmlns:c16="http://schemas.microsoft.com/office/drawing/2014/chart" uri="{C3380CC4-5D6E-409C-BE32-E72D297353CC}">
                  <c16:uniqueId val="{00000059-307E-49EF-A3AD-1252A8309BF4}"/>
                </c:ext>
              </c:extLst>
            </c:dLbl>
            <c:dLbl>
              <c:idx val="6"/>
              <c:delete val="1"/>
              <c:extLst>
                <c:ext xmlns:c15="http://schemas.microsoft.com/office/drawing/2012/chart" uri="{CE6537A1-D6FC-4f65-9D91-7224C49458BB}"/>
                <c:ext xmlns:c16="http://schemas.microsoft.com/office/drawing/2014/chart" uri="{C3380CC4-5D6E-409C-BE32-E72D297353CC}">
                  <c16:uniqueId val="{0000005A-307E-49EF-A3AD-1252A8309BF4}"/>
                </c:ext>
              </c:extLst>
            </c:dLbl>
            <c:dLbl>
              <c:idx val="7"/>
              <c:delete val="1"/>
              <c:extLst>
                <c:ext xmlns:c15="http://schemas.microsoft.com/office/drawing/2012/chart" uri="{CE6537A1-D6FC-4f65-9D91-7224C49458BB}"/>
                <c:ext xmlns:c16="http://schemas.microsoft.com/office/drawing/2014/chart" uri="{C3380CC4-5D6E-409C-BE32-E72D297353CC}">
                  <c16:uniqueId val="{0000005B-307E-49EF-A3AD-1252A8309BF4}"/>
                </c:ext>
              </c:extLst>
            </c:dLbl>
            <c:dLbl>
              <c:idx val="8"/>
              <c:delete val="1"/>
              <c:extLst>
                <c:ext xmlns:c15="http://schemas.microsoft.com/office/drawing/2012/chart" uri="{CE6537A1-D6FC-4f65-9D91-7224C49458BB}"/>
                <c:ext xmlns:c16="http://schemas.microsoft.com/office/drawing/2014/chart" uri="{C3380CC4-5D6E-409C-BE32-E72D297353CC}">
                  <c16:uniqueId val="{0000005C-307E-49EF-A3AD-1252A8309BF4}"/>
                </c:ext>
              </c:extLst>
            </c:dLbl>
            <c:dLbl>
              <c:idx val="9"/>
              <c:delete val="1"/>
              <c:extLst>
                <c:ext xmlns:c15="http://schemas.microsoft.com/office/drawing/2012/chart" uri="{CE6537A1-D6FC-4f65-9D91-7224C49458BB}"/>
                <c:ext xmlns:c16="http://schemas.microsoft.com/office/drawing/2014/chart" uri="{C3380CC4-5D6E-409C-BE32-E72D297353CC}">
                  <c16:uniqueId val="{0000005D-307E-49EF-A3AD-1252A8309BF4}"/>
                </c:ext>
              </c:extLst>
            </c:dLbl>
            <c:dLbl>
              <c:idx val="10"/>
              <c:delete val="1"/>
              <c:extLst>
                <c:ext xmlns:c15="http://schemas.microsoft.com/office/drawing/2012/chart" uri="{CE6537A1-D6FC-4f65-9D91-7224C49458BB}"/>
                <c:ext xmlns:c16="http://schemas.microsoft.com/office/drawing/2014/chart" uri="{C3380CC4-5D6E-409C-BE32-E72D297353CC}">
                  <c16:uniqueId val="{0000005E-307E-49EF-A3AD-1252A8309BF4}"/>
                </c:ext>
              </c:extLst>
            </c:dLbl>
            <c:dLbl>
              <c:idx val="11"/>
              <c:delete val="1"/>
              <c:extLst>
                <c:ext xmlns:c15="http://schemas.microsoft.com/office/drawing/2012/chart" uri="{CE6537A1-D6FC-4f65-9D91-7224C49458BB}"/>
                <c:ext xmlns:c16="http://schemas.microsoft.com/office/drawing/2014/chart" uri="{C3380CC4-5D6E-409C-BE32-E72D297353CC}">
                  <c16:uniqueId val="{0000005F-307E-49EF-A3AD-1252A8309BF4}"/>
                </c:ext>
              </c:extLst>
            </c:dLbl>
            <c:dLbl>
              <c:idx val="12"/>
              <c:delete val="1"/>
              <c:extLst>
                <c:ext xmlns:c15="http://schemas.microsoft.com/office/drawing/2012/chart" uri="{CE6537A1-D6FC-4f65-9D91-7224C49458BB}"/>
                <c:ext xmlns:c16="http://schemas.microsoft.com/office/drawing/2014/chart" uri="{C3380CC4-5D6E-409C-BE32-E72D297353CC}">
                  <c16:uniqueId val="{00000060-307E-49EF-A3AD-1252A8309BF4}"/>
                </c:ext>
              </c:extLst>
            </c:dLbl>
            <c:dLbl>
              <c:idx val="13"/>
              <c:delete val="1"/>
              <c:extLst>
                <c:ext xmlns:c15="http://schemas.microsoft.com/office/drawing/2012/chart" uri="{CE6537A1-D6FC-4f65-9D91-7224C49458BB}"/>
                <c:ext xmlns:c16="http://schemas.microsoft.com/office/drawing/2014/chart" uri="{C3380CC4-5D6E-409C-BE32-E72D297353CC}">
                  <c16:uniqueId val="{00000061-307E-49EF-A3AD-1252A8309BF4}"/>
                </c:ext>
              </c:extLst>
            </c:dLbl>
            <c:dLbl>
              <c:idx val="14"/>
              <c:delete val="1"/>
              <c:extLst>
                <c:ext xmlns:c15="http://schemas.microsoft.com/office/drawing/2012/chart" uri="{CE6537A1-D6FC-4f65-9D91-7224C49458BB}"/>
                <c:ext xmlns:c16="http://schemas.microsoft.com/office/drawing/2014/chart" uri="{C3380CC4-5D6E-409C-BE32-E72D297353CC}">
                  <c16:uniqueId val="{00000062-307E-49EF-A3AD-1252A8309BF4}"/>
                </c:ext>
              </c:extLst>
            </c:dLbl>
            <c:dLbl>
              <c:idx val="15"/>
              <c:delete val="1"/>
              <c:extLst>
                <c:ext xmlns:c15="http://schemas.microsoft.com/office/drawing/2012/chart" uri="{CE6537A1-D6FC-4f65-9D91-7224C49458BB}"/>
                <c:ext xmlns:c16="http://schemas.microsoft.com/office/drawing/2014/chart" uri="{C3380CC4-5D6E-409C-BE32-E72D297353CC}">
                  <c16:uniqueId val="{00000063-307E-49EF-A3AD-1252A8309BF4}"/>
                </c:ext>
              </c:extLst>
            </c:dLbl>
            <c:dLbl>
              <c:idx val="16"/>
              <c:delete val="1"/>
              <c:extLst>
                <c:ext xmlns:c15="http://schemas.microsoft.com/office/drawing/2012/chart" uri="{CE6537A1-D6FC-4f65-9D91-7224C49458BB}"/>
                <c:ext xmlns:c16="http://schemas.microsoft.com/office/drawing/2014/chart" uri="{C3380CC4-5D6E-409C-BE32-E72D297353CC}">
                  <c16:uniqueId val="{00000064-307E-49EF-A3AD-1252A8309BF4}"/>
                </c:ext>
              </c:extLst>
            </c:dLbl>
            <c:dLbl>
              <c:idx val="17"/>
              <c:delete val="1"/>
              <c:extLst>
                <c:ext xmlns:c15="http://schemas.microsoft.com/office/drawing/2012/chart" uri="{CE6537A1-D6FC-4f65-9D91-7224C49458BB}"/>
                <c:ext xmlns:c16="http://schemas.microsoft.com/office/drawing/2014/chart" uri="{C3380CC4-5D6E-409C-BE32-E72D297353CC}">
                  <c16:uniqueId val="{00000065-307E-49EF-A3AD-1252A8309BF4}"/>
                </c:ext>
              </c:extLst>
            </c:dLbl>
            <c:dLbl>
              <c:idx val="18"/>
              <c:delete val="1"/>
              <c:extLst>
                <c:ext xmlns:c15="http://schemas.microsoft.com/office/drawing/2012/chart" uri="{CE6537A1-D6FC-4f65-9D91-7224C49458BB}"/>
                <c:ext xmlns:c16="http://schemas.microsoft.com/office/drawing/2014/chart" uri="{C3380CC4-5D6E-409C-BE32-E72D297353CC}">
                  <c16:uniqueId val="{00000066-307E-49EF-A3AD-1252A8309BF4}"/>
                </c:ext>
              </c:extLst>
            </c:dLbl>
            <c:dLbl>
              <c:idx val="19"/>
              <c:delete val="1"/>
              <c:extLst>
                <c:ext xmlns:c15="http://schemas.microsoft.com/office/drawing/2012/chart" uri="{CE6537A1-D6FC-4f65-9D91-7224C49458BB}"/>
                <c:ext xmlns:c16="http://schemas.microsoft.com/office/drawing/2014/chart" uri="{C3380CC4-5D6E-409C-BE32-E72D297353CC}">
                  <c16:uniqueId val="{00000067-307E-49EF-A3AD-1252A8309BF4}"/>
                </c:ext>
              </c:extLst>
            </c:dLbl>
            <c:dLbl>
              <c:idx val="20"/>
              <c:delete val="1"/>
              <c:extLst>
                <c:ext xmlns:c15="http://schemas.microsoft.com/office/drawing/2012/chart" uri="{CE6537A1-D6FC-4f65-9D91-7224C49458BB}"/>
                <c:ext xmlns:c16="http://schemas.microsoft.com/office/drawing/2014/chart" uri="{C3380CC4-5D6E-409C-BE32-E72D297353CC}">
                  <c16:uniqueId val="{00000068-307E-49EF-A3AD-1252A8309BF4}"/>
                </c:ext>
              </c:extLst>
            </c:dLbl>
            <c:dLbl>
              <c:idx val="21"/>
              <c:delete val="1"/>
              <c:extLst>
                <c:ext xmlns:c15="http://schemas.microsoft.com/office/drawing/2012/chart" uri="{CE6537A1-D6FC-4f65-9D91-7224C49458BB}"/>
                <c:ext xmlns:c16="http://schemas.microsoft.com/office/drawing/2014/chart" uri="{C3380CC4-5D6E-409C-BE32-E72D297353CC}">
                  <c16:uniqueId val="{00000069-307E-49EF-A3AD-1252A8309BF4}"/>
                </c:ext>
              </c:extLst>
            </c:dLbl>
            <c:dLbl>
              <c:idx val="22"/>
              <c:delete val="1"/>
              <c:extLst>
                <c:ext xmlns:c15="http://schemas.microsoft.com/office/drawing/2012/chart" uri="{CE6537A1-D6FC-4f65-9D91-7224C49458BB}"/>
                <c:ext xmlns:c16="http://schemas.microsoft.com/office/drawing/2014/chart" uri="{C3380CC4-5D6E-409C-BE32-E72D297353CC}">
                  <c16:uniqueId val="{0000006A-307E-49EF-A3AD-1252A8309BF4}"/>
                </c:ext>
              </c:extLst>
            </c:dLbl>
            <c:dLbl>
              <c:idx val="23"/>
              <c:delete val="1"/>
              <c:extLst>
                <c:ext xmlns:c15="http://schemas.microsoft.com/office/drawing/2012/chart" uri="{CE6537A1-D6FC-4f65-9D91-7224C49458BB}"/>
                <c:ext xmlns:c16="http://schemas.microsoft.com/office/drawing/2014/chart" uri="{C3380CC4-5D6E-409C-BE32-E72D297353CC}">
                  <c16:uniqueId val="{0000006B-307E-49EF-A3AD-1252A8309BF4}"/>
                </c:ext>
              </c:extLst>
            </c:dLbl>
            <c:dLbl>
              <c:idx val="24"/>
              <c:delete val="1"/>
              <c:extLst>
                <c:ext xmlns:c15="http://schemas.microsoft.com/office/drawing/2012/chart" uri="{CE6537A1-D6FC-4f65-9D91-7224C49458BB}"/>
                <c:ext xmlns:c16="http://schemas.microsoft.com/office/drawing/2014/chart" uri="{C3380CC4-5D6E-409C-BE32-E72D297353CC}">
                  <c16:uniqueId val="{0000006C-307E-49EF-A3AD-1252A8309BF4}"/>
                </c:ext>
              </c:extLst>
            </c:dLbl>
            <c:dLbl>
              <c:idx val="25"/>
              <c:delete val="1"/>
              <c:extLst>
                <c:ext xmlns:c15="http://schemas.microsoft.com/office/drawing/2012/chart" uri="{CE6537A1-D6FC-4f65-9D91-7224C49458BB}"/>
                <c:ext xmlns:c16="http://schemas.microsoft.com/office/drawing/2014/chart" uri="{C3380CC4-5D6E-409C-BE32-E72D297353CC}">
                  <c16:uniqueId val="{0000006D-307E-49EF-A3AD-1252A8309BF4}"/>
                </c:ext>
              </c:extLst>
            </c:dLbl>
            <c:dLbl>
              <c:idx val="26"/>
              <c:delete val="1"/>
              <c:extLst>
                <c:ext xmlns:c15="http://schemas.microsoft.com/office/drawing/2012/chart" uri="{CE6537A1-D6FC-4f65-9D91-7224C49458BB}"/>
                <c:ext xmlns:c16="http://schemas.microsoft.com/office/drawing/2014/chart" uri="{C3380CC4-5D6E-409C-BE32-E72D297353CC}">
                  <c16:uniqueId val="{0000006E-307E-49EF-A3AD-1252A8309BF4}"/>
                </c:ext>
              </c:extLst>
            </c:dLbl>
            <c:dLbl>
              <c:idx val="27"/>
              <c:delete val="1"/>
              <c:extLst>
                <c:ext xmlns:c15="http://schemas.microsoft.com/office/drawing/2012/chart" uri="{CE6537A1-D6FC-4f65-9D91-7224C49458BB}"/>
                <c:ext xmlns:c16="http://schemas.microsoft.com/office/drawing/2014/chart" uri="{C3380CC4-5D6E-409C-BE32-E72D297353CC}">
                  <c16:uniqueId val="{0000006F-307E-49EF-A3AD-1252A8309BF4}"/>
                </c:ext>
              </c:extLst>
            </c:dLbl>
            <c:dLbl>
              <c:idx val="28"/>
              <c:delete val="1"/>
              <c:extLst>
                <c:ext xmlns:c15="http://schemas.microsoft.com/office/drawing/2012/chart" uri="{CE6537A1-D6FC-4f65-9D91-7224C49458BB}"/>
                <c:ext xmlns:c16="http://schemas.microsoft.com/office/drawing/2014/chart" uri="{C3380CC4-5D6E-409C-BE32-E72D297353CC}">
                  <c16:uniqueId val="{00000070-307E-49EF-A3AD-1252A8309BF4}"/>
                </c:ext>
              </c:extLst>
            </c:dLbl>
            <c:dLbl>
              <c:idx val="29"/>
              <c:delete val="1"/>
              <c:extLst>
                <c:ext xmlns:c15="http://schemas.microsoft.com/office/drawing/2012/chart" uri="{CE6537A1-D6FC-4f65-9D91-7224C49458BB}"/>
                <c:ext xmlns:c16="http://schemas.microsoft.com/office/drawing/2014/chart" uri="{C3380CC4-5D6E-409C-BE32-E72D297353CC}">
                  <c16:uniqueId val="{00000071-307E-49EF-A3AD-1252A8309BF4}"/>
                </c:ext>
              </c:extLst>
            </c:dLbl>
            <c:dLbl>
              <c:idx val="30"/>
              <c:delete val="1"/>
              <c:extLst>
                <c:ext xmlns:c15="http://schemas.microsoft.com/office/drawing/2012/chart" uri="{CE6537A1-D6FC-4f65-9D91-7224C49458BB}"/>
                <c:ext xmlns:c16="http://schemas.microsoft.com/office/drawing/2014/chart" uri="{C3380CC4-5D6E-409C-BE32-E72D297353CC}">
                  <c16:uniqueId val="{00000072-307E-49EF-A3AD-1252A8309BF4}"/>
                </c:ext>
              </c:extLst>
            </c:dLbl>
            <c:dLbl>
              <c:idx val="31"/>
              <c:delete val="1"/>
              <c:extLst>
                <c:ext xmlns:c15="http://schemas.microsoft.com/office/drawing/2012/chart" uri="{CE6537A1-D6FC-4f65-9D91-7224C49458BB}"/>
                <c:ext xmlns:c16="http://schemas.microsoft.com/office/drawing/2014/chart" uri="{C3380CC4-5D6E-409C-BE32-E72D297353CC}">
                  <c16:uniqueId val="{00000073-307E-49EF-A3AD-1252A8309BF4}"/>
                </c:ext>
              </c:extLst>
            </c:dLbl>
            <c:dLbl>
              <c:idx val="32"/>
              <c:delete val="1"/>
              <c:extLst>
                <c:ext xmlns:c15="http://schemas.microsoft.com/office/drawing/2012/chart" uri="{CE6537A1-D6FC-4f65-9D91-7224C49458BB}"/>
                <c:ext xmlns:c16="http://schemas.microsoft.com/office/drawing/2014/chart" uri="{C3380CC4-5D6E-409C-BE32-E72D297353CC}">
                  <c16:uniqueId val="{00000074-307E-49EF-A3AD-1252A8309BF4}"/>
                </c:ext>
              </c:extLst>
            </c:dLbl>
            <c:dLbl>
              <c:idx val="33"/>
              <c:delete val="1"/>
              <c:extLst>
                <c:ext xmlns:c15="http://schemas.microsoft.com/office/drawing/2012/chart" uri="{CE6537A1-D6FC-4f65-9D91-7224C49458BB}"/>
                <c:ext xmlns:c16="http://schemas.microsoft.com/office/drawing/2014/chart" uri="{C3380CC4-5D6E-409C-BE32-E72D297353CC}">
                  <c16:uniqueId val="{00000075-307E-49EF-A3AD-1252A8309BF4}"/>
                </c:ext>
              </c:extLst>
            </c:dLbl>
            <c:dLbl>
              <c:idx val="34"/>
              <c:layout>
                <c:manualLayout>
                  <c:x val="8.8667213098730588E-3"/>
                  <c:y val="2.5613657749094958E-2"/>
                </c:manualLayout>
              </c:layout>
              <c:spPr>
                <a:noFill/>
                <a:ln w="25400">
                  <a:noFill/>
                </a:ln>
              </c:spPr>
              <c:txPr>
                <a:bodyPr wrap="square" lIns="38100" tIns="19050" rIns="38100" bIns="19050" anchor="ctr">
                  <a:spAutoFit/>
                </a:bodyPr>
                <a:lstStyle/>
                <a:p>
                  <a:pPr>
                    <a:defRPr/>
                  </a:pPr>
                  <a:endParaRPr lang="en-US"/>
                </a:p>
              </c:txPr>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76-307E-49EF-A3AD-1252A8309BF4}"/>
                </c:ext>
              </c:extLst>
            </c:dLbl>
            <c:dLbl>
              <c:idx val="35"/>
              <c:delete val="1"/>
              <c:extLst>
                <c:ext xmlns:c15="http://schemas.microsoft.com/office/drawing/2012/chart" uri="{CE6537A1-D6FC-4f65-9D91-7224C49458BB}"/>
                <c:ext xmlns:c16="http://schemas.microsoft.com/office/drawing/2014/chart" uri="{C3380CC4-5D6E-409C-BE32-E72D297353CC}">
                  <c16:uniqueId val="{00000077-307E-49EF-A3AD-1252A8309BF4}"/>
                </c:ext>
              </c:extLst>
            </c:dLbl>
            <c:dLbl>
              <c:idx val="36"/>
              <c:delete val="1"/>
              <c:extLst>
                <c:ext xmlns:c15="http://schemas.microsoft.com/office/drawing/2012/chart" uri="{CE6537A1-D6FC-4f65-9D91-7224C49458BB}"/>
                <c:ext xmlns:c16="http://schemas.microsoft.com/office/drawing/2014/chart" uri="{C3380CC4-5D6E-409C-BE32-E72D297353CC}">
                  <c16:uniqueId val="{00000078-307E-49EF-A3AD-1252A8309BF4}"/>
                </c:ext>
              </c:extLst>
            </c:dLbl>
            <c:dLbl>
              <c:idx val="37"/>
              <c:delete val="1"/>
              <c:extLst>
                <c:ext xmlns:c15="http://schemas.microsoft.com/office/drawing/2012/chart" uri="{CE6537A1-D6FC-4f65-9D91-7224C49458BB}"/>
                <c:ext xmlns:c16="http://schemas.microsoft.com/office/drawing/2014/chart" uri="{C3380CC4-5D6E-409C-BE32-E72D297353CC}">
                  <c16:uniqueId val="{00000079-307E-49EF-A3AD-1252A8309BF4}"/>
                </c:ext>
              </c:extLst>
            </c:dLbl>
            <c:dLbl>
              <c:idx val="38"/>
              <c:delete val="1"/>
              <c:extLst>
                <c:ext xmlns:c15="http://schemas.microsoft.com/office/drawing/2012/chart" uri="{CE6537A1-D6FC-4f65-9D91-7224C49458BB}"/>
                <c:ext xmlns:c16="http://schemas.microsoft.com/office/drawing/2014/chart" uri="{C3380CC4-5D6E-409C-BE32-E72D297353CC}">
                  <c16:uniqueId val="{0000007A-307E-49EF-A3AD-1252A8309BF4}"/>
                </c:ext>
              </c:extLst>
            </c:dLbl>
            <c:dLbl>
              <c:idx val="39"/>
              <c:delete val="1"/>
              <c:extLst>
                <c:ext xmlns:c15="http://schemas.microsoft.com/office/drawing/2012/chart" uri="{CE6537A1-D6FC-4f65-9D91-7224C49458BB}"/>
                <c:ext xmlns:c16="http://schemas.microsoft.com/office/drawing/2014/chart" uri="{C3380CC4-5D6E-409C-BE32-E72D297353CC}">
                  <c16:uniqueId val="{0000007B-307E-49EF-A3AD-1252A8309BF4}"/>
                </c:ext>
              </c:extLst>
            </c:dLbl>
            <c:dLbl>
              <c:idx val="40"/>
              <c:delete val="1"/>
              <c:extLst>
                <c:ext xmlns:c15="http://schemas.microsoft.com/office/drawing/2012/chart" uri="{CE6537A1-D6FC-4f65-9D91-7224C49458BB}"/>
                <c:ext xmlns:c16="http://schemas.microsoft.com/office/drawing/2014/chart" uri="{C3380CC4-5D6E-409C-BE32-E72D297353CC}">
                  <c16:uniqueId val="{0000007C-307E-49EF-A3AD-1252A8309BF4}"/>
                </c:ext>
              </c:extLst>
            </c:dLbl>
            <c:spPr>
              <a:noFill/>
              <a:ln w="25400">
                <a:noFill/>
              </a:ln>
            </c:sp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numRef>
              <c:f>Consolidate!$C$2:$AQ$2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Consolidate!$C$11:$AQ$11</c:f>
              <c:numCache>
                <c:formatCode>General</c:formatCode>
                <c:ptCount val="41"/>
                <c:pt idx="0">
                  <c:v>-16876.830026484153</c:v>
                </c:pt>
                <c:pt idx="1">
                  <c:v>-18707.642178480251</c:v>
                </c:pt>
                <c:pt idx="2">
                  <c:v>-13631.642794043306</c:v>
                </c:pt>
                <c:pt idx="3">
                  <c:v>-10577.79332537626</c:v>
                </c:pt>
                <c:pt idx="4">
                  <c:v>-9921.2926094068098</c:v>
                </c:pt>
                <c:pt idx="5">
                  <c:v>-7608.3436354797741</c:v>
                </c:pt>
                <c:pt idx="6">
                  <c:v>-6850.1105135545367</c:v>
                </c:pt>
                <c:pt idx="7">
                  <c:v>-6535.8754177456431</c:v>
                </c:pt>
                <c:pt idx="8">
                  <c:v>-4614.3407764823787</c:v>
                </c:pt>
                <c:pt idx="9">
                  <c:v>-3051.4478014030901</c:v>
                </c:pt>
                <c:pt idx="10">
                  <c:v>-19690.750361510218</c:v>
                </c:pt>
                <c:pt idx="11">
                  <c:v>-25829.839054748154</c:v>
                </c:pt>
                <c:pt idx="12">
                  <c:v>-26805.596740176115</c:v>
                </c:pt>
                <c:pt idx="13">
                  <c:v>-28338.288431481007</c:v>
                </c:pt>
                <c:pt idx="14">
                  <c:v>-30722.448242332146</c:v>
                </c:pt>
                <c:pt idx="15">
                  <c:v>-33900.887879528455</c:v>
                </c:pt>
                <c:pt idx="16">
                  <c:v>-38284.751018515744</c:v>
                </c:pt>
                <c:pt idx="17">
                  <c:v>-39791.117124666998</c:v>
                </c:pt>
                <c:pt idx="18">
                  <c:v>-41929.055065809458</c:v>
                </c:pt>
                <c:pt idx="19">
                  <c:v>-44792.46431456499</c:v>
                </c:pt>
                <c:pt idx="20">
                  <c:v>-51842.186821393654</c:v>
                </c:pt>
                <c:pt idx="21">
                  <c:v>-55291.882274093601</c:v>
                </c:pt>
                <c:pt idx="22">
                  <c:v>-58745.007990748301</c:v>
                </c:pt>
                <c:pt idx="23">
                  <c:v>-58890.884710793398</c:v>
                </c:pt>
                <c:pt idx="24">
                  <c:v>-60306.239046824732</c:v>
                </c:pt>
                <c:pt idx="25">
                  <c:v>-61400.921431697978</c:v>
                </c:pt>
                <c:pt idx="26">
                  <c:v>-62044.981499128</c:v>
                </c:pt>
                <c:pt idx="27">
                  <c:v>-64118.35443032581</c:v>
                </c:pt>
                <c:pt idx="28">
                  <c:v>-64209.441460466347</c:v>
                </c:pt>
                <c:pt idx="29">
                  <c:v>-64288.422518070802</c:v>
                </c:pt>
                <c:pt idx="30">
                  <c:v>-64354.868659933025</c:v>
                </c:pt>
                <c:pt idx="31">
                  <c:v>-64408.391895359862</c:v>
                </c:pt>
                <c:pt idx="32">
                  <c:v>-64448.537861682024</c:v>
                </c:pt>
                <c:pt idx="33">
                  <c:v>-64474.859542347767</c:v>
                </c:pt>
                <c:pt idx="34">
                  <c:v>-64486.947028309354</c:v>
                </c:pt>
                <c:pt idx="35">
                  <c:v>-64484.319285935635</c:v>
                </c:pt>
                <c:pt idx="36">
                  <c:v>-64466.541116412933</c:v>
                </c:pt>
                <c:pt idx="37">
                  <c:v>-64433.112501010968</c:v>
                </c:pt>
                <c:pt idx="38">
                  <c:v>-64383.537164256486</c:v>
                </c:pt>
                <c:pt idx="39">
                  <c:v>-64317.291880065313</c:v>
                </c:pt>
                <c:pt idx="40">
                  <c:v>-64233.897766537921</c:v>
                </c:pt>
              </c:numCache>
            </c:numRef>
          </c:val>
          <c:smooth val="0"/>
          <c:extLst>
            <c:ext xmlns:c16="http://schemas.microsoft.com/office/drawing/2014/chart" uri="{C3380CC4-5D6E-409C-BE32-E72D297353CC}">
              <c16:uniqueId val="{0000007D-307E-49EF-A3AD-1252A8309BF4}"/>
            </c:ext>
          </c:extLst>
        </c:ser>
        <c:ser>
          <c:idx val="1"/>
          <c:order val="3"/>
          <c:tx>
            <c:strRef>
              <c:f>Consolidate!$B$4</c:f>
              <c:strCache>
                <c:ptCount val="1"/>
                <c:pt idx="0">
                  <c:v>Baseline net</c:v>
                </c:pt>
              </c:strCache>
            </c:strRef>
          </c:tx>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7E-307E-49EF-A3AD-1252A8309BF4}"/>
                </c:ext>
              </c:extLst>
            </c:dLbl>
            <c:dLbl>
              <c:idx val="1"/>
              <c:delete val="1"/>
              <c:extLst>
                <c:ext xmlns:c15="http://schemas.microsoft.com/office/drawing/2012/chart" uri="{CE6537A1-D6FC-4f65-9D91-7224C49458BB}"/>
                <c:ext xmlns:c16="http://schemas.microsoft.com/office/drawing/2014/chart" uri="{C3380CC4-5D6E-409C-BE32-E72D297353CC}">
                  <c16:uniqueId val="{0000007F-307E-49EF-A3AD-1252A8309BF4}"/>
                </c:ext>
              </c:extLst>
            </c:dLbl>
            <c:dLbl>
              <c:idx val="2"/>
              <c:delete val="1"/>
              <c:extLst>
                <c:ext xmlns:c15="http://schemas.microsoft.com/office/drawing/2012/chart" uri="{CE6537A1-D6FC-4f65-9D91-7224C49458BB}"/>
                <c:ext xmlns:c16="http://schemas.microsoft.com/office/drawing/2014/chart" uri="{C3380CC4-5D6E-409C-BE32-E72D297353CC}">
                  <c16:uniqueId val="{00000080-307E-49EF-A3AD-1252A8309BF4}"/>
                </c:ext>
              </c:extLst>
            </c:dLbl>
            <c:dLbl>
              <c:idx val="3"/>
              <c:delete val="1"/>
              <c:extLst>
                <c:ext xmlns:c15="http://schemas.microsoft.com/office/drawing/2012/chart" uri="{CE6537A1-D6FC-4f65-9D91-7224C49458BB}"/>
                <c:ext xmlns:c16="http://schemas.microsoft.com/office/drawing/2014/chart" uri="{C3380CC4-5D6E-409C-BE32-E72D297353CC}">
                  <c16:uniqueId val="{00000081-307E-49EF-A3AD-1252A8309BF4}"/>
                </c:ext>
              </c:extLst>
            </c:dLbl>
            <c:dLbl>
              <c:idx val="4"/>
              <c:delete val="1"/>
              <c:extLst>
                <c:ext xmlns:c15="http://schemas.microsoft.com/office/drawing/2012/chart" uri="{CE6537A1-D6FC-4f65-9D91-7224C49458BB}"/>
                <c:ext xmlns:c16="http://schemas.microsoft.com/office/drawing/2014/chart" uri="{C3380CC4-5D6E-409C-BE32-E72D297353CC}">
                  <c16:uniqueId val="{00000082-307E-49EF-A3AD-1252A8309BF4}"/>
                </c:ext>
              </c:extLst>
            </c:dLbl>
            <c:dLbl>
              <c:idx val="5"/>
              <c:delete val="1"/>
              <c:extLst>
                <c:ext xmlns:c15="http://schemas.microsoft.com/office/drawing/2012/chart" uri="{CE6537A1-D6FC-4f65-9D91-7224C49458BB}"/>
                <c:ext xmlns:c16="http://schemas.microsoft.com/office/drawing/2014/chart" uri="{C3380CC4-5D6E-409C-BE32-E72D297353CC}">
                  <c16:uniqueId val="{00000083-307E-49EF-A3AD-1252A8309BF4}"/>
                </c:ext>
              </c:extLst>
            </c:dLbl>
            <c:dLbl>
              <c:idx val="6"/>
              <c:delete val="1"/>
              <c:extLst>
                <c:ext xmlns:c15="http://schemas.microsoft.com/office/drawing/2012/chart" uri="{CE6537A1-D6FC-4f65-9D91-7224C49458BB}"/>
                <c:ext xmlns:c16="http://schemas.microsoft.com/office/drawing/2014/chart" uri="{C3380CC4-5D6E-409C-BE32-E72D297353CC}">
                  <c16:uniqueId val="{00000084-307E-49EF-A3AD-1252A8309BF4}"/>
                </c:ext>
              </c:extLst>
            </c:dLbl>
            <c:dLbl>
              <c:idx val="7"/>
              <c:delete val="1"/>
              <c:extLst>
                <c:ext xmlns:c15="http://schemas.microsoft.com/office/drawing/2012/chart" uri="{CE6537A1-D6FC-4f65-9D91-7224C49458BB}"/>
                <c:ext xmlns:c16="http://schemas.microsoft.com/office/drawing/2014/chart" uri="{C3380CC4-5D6E-409C-BE32-E72D297353CC}">
                  <c16:uniqueId val="{00000085-307E-49EF-A3AD-1252A8309BF4}"/>
                </c:ext>
              </c:extLst>
            </c:dLbl>
            <c:dLbl>
              <c:idx val="8"/>
              <c:delete val="1"/>
              <c:extLst>
                <c:ext xmlns:c15="http://schemas.microsoft.com/office/drawing/2012/chart" uri="{CE6537A1-D6FC-4f65-9D91-7224C49458BB}"/>
                <c:ext xmlns:c16="http://schemas.microsoft.com/office/drawing/2014/chart" uri="{C3380CC4-5D6E-409C-BE32-E72D297353CC}">
                  <c16:uniqueId val="{00000086-307E-49EF-A3AD-1252A8309BF4}"/>
                </c:ext>
              </c:extLst>
            </c:dLbl>
            <c:dLbl>
              <c:idx val="9"/>
              <c:delete val="1"/>
              <c:extLst>
                <c:ext xmlns:c15="http://schemas.microsoft.com/office/drawing/2012/chart" uri="{CE6537A1-D6FC-4f65-9D91-7224C49458BB}"/>
                <c:ext xmlns:c16="http://schemas.microsoft.com/office/drawing/2014/chart" uri="{C3380CC4-5D6E-409C-BE32-E72D297353CC}">
                  <c16:uniqueId val="{00000087-307E-49EF-A3AD-1252A8309BF4}"/>
                </c:ext>
              </c:extLst>
            </c:dLbl>
            <c:dLbl>
              <c:idx val="10"/>
              <c:delete val="1"/>
              <c:extLst>
                <c:ext xmlns:c15="http://schemas.microsoft.com/office/drawing/2012/chart" uri="{CE6537A1-D6FC-4f65-9D91-7224C49458BB}"/>
                <c:ext xmlns:c16="http://schemas.microsoft.com/office/drawing/2014/chart" uri="{C3380CC4-5D6E-409C-BE32-E72D297353CC}">
                  <c16:uniqueId val="{00000088-307E-49EF-A3AD-1252A8309BF4}"/>
                </c:ext>
              </c:extLst>
            </c:dLbl>
            <c:dLbl>
              <c:idx val="11"/>
              <c:delete val="1"/>
              <c:extLst>
                <c:ext xmlns:c15="http://schemas.microsoft.com/office/drawing/2012/chart" uri="{CE6537A1-D6FC-4f65-9D91-7224C49458BB}"/>
                <c:ext xmlns:c16="http://schemas.microsoft.com/office/drawing/2014/chart" uri="{C3380CC4-5D6E-409C-BE32-E72D297353CC}">
                  <c16:uniqueId val="{00000089-307E-49EF-A3AD-1252A8309BF4}"/>
                </c:ext>
              </c:extLst>
            </c:dLbl>
            <c:dLbl>
              <c:idx val="12"/>
              <c:delete val="1"/>
              <c:extLst>
                <c:ext xmlns:c15="http://schemas.microsoft.com/office/drawing/2012/chart" uri="{CE6537A1-D6FC-4f65-9D91-7224C49458BB}"/>
                <c:ext xmlns:c16="http://schemas.microsoft.com/office/drawing/2014/chart" uri="{C3380CC4-5D6E-409C-BE32-E72D297353CC}">
                  <c16:uniqueId val="{0000008A-307E-49EF-A3AD-1252A8309BF4}"/>
                </c:ext>
              </c:extLst>
            </c:dLbl>
            <c:dLbl>
              <c:idx val="13"/>
              <c:delete val="1"/>
              <c:extLst>
                <c:ext xmlns:c15="http://schemas.microsoft.com/office/drawing/2012/chart" uri="{CE6537A1-D6FC-4f65-9D91-7224C49458BB}"/>
                <c:ext xmlns:c16="http://schemas.microsoft.com/office/drawing/2014/chart" uri="{C3380CC4-5D6E-409C-BE32-E72D297353CC}">
                  <c16:uniqueId val="{0000008B-307E-49EF-A3AD-1252A8309BF4}"/>
                </c:ext>
              </c:extLst>
            </c:dLbl>
            <c:dLbl>
              <c:idx val="14"/>
              <c:delete val="1"/>
              <c:extLst>
                <c:ext xmlns:c15="http://schemas.microsoft.com/office/drawing/2012/chart" uri="{CE6537A1-D6FC-4f65-9D91-7224C49458BB}"/>
                <c:ext xmlns:c16="http://schemas.microsoft.com/office/drawing/2014/chart" uri="{C3380CC4-5D6E-409C-BE32-E72D297353CC}">
                  <c16:uniqueId val="{0000008C-307E-49EF-A3AD-1252A8309BF4}"/>
                </c:ext>
              </c:extLst>
            </c:dLbl>
            <c:dLbl>
              <c:idx val="15"/>
              <c:delete val="1"/>
              <c:extLst>
                <c:ext xmlns:c15="http://schemas.microsoft.com/office/drawing/2012/chart" uri="{CE6537A1-D6FC-4f65-9D91-7224C49458BB}"/>
                <c:ext xmlns:c16="http://schemas.microsoft.com/office/drawing/2014/chart" uri="{C3380CC4-5D6E-409C-BE32-E72D297353CC}">
                  <c16:uniqueId val="{0000008D-307E-49EF-A3AD-1252A8309BF4}"/>
                </c:ext>
              </c:extLst>
            </c:dLbl>
            <c:dLbl>
              <c:idx val="16"/>
              <c:delete val="1"/>
              <c:extLst>
                <c:ext xmlns:c15="http://schemas.microsoft.com/office/drawing/2012/chart" uri="{CE6537A1-D6FC-4f65-9D91-7224C49458BB}"/>
                <c:ext xmlns:c16="http://schemas.microsoft.com/office/drawing/2014/chart" uri="{C3380CC4-5D6E-409C-BE32-E72D297353CC}">
                  <c16:uniqueId val="{0000008E-307E-49EF-A3AD-1252A8309BF4}"/>
                </c:ext>
              </c:extLst>
            </c:dLbl>
            <c:dLbl>
              <c:idx val="17"/>
              <c:delete val="1"/>
              <c:extLst>
                <c:ext xmlns:c15="http://schemas.microsoft.com/office/drawing/2012/chart" uri="{CE6537A1-D6FC-4f65-9D91-7224C49458BB}"/>
                <c:ext xmlns:c16="http://schemas.microsoft.com/office/drawing/2014/chart" uri="{C3380CC4-5D6E-409C-BE32-E72D297353CC}">
                  <c16:uniqueId val="{0000008F-307E-49EF-A3AD-1252A8309BF4}"/>
                </c:ext>
              </c:extLst>
            </c:dLbl>
            <c:dLbl>
              <c:idx val="18"/>
              <c:delete val="1"/>
              <c:extLst>
                <c:ext xmlns:c15="http://schemas.microsoft.com/office/drawing/2012/chart" uri="{CE6537A1-D6FC-4f65-9D91-7224C49458BB}"/>
                <c:ext xmlns:c16="http://schemas.microsoft.com/office/drawing/2014/chart" uri="{C3380CC4-5D6E-409C-BE32-E72D297353CC}">
                  <c16:uniqueId val="{00000090-307E-49EF-A3AD-1252A8309BF4}"/>
                </c:ext>
              </c:extLst>
            </c:dLbl>
            <c:dLbl>
              <c:idx val="19"/>
              <c:delete val="1"/>
              <c:extLst>
                <c:ext xmlns:c15="http://schemas.microsoft.com/office/drawing/2012/chart" uri="{CE6537A1-D6FC-4f65-9D91-7224C49458BB}"/>
                <c:ext xmlns:c16="http://schemas.microsoft.com/office/drawing/2014/chart" uri="{C3380CC4-5D6E-409C-BE32-E72D297353CC}">
                  <c16:uniqueId val="{00000091-307E-49EF-A3AD-1252A8309BF4}"/>
                </c:ext>
              </c:extLst>
            </c:dLbl>
            <c:dLbl>
              <c:idx val="20"/>
              <c:delete val="1"/>
              <c:extLst>
                <c:ext xmlns:c15="http://schemas.microsoft.com/office/drawing/2012/chart" uri="{CE6537A1-D6FC-4f65-9D91-7224C49458BB}"/>
                <c:ext xmlns:c16="http://schemas.microsoft.com/office/drawing/2014/chart" uri="{C3380CC4-5D6E-409C-BE32-E72D297353CC}">
                  <c16:uniqueId val="{00000092-307E-49EF-A3AD-1252A8309BF4}"/>
                </c:ext>
              </c:extLst>
            </c:dLbl>
            <c:dLbl>
              <c:idx val="21"/>
              <c:delete val="1"/>
              <c:extLst>
                <c:ext xmlns:c15="http://schemas.microsoft.com/office/drawing/2012/chart" uri="{CE6537A1-D6FC-4f65-9D91-7224C49458BB}"/>
                <c:ext xmlns:c16="http://schemas.microsoft.com/office/drawing/2014/chart" uri="{C3380CC4-5D6E-409C-BE32-E72D297353CC}">
                  <c16:uniqueId val="{00000093-307E-49EF-A3AD-1252A8309BF4}"/>
                </c:ext>
              </c:extLst>
            </c:dLbl>
            <c:dLbl>
              <c:idx val="22"/>
              <c:delete val="1"/>
              <c:extLst>
                <c:ext xmlns:c15="http://schemas.microsoft.com/office/drawing/2012/chart" uri="{CE6537A1-D6FC-4f65-9D91-7224C49458BB}"/>
                <c:ext xmlns:c16="http://schemas.microsoft.com/office/drawing/2014/chart" uri="{C3380CC4-5D6E-409C-BE32-E72D297353CC}">
                  <c16:uniqueId val="{00000094-307E-49EF-A3AD-1252A8309BF4}"/>
                </c:ext>
              </c:extLst>
            </c:dLbl>
            <c:dLbl>
              <c:idx val="23"/>
              <c:delete val="1"/>
              <c:extLst>
                <c:ext xmlns:c15="http://schemas.microsoft.com/office/drawing/2012/chart" uri="{CE6537A1-D6FC-4f65-9D91-7224C49458BB}"/>
                <c:ext xmlns:c16="http://schemas.microsoft.com/office/drawing/2014/chart" uri="{C3380CC4-5D6E-409C-BE32-E72D297353CC}">
                  <c16:uniqueId val="{00000095-307E-49EF-A3AD-1252A8309BF4}"/>
                </c:ext>
              </c:extLst>
            </c:dLbl>
            <c:dLbl>
              <c:idx val="24"/>
              <c:delete val="1"/>
              <c:extLst>
                <c:ext xmlns:c15="http://schemas.microsoft.com/office/drawing/2012/chart" uri="{CE6537A1-D6FC-4f65-9D91-7224C49458BB}"/>
                <c:ext xmlns:c16="http://schemas.microsoft.com/office/drawing/2014/chart" uri="{C3380CC4-5D6E-409C-BE32-E72D297353CC}">
                  <c16:uniqueId val="{00000096-307E-49EF-A3AD-1252A8309BF4}"/>
                </c:ext>
              </c:extLst>
            </c:dLbl>
            <c:dLbl>
              <c:idx val="25"/>
              <c:delete val="1"/>
              <c:extLst>
                <c:ext xmlns:c15="http://schemas.microsoft.com/office/drawing/2012/chart" uri="{CE6537A1-D6FC-4f65-9D91-7224C49458BB}"/>
                <c:ext xmlns:c16="http://schemas.microsoft.com/office/drawing/2014/chart" uri="{C3380CC4-5D6E-409C-BE32-E72D297353CC}">
                  <c16:uniqueId val="{00000097-307E-49EF-A3AD-1252A8309BF4}"/>
                </c:ext>
              </c:extLst>
            </c:dLbl>
            <c:dLbl>
              <c:idx val="26"/>
              <c:delete val="1"/>
              <c:extLst>
                <c:ext xmlns:c15="http://schemas.microsoft.com/office/drawing/2012/chart" uri="{CE6537A1-D6FC-4f65-9D91-7224C49458BB}"/>
                <c:ext xmlns:c16="http://schemas.microsoft.com/office/drawing/2014/chart" uri="{C3380CC4-5D6E-409C-BE32-E72D297353CC}">
                  <c16:uniqueId val="{00000098-307E-49EF-A3AD-1252A8309BF4}"/>
                </c:ext>
              </c:extLst>
            </c:dLbl>
            <c:dLbl>
              <c:idx val="27"/>
              <c:delete val="1"/>
              <c:extLst>
                <c:ext xmlns:c15="http://schemas.microsoft.com/office/drawing/2012/chart" uri="{CE6537A1-D6FC-4f65-9D91-7224C49458BB}"/>
                <c:ext xmlns:c16="http://schemas.microsoft.com/office/drawing/2014/chart" uri="{C3380CC4-5D6E-409C-BE32-E72D297353CC}">
                  <c16:uniqueId val="{00000099-307E-49EF-A3AD-1252A8309BF4}"/>
                </c:ext>
              </c:extLst>
            </c:dLbl>
            <c:dLbl>
              <c:idx val="28"/>
              <c:delete val="1"/>
              <c:extLst>
                <c:ext xmlns:c15="http://schemas.microsoft.com/office/drawing/2012/chart" uri="{CE6537A1-D6FC-4f65-9D91-7224C49458BB}"/>
                <c:ext xmlns:c16="http://schemas.microsoft.com/office/drawing/2014/chart" uri="{C3380CC4-5D6E-409C-BE32-E72D297353CC}">
                  <c16:uniqueId val="{0000009A-307E-49EF-A3AD-1252A8309BF4}"/>
                </c:ext>
              </c:extLst>
            </c:dLbl>
            <c:dLbl>
              <c:idx val="29"/>
              <c:delete val="1"/>
              <c:extLst>
                <c:ext xmlns:c15="http://schemas.microsoft.com/office/drawing/2012/chart" uri="{CE6537A1-D6FC-4f65-9D91-7224C49458BB}"/>
                <c:ext xmlns:c16="http://schemas.microsoft.com/office/drawing/2014/chart" uri="{C3380CC4-5D6E-409C-BE32-E72D297353CC}">
                  <c16:uniqueId val="{0000009B-307E-49EF-A3AD-1252A8309BF4}"/>
                </c:ext>
              </c:extLst>
            </c:dLbl>
            <c:dLbl>
              <c:idx val="30"/>
              <c:delete val="1"/>
              <c:extLst>
                <c:ext xmlns:c15="http://schemas.microsoft.com/office/drawing/2012/chart" uri="{CE6537A1-D6FC-4f65-9D91-7224C49458BB}"/>
                <c:ext xmlns:c16="http://schemas.microsoft.com/office/drawing/2014/chart" uri="{C3380CC4-5D6E-409C-BE32-E72D297353CC}">
                  <c16:uniqueId val="{0000009C-307E-49EF-A3AD-1252A8309BF4}"/>
                </c:ext>
              </c:extLst>
            </c:dLbl>
            <c:dLbl>
              <c:idx val="31"/>
              <c:delete val="1"/>
              <c:extLst>
                <c:ext xmlns:c15="http://schemas.microsoft.com/office/drawing/2012/chart" uri="{CE6537A1-D6FC-4f65-9D91-7224C49458BB}"/>
                <c:ext xmlns:c16="http://schemas.microsoft.com/office/drawing/2014/chart" uri="{C3380CC4-5D6E-409C-BE32-E72D297353CC}">
                  <c16:uniqueId val="{0000009D-307E-49EF-A3AD-1252A8309BF4}"/>
                </c:ext>
              </c:extLst>
            </c:dLbl>
            <c:dLbl>
              <c:idx val="32"/>
              <c:delete val="1"/>
              <c:extLst>
                <c:ext xmlns:c15="http://schemas.microsoft.com/office/drawing/2012/chart" uri="{CE6537A1-D6FC-4f65-9D91-7224C49458BB}"/>
                <c:ext xmlns:c16="http://schemas.microsoft.com/office/drawing/2014/chart" uri="{C3380CC4-5D6E-409C-BE32-E72D297353CC}">
                  <c16:uniqueId val="{0000009E-307E-49EF-A3AD-1252A8309BF4}"/>
                </c:ext>
              </c:extLst>
            </c:dLbl>
            <c:dLbl>
              <c:idx val="33"/>
              <c:delete val="1"/>
              <c:extLst>
                <c:ext xmlns:c15="http://schemas.microsoft.com/office/drawing/2012/chart" uri="{CE6537A1-D6FC-4f65-9D91-7224C49458BB}"/>
                <c:ext xmlns:c16="http://schemas.microsoft.com/office/drawing/2014/chart" uri="{C3380CC4-5D6E-409C-BE32-E72D297353CC}">
                  <c16:uniqueId val="{0000009F-307E-49EF-A3AD-1252A8309BF4}"/>
                </c:ext>
              </c:extLst>
            </c:dLbl>
            <c:dLbl>
              <c:idx val="34"/>
              <c:delete val="1"/>
              <c:extLst>
                <c:ext xmlns:c15="http://schemas.microsoft.com/office/drawing/2012/chart" uri="{CE6537A1-D6FC-4f65-9D91-7224C49458BB}"/>
                <c:ext xmlns:c16="http://schemas.microsoft.com/office/drawing/2014/chart" uri="{C3380CC4-5D6E-409C-BE32-E72D297353CC}">
                  <c16:uniqueId val="{000000A0-307E-49EF-A3AD-1252A8309BF4}"/>
                </c:ext>
              </c:extLst>
            </c:dLbl>
            <c:dLbl>
              <c:idx val="35"/>
              <c:delete val="1"/>
              <c:extLst>
                <c:ext xmlns:c15="http://schemas.microsoft.com/office/drawing/2012/chart" uri="{CE6537A1-D6FC-4f65-9D91-7224C49458BB}"/>
                <c:ext xmlns:c16="http://schemas.microsoft.com/office/drawing/2014/chart" uri="{C3380CC4-5D6E-409C-BE32-E72D297353CC}">
                  <c16:uniqueId val="{000000A1-307E-49EF-A3AD-1252A8309BF4}"/>
                </c:ext>
              </c:extLst>
            </c:dLbl>
            <c:dLbl>
              <c:idx val="36"/>
              <c:delete val="1"/>
              <c:extLst>
                <c:ext xmlns:c15="http://schemas.microsoft.com/office/drawing/2012/chart" uri="{CE6537A1-D6FC-4f65-9D91-7224C49458BB}"/>
                <c:ext xmlns:c16="http://schemas.microsoft.com/office/drawing/2014/chart" uri="{C3380CC4-5D6E-409C-BE32-E72D297353CC}">
                  <c16:uniqueId val="{000000A2-307E-49EF-A3AD-1252A8309BF4}"/>
                </c:ext>
              </c:extLst>
            </c:dLbl>
            <c:dLbl>
              <c:idx val="37"/>
              <c:delete val="1"/>
              <c:extLst>
                <c:ext xmlns:c15="http://schemas.microsoft.com/office/drawing/2012/chart" uri="{CE6537A1-D6FC-4f65-9D91-7224C49458BB}"/>
                <c:ext xmlns:c16="http://schemas.microsoft.com/office/drawing/2014/chart" uri="{C3380CC4-5D6E-409C-BE32-E72D297353CC}">
                  <c16:uniqueId val="{000000A3-307E-49EF-A3AD-1252A8309BF4}"/>
                </c:ext>
              </c:extLst>
            </c:dLbl>
            <c:dLbl>
              <c:idx val="38"/>
              <c:delete val="1"/>
              <c:extLst>
                <c:ext xmlns:c15="http://schemas.microsoft.com/office/drawing/2012/chart" uri="{CE6537A1-D6FC-4f65-9D91-7224C49458BB}"/>
                <c:ext xmlns:c16="http://schemas.microsoft.com/office/drawing/2014/chart" uri="{C3380CC4-5D6E-409C-BE32-E72D297353CC}">
                  <c16:uniqueId val="{000000A4-307E-49EF-A3AD-1252A8309BF4}"/>
                </c:ext>
              </c:extLst>
            </c:dLbl>
            <c:dLbl>
              <c:idx val="39"/>
              <c:delete val="1"/>
              <c:extLst>
                <c:ext xmlns:c15="http://schemas.microsoft.com/office/drawing/2012/chart" uri="{CE6537A1-D6FC-4f65-9D91-7224C49458BB}"/>
                <c:ext xmlns:c16="http://schemas.microsoft.com/office/drawing/2014/chart" uri="{C3380CC4-5D6E-409C-BE32-E72D297353CC}">
                  <c16:uniqueId val="{000000A5-307E-49EF-A3AD-1252A8309BF4}"/>
                </c:ext>
              </c:extLst>
            </c:dLbl>
            <c:dLbl>
              <c:idx val="40"/>
              <c:layout>
                <c:manualLayout>
                  <c:x val="0"/>
                  <c:y val="-4.2689429581825103E-2"/>
                </c:manualLayout>
              </c:layout>
              <c:spPr>
                <a:noFill/>
                <a:ln w="25400">
                  <a:noFill/>
                </a:ln>
              </c:spPr>
              <c:txPr>
                <a:bodyPr wrap="square" lIns="38100" tIns="19050" rIns="38100" bIns="19050" anchor="ctr">
                  <a:spAutoFit/>
                </a:bodyPr>
                <a:lstStyle/>
                <a:p>
                  <a:pPr>
                    <a:defRPr/>
                  </a:pPr>
                  <a:endParaRPr lang="en-US"/>
                </a:p>
              </c:txPr>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A6-307E-49EF-A3AD-1252A8309BF4}"/>
                </c:ext>
              </c:extLst>
            </c:dLbl>
            <c:spPr>
              <a:noFill/>
              <a:ln w="25400">
                <a:noFill/>
              </a:ln>
            </c:sp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numRef>
              <c:f>Consolidate!$C$2:$AQ$2</c:f>
              <c:numCache>
                <c:formatCode>General</c:formatCode>
                <c:ptCount val="41"/>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pt idx="15">
                  <c:v>2025</c:v>
                </c:pt>
                <c:pt idx="16">
                  <c:v>2026</c:v>
                </c:pt>
                <c:pt idx="17">
                  <c:v>2027</c:v>
                </c:pt>
                <c:pt idx="18">
                  <c:v>2028</c:v>
                </c:pt>
                <c:pt idx="19">
                  <c:v>2029</c:v>
                </c:pt>
                <c:pt idx="20">
                  <c:v>2030</c:v>
                </c:pt>
                <c:pt idx="21">
                  <c:v>2031</c:v>
                </c:pt>
                <c:pt idx="22">
                  <c:v>2032</c:v>
                </c:pt>
                <c:pt idx="23">
                  <c:v>2033</c:v>
                </c:pt>
                <c:pt idx="24">
                  <c:v>2034</c:v>
                </c:pt>
                <c:pt idx="25">
                  <c:v>2035</c:v>
                </c:pt>
                <c:pt idx="26">
                  <c:v>2036</c:v>
                </c:pt>
                <c:pt idx="27">
                  <c:v>2037</c:v>
                </c:pt>
                <c:pt idx="28">
                  <c:v>2038</c:v>
                </c:pt>
                <c:pt idx="29">
                  <c:v>2039</c:v>
                </c:pt>
                <c:pt idx="30">
                  <c:v>2040</c:v>
                </c:pt>
                <c:pt idx="31">
                  <c:v>2041</c:v>
                </c:pt>
                <c:pt idx="32">
                  <c:v>2042</c:v>
                </c:pt>
                <c:pt idx="33">
                  <c:v>2043</c:v>
                </c:pt>
                <c:pt idx="34">
                  <c:v>2044</c:v>
                </c:pt>
                <c:pt idx="35">
                  <c:v>2045</c:v>
                </c:pt>
                <c:pt idx="36">
                  <c:v>2046</c:v>
                </c:pt>
                <c:pt idx="37">
                  <c:v>2047</c:v>
                </c:pt>
                <c:pt idx="38">
                  <c:v>2048</c:v>
                </c:pt>
                <c:pt idx="39">
                  <c:v>2049</c:v>
                </c:pt>
                <c:pt idx="40">
                  <c:v>2050</c:v>
                </c:pt>
              </c:numCache>
            </c:numRef>
          </c:cat>
          <c:val>
            <c:numRef>
              <c:f>Consolidate!$C$4:$AQ$4</c:f>
              <c:numCache>
                <c:formatCode>General</c:formatCode>
                <c:ptCount val="41"/>
                <c:pt idx="0">
                  <c:v>-16876.830026484153</c:v>
                </c:pt>
                <c:pt idx="1">
                  <c:v>-18707.642178480251</c:v>
                </c:pt>
                <c:pt idx="2">
                  <c:v>-13631.642794043306</c:v>
                </c:pt>
                <c:pt idx="3">
                  <c:v>-10577.77344843527</c:v>
                </c:pt>
                <c:pt idx="4">
                  <c:v>-8470.7475928658241</c:v>
                </c:pt>
                <c:pt idx="5">
                  <c:v>-6157.7127621787804</c:v>
                </c:pt>
                <c:pt idx="6">
                  <c:v>-4897.0587082535494</c:v>
                </c:pt>
                <c:pt idx="7">
                  <c:v>-4614.1913124446583</c:v>
                </c:pt>
                <c:pt idx="8">
                  <c:v>-2652.5039149914519</c:v>
                </c:pt>
                <c:pt idx="9">
                  <c:v>-685.13488272477116</c:v>
                </c:pt>
                <c:pt idx="10">
                  <c:v>1288.2128580808494</c:v>
                </c:pt>
                <c:pt idx="11">
                  <c:v>3267.797416962625</c:v>
                </c:pt>
                <c:pt idx="12">
                  <c:v>5253.8780320810474</c:v>
                </c:pt>
                <c:pt idx="13">
                  <c:v>7246.7383591049147</c:v>
                </c:pt>
                <c:pt idx="14">
                  <c:v>9246.6981665825297</c:v>
                </c:pt>
                <c:pt idx="15">
                  <c:v>11254.025455091294</c:v>
                </c:pt>
                <c:pt idx="16">
                  <c:v>13269.032948699431</c:v>
                </c:pt>
                <c:pt idx="17">
                  <c:v>15292.038203543605</c:v>
                </c:pt>
                <c:pt idx="18">
                  <c:v>17323.318930196576</c:v>
                </c:pt>
                <c:pt idx="19">
                  <c:v>19363.186302436457</c:v>
                </c:pt>
                <c:pt idx="20">
                  <c:v>21411.935076603186</c:v>
                </c:pt>
                <c:pt idx="21">
                  <c:v>23469.926907914793</c:v>
                </c:pt>
                <c:pt idx="22">
                  <c:v>25537.474091375188</c:v>
                </c:pt>
                <c:pt idx="23">
                  <c:v>27614.936079272753</c:v>
                </c:pt>
                <c:pt idx="24">
                  <c:v>29702.653230415599</c:v>
                </c:pt>
                <c:pt idx="25">
                  <c:v>31800.970143111786</c:v>
                </c:pt>
                <c:pt idx="26">
                  <c:v>33910.300589229824</c:v>
                </c:pt>
                <c:pt idx="27">
                  <c:v>36030.998083872008</c:v>
                </c:pt>
                <c:pt idx="28">
                  <c:v>38163.452425491923</c:v>
                </c:pt>
                <c:pt idx="29">
                  <c:v>40308.058258188554</c:v>
                </c:pt>
                <c:pt idx="30">
                  <c:v>42465.246832276127</c:v>
                </c:pt>
                <c:pt idx="31">
                  <c:v>44635.399787368937</c:v>
                </c:pt>
                <c:pt idx="32">
                  <c:v>46818.970503147924</c:v>
                </c:pt>
                <c:pt idx="33">
                  <c:v>49016.404700507483</c:v>
                </c:pt>
                <c:pt idx="34">
                  <c:v>51228.110627947884</c:v>
                </c:pt>
                <c:pt idx="35">
                  <c:v>53454.567236846589</c:v>
                </c:pt>
                <c:pt idx="36">
                  <c:v>55696.226397383172</c:v>
                </c:pt>
                <c:pt idx="37">
                  <c:v>57953.579490001895</c:v>
                </c:pt>
                <c:pt idx="38">
                  <c:v>60227.122827637999</c:v>
                </c:pt>
                <c:pt idx="39">
                  <c:v>62517.379471111795</c:v>
                </c:pt>
                <c:pt idx="40">
                  <c:v>64824.827858549092</c:v>
                </c:pt>
              </c:numCache>
            </c:numRef>
          </c:val>
          <c:smooth val="0"/>
          <c:extLst>
            <c:ext xmlns:c16="http://schemas.microsoft.com/office/drawing/2014/chart" uri="{C3380CC4-5D6E-409C-BE32-E72D297353CC}">
              <c16:uniqueId val="{000000A7-307E-49EF-A3AD-1252A8309BF4}"/>
            </c:ext>
          </c:extLst>
        </c:ser>
        <c:dLbls>
          <c:showLegendKey val="0"/>
          <c:showVal val="0"/>
          <c:showCatName val="0"/>
          <c:showSerName val="0"/>
          <c:showPercent val="0"/>
          <c:showBubbleSize val="0"/>
        </c:dLbls>
        <c:smooth val="0"/>
        <c:axId val="348782592"/>
        <c:axId val="348784128"/>
      </c:lineChart>
      <c:catAx>
        <c:axId val="348782592"/>
        <c:scaling>
          <c:orientation val="minMax"/>
        </c:scaling>
        <c:delete val="0"/>
        <c:axPos val="b"/>
        <c:numFmt formatCode="General" sourceLinked="1"/>
        <c:majorTickMark val="out"/>
        <c:minorTickMark val="none"/>
        <c:tickLblPos val="nextTo"/>
        <c:spPr>
          <a:noFill/>
          <a:ln w="9525" cap="flat" cmpd="sng" algn="ctr">
            <a:solidFill>
              <a:schemeClr val="accent2">
                <a:lumMod val="75000"/>
              </a:schemeClr>
            </a:solidFill>
            <a:round/>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348784128"/>
        <c:crosses val="autoZero"/>
        <c:auto val="1"/>
        <c:lblAlgn val="ctr"/>
        <c:lblOffset val="100"/>
        <c:noMultiLvlLbl val="0"/>
      </c:catAx>
      <c:valAx>
        <c:axId val="3487841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a:solidFill>
                <a:schemeClr val="bg1"/>
              </a:solidFill>
            </a:ln>
          </c:spPr>
        </c:min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GHGs (Gg CO2 eq)</a:t>
                </a:r>
              </a:p>
            </c:rich>
          </c:tx>
          <c:overlay val="0"/>
          <c:spPr>
            <a:noFill/>
            <a:ln w="25400">
              <a:noFill/>
            </a:ln>
          </c:spPr>
        </c:title>
        <c:numFmt formatCode="General" sourceLinked="1"/>
        <c:majorTickMark val="out"/>
        <c:minorTickMark val="none"/>
        <c:tickLblPos val="nextTo"/>
        <c:spPr>
          <a:ln w="6350">
            <a:solidFill>
              <a:schemeClr val="accent2">
                <a:lumMod val="75000"/>
              </a:schemeClr>
            </a:solidFill>
          </a:ln>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348782592"/>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Consolidate!$B$53</c:f>
              <c:strCache>
                <c:ptCount val="1"/>
                <c:pt idx="0">
                  <c:v>NDC targert</c:v>
                </c:pt>
              </c:strCache>
            </c:strRef>
          </c:tx>
          <c:spPr>
            <a:ln w="19050" cap="rnd">
              <a:solidFill>
                <a:schemeClr val="accent5">
                  <a:lumMod val="50000"/>
                </a:schemeClr>
              </a:solidFill>
              <a:prstDash val="solid"/>
              <a:round/>
            </a:ln>
            <a:effectLst/>
          </c:spPr>
          <c:marker>
            <c:symbol val="circle"/>
            <c:size val="5"/>
            <c:spPr>
              <a:solidFill>
                <a:schemeClr val="accent1"/>
              </a:solidFill>
              <a:ln w="9525">
                <a:solidFill>
                  <a:schemeClr val="accent1"/>
                </a:solidFill>
              </a:ln>
              <a:effectLst/>
            </c:spPr>
          </c:marker>
          <c:dLbls>
            <c:dLbl>
              <c:idx val="0"/>
              <c:layout>
                <c:manualLayout>
                  <c:x val="-2.389486260454046E-3"/>
                  <c:y val="-3.5087719298245612E-2"/>
                </c:manualLayout>
              </c:layout>
              <c:dLblPos val="r"/>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ACE4-450D-B70E-472A3BB63722}"/>
                </c:ext>
              </c:extLst>
            </c:dLbl>
            <c:dLbl>
              <c:idx val="1"/>
              <c:delete val="1"/>
              <c:extLst>
                <c:ext xmlns:c15="http://schemas.microsoft.com/office/drawing/2012/chart" uri="{CE6537A1-D6FC-4f65-9D91-7224C49458BB}"/>
                <c:ext xmlns:c16="http://schemas.microsoft.com/office/drawing/2014/chart" uri="{C3380CC4-5D6E-409C-BE32-E72D297353CC}">
                  <c16:uniqueId val="{00000001-ACE4-450D-B70E-472A3BB63722}"/>
                </c:ext>
              </c:extLst>
            </c:dLbl>
            <c:dLbl>
              <c:idx val="2"/>
              <c:delete val="1"/>
              <c:extLst>
                <c:ext xmlns:c15="http://schemas.microsoft.com/office/drawing/2012/chart" uri="{CE6537A1-D6FC-4f65-9D91-7224C49458BB}"/>
                <c:ext xmlns:c16="http://schemas.microsoft.com/office/drawing/2014/chart" uri="{C3380CC4-5D6E-409C-BE32-E72D297353CC}">
                  <c16:uniqueId val="{00000002-ACE4-450D-B70E-472A3BB63722}"/>
                </c:ext>
              </c:extLst>
            </c:dLbl>
            <c:dLbl>
              <c:idx val="3"/>
              <c:delete val="1"/>
              <c:extLst>
                <c:ext xmlns:c15="http://schemas.microsoft.com/office/drawing/2012/chart" uri="{CE6537A1-D6FC-4f65-9D91-7224C49458BB}"/>
                <c:ext xmlns:c16="http://schemas.microsoft.com/office/drawing/2014/chart" uri="{C3380CC4-5D6E-409C-BE32-E72D297353CC}">
                  <c16:uniqueId val="{00000003-ACE4-450D-B70E-472A3BB63722}"/>
                </c:ext>
              </c:extLst>
            </c:dLbl>
            <c:dLbl>
              <c:idx val="4"/>
              <c:delete val="1"/>
              <c:extLst>
                <c:ext xmlns:c15="http://schemas.microsoft.com/office/drawing/2012/chart" uri="{CE6537A1-D6FC-4f65-9D91-7224C49458BB}"/>
                <c:ext xmlns:c16="http://schemas.microsoft.com/office/drawing/2014/chart" uri="{C3380CC4-5D6E-409C-BE32-E72D297353CC}">
                  <c16:uniqueId val="{00000004-ACE4-450D-B70E-472A3BB63722}"/>
                </c:ext>
              </c:extLst>
            </c:dLbl>
            <c:dLbl>
              <c:idx val="5"/>
              <c:delete val="1"/>
              <c:extLst>
                <c:ext xmlns:c15="http://schemas.microsoft.com/office/drawing/2012/chart" uri="{CE6537A1-D6FC-4f65-9D91-7224C49458BB}"/>
                <c:ext xmlns:c16="http://schemas.microsoft.com/office/drawing/2014/chart" uri="{C3380CC4-5D6E-409C-BE32-E72D297353CC}">
                  <c16:uniqueId val="{00000005-ACE4-450D-B70E-472A3BB63722}"/>
                </c:ext>
              </c:extLst>
            </c:dLbl>
            <c:dLbl>
              <c:idx val="6"/>
              <c:delete val="1"/>
              <c:extLst>
                <c:ext xmlns:c15="http://schemas.microsoft.com/office/drawing/2012/chart" uri="{CE6537A1-D6FC-4f65-9D91-7224C49458BB}"/>
                <c:ext xmlns:c16="http://schemas.microsoft.com/office/drawing/2014/chart" uri="{C3380CC4-5D6E-409C-BE32-E72D297353CC}">
                  <c16:uniqueId val="{00000006-ACE4-450D-B70E-472A3BB63722}"/>
                </c:ext>
              </c:extLst>
            </c:dLbl>
            <c:dLbl>
              <c:idx val="7"/>
              <c:delete val="1"/>
              <c:extLst>
                <c:ext xmlns:c15="http://schemas.microsoft.com/office/drawing/2012/chart" uri="{CE6537A1-D6FC-4f65-9D91-7224C49458BB}"/>
                <c:ext xmlns:c16="http://schemas.microsoft.com/office/drawing/2014/chart" uri="{C3380CC4-5D6E-409C-BE32-E72D297353CC}">
                  <c16:uniqueId val="{00000007-ACE4-450D-B70E-472A3BB63722}"/>
                </c:ext>
              </c:extLst>
            </c:dLbl>
            <c:dLbl>
              <c:idx val="8"/>
              <c:delete val="1"/>
              <c:extLst>
                <c:ext xmlns:c15="http://schemas.microsoft.com/office/drawing/2012/chart" uri="{CE6537A1-D6FC-4f65-9D91-7224C49458BB}"/>
                <c:ext xmlns:c16="http://schemas.microsoft.com/office/drawing/2014/chart" uri="{C3380CC4-5D6E-409C-BE32-E72D297353CC}">
                  <c16:uniqueId val="{00000008-ACE4-450D-B70E-472A3BB63722}"/>
                </c:ext>
              </c:extLst>
            </c:dLbl>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numRef>
              <c:f>Consolidate!$C$52:$K$52</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Consolidate!$C$53:$K$53</c:f>
              <c:numCache>
                <c:formatCode>#,##0</c:formatCode>
                <c:ptCount val="9"/>
                <c:pt idx="0">
                  <c:v>38000</c:v>
                </c:pt>
                <c:pt idx="1">
                  <c:v>38000</c:v>
                </c:pt>
                <c:pt idx="2">
                  <c:v>38000</c:v>
                </c:pt>
                <c:pt idx="3">
                  <c:v>38000</c:v>
                </c:pt>
                <c:pt idx="4">
                  <c:v>38000</c:v>
                </c:pt>
                <c:pt idx="5">
                  <c:v>38000</c:v>
                </c:pt>
                <c:pt idx="6">
                  <c:v>38000</c:v>
                </c:pt>
                <c:pt idx="7">
                  <c:v>38000</c:v>
                </c:pt>
                <c:pt idx="8">
                  <c:v>38000</c:v>
                </c:pt>
              </c:numCache>
            </c:numRef>
          </c:val>
          <c:smooth val="1"/>
          <c:extLst>
            <c:ext xmlns:c16="http://schemas.microsoft.com/office/drawing/2014/chart" uri="{C3380CC4-5D6E-409C-BE32-E72D297353CC}">
              <c16:uniqueId val="{00000009-ACE4-450D-B70E-472A3BB63722}"/>
            </c:ext>
          </c:extLst>
        </c:ser>
        <c:ser>
          <c:idx val="1"/>
          <c:order val="1"/>
          <c:tx>
            <c:strRef>
              <c:f>Consolidate!$B$54</c:f>
              <c:strCache>
                <c:ptCount val="1"/>
                <c:pt idx="0">
                  <c:v>Scenario 1</c:v>
                </c:pt>
              </c:strCache>
            </c:strRef>
          </c:tx>
          <c:spPr>
            <a:ln w="28575" cap="rnd">
              <a:solidFill>
                <a:schemeClr val="accent2"/>
              </a:solidFill>
              <a:prstDash val="sysDot"/>
              <a:round/>
            </a:ln>
            <a:effectLst/>
          </c:spPr>
          <c:marker>
            <c:symbol val="circle"/>
            <c:size val="5"/>
            <c:spPr>
              <a:solidFill>
                <a:schemeClr val="accent2"/>
              </a:solidFill>
              <a:ln w="9525">
                <a:solidFill>
                  <a:schemeClr val="accent2"/>
                </a:solidFill>
                <a:beve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A-ACE4-450D-B70E-472A3BB63722}"/>
                </c:ext>
              </c:extLst>
            </c:dLbl>
            <c:dLbl>
              <c:idx val="1"/>
              <c:delete val="1"/>
              <c:extLst>
                <c:ext xmlns:c15="http://schemas.microsoft.com/office/drawing/2012/chart" uri="{CE6537A1-D6FC-4f65-9D91-7224C49458BB}"/>
                <c:ext xmlns:c16="http://schemas.microsoft.com/office/drawing/2014/chart" uri="{C3380CC4-5D6E-409C-BE32-E72D297353CC}">
                  <c16:uniqueId val="{0000000B-ACE4-450D-B70E-472A3BB63722}"/>
                </c:ext>
              </c:extLst>
            </c:dLbl>
            <c:dLbl>
              <c:idx val="2"/>
              <c:delete val="1"/>
              <c:extLst>
                <c:ext xmlns:c15="http://schemas.microsoft.com/office/drawing/2012/chart" uri="{CE6537A1-D6FC-4f65-9D91-7224C49458BB}"/>
                <c:ext xmlns:c16="http://schemas.microsoft.com/office/drawing/2014/chart" uri="{C3380CC4-5D6E-409C-BE32-E72D297353CC}">
                  <c16:uniqueId val="{0000000C-ACE4-450D-B70E-472A3BB63722}"/>
                </c:ext>
              </c:extLst>
            </c:dLbl>
            <c:dLbl>
              <c:idx val="3"/>
              <c:delete val="1"/>
              <c:extLst>
                <c:ext xmlns:c15="http://schemas.microsoft.com/office/drawing/2012/chart" uri="{CE6537A1-D6FC-4f65-9D91-7224C49458BB}"/>
                <c:ext xmlns:c16="http://schemas.microsoft.com/office/drawing/2014/chart" uri="{C3380CC4-5D6E-409C-BE32-E72D297353CC}">
                  <c16:uniqueId val="{0000000D-ACE4-450D-B70E-472A3BB63722}"/>
                </c:ext>
              </c:extLst>
            </c:dLbl>
            <c:dLbl>
              <c:idx val="4"/>
              <c:delete val="1"/>
              <c:extLst>
                <c:ext xmlns:c15="http://schemas.microsoft.com/office/drawing/2012/chart" uri="{CE6537A1-D6FC-4f65-9D91-7224C49458BB}"/>
                <c:ext xmlns:c16="http://schemas.microsoft.com/office/drawing/2014/chart" uri="{C3380CC4-5D6E-409C-BE32-E72D297353CC}">
                  <c16:uniqueId val="{0000000E-ACE4-450D-B70E-472A3BB63722}"/>
                </c:ext>
              </c:extLst>
            </c:dLbl>
            <c:dLbl>
              <c:idx val="5"/>
              <c:delete val="1"/>
              <c:extLst>
                <c:ext xmlns:c15="http://schemas.microsoft.com/office/drawing/2012/chart" uri="{CE6537A1-D6FC-4f65-9D91-7224C49458BB}"/>
                <c:ext xmlns:c16="http://schemas.microsoft.com/office/drawing/2014/chart" uri="{C3380CC4-5D6E-409C-BE32-E72D297353CC}">
                  <c16:uniqueId val="{0000000F-ACE4-450D-B70E-472A3BB63722}"/>
                </c:ext>
              </c:extLst>
            </c:dLbl>
            <c:dLbl>
              <c:idx val="6"/>
              <c:delete val="1"/>
              <c:extLst>
                <c:ext xmlns:c15="http://schemas.microsoft.com/office/drawing/2012/chart" uri="{CE6537A1-D6FC-4f65-9D91-7224C49458BB}"/>
                <c:ext xmlns:c16="http://schemas.microsoft.com/office/drawing/2014/chart" uri="{C3380CC4-5D6E-409C-BE32-E72D297353CC}">
                  <c16:uniqueId val="{00000010-ACE4-450D-B70E-472A3BB63722}"/>
                </c:ext>
              </c:extLst>
            </c:dLbl>
            <c:dLbl>
              <c:idx val="7"/>
              <c:layout>
                <c:manualLayout>
                  <c:x val="0"/>
                  <c:y val="-3.1189083820662766E-2"/>
                </c:manualLayout>
              </c:layout>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11-ACE4-450D-B70E-472A3BB63722}"/>
                </c:ext>
              </c:extLst>
            </c:dLbl>
            <c:dLbl>
              <c:idx val="8"/>
              <c:delete val="1"/>
              <c:extLst>
                <c:ext xmlns:c15="http://schemas.microsoft.com/office/drawing/2012/chart" uri="{CE6537A1-D6FC-4f65-9D91-7224C49458BB}"/>
                <c:ext xmlns:c16="http://schemas.microsoft.com/office/drawing/2014/chart" uri="{C3380CC4-5D6E-409C-BE32-E72D297353CC}">
                  <c16:uniqueId val="{00000012-ACE4-450D-B70E-472A3BB63722}"/>
                </c:ext>
              </c:extLst>
            </c:dLbl>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numRef>
              <c:f>Consolidate!$C$52:$K$52</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Consolidate!$C$54:$K$54</c:f>
              <c:numCache>
                <c:formatCode>0.0</c:formatCode>
                <c:ptCount val="9"/>
                <c:pt idx="0" formatCode="General">
                  <c:v>0</c:v>
                </c:pt>
                <c:pt idx="1">
                  <c:v>1450.630873300988</c:v>
                </c:pt>
                <c:pt idx="2">
                  <c:v>3157.7732195910685</c:v>
                </c:pt>
                <c:pt idx="3">
                  <c:v>14134.022279159761</c:v>
                </c:pt>
                <c:pt idx="4">
                  <c:v>32256.537824490195</c:v>
                </c:pt>
                <c:pt idx="5">
                  <c:v>42245.540613971454</c:v>
                </c:pt>
                <c:pt idx="6">
                  <c:v>45904.054896790403</c:v>
                </c:pt>
                <c:pt idx="7">
                  <c:v>47062.061606409356</c:v>
                </c:pt>
                <c:pt idx="8">
                  <c:v>48220.068316028308</c:v>
                </c:pt>
              </c:numCache>
            </c:numRef>
          </c:val>
          <c:smooth val="0"/>
          <c:extLst>
            <c:ext xmlns:c16="http://schemas.microsoft.com/office/drawing/2014/chart" uri="{C3380CC4-5D6E-409C-BE32-E72D297353CC}">
              <c16:uniqueId val="{00000013-ACE4-450D-B70E-472A3BB63722}"/>
            </c:ext>
          </c:extLst>
        </c:ser>
        <c:ser>
          <c:idx val="2"/>
          <c:order val="2"/>
          <c:tx>
            <c:strRef>
              <c:f>Consolidate!$B$55</c:f>
              <c:strCache>
                <c:ptCount val="1"/>
                <c:pt idx="0">
                  <c:v>Scenario 2</c:v>
                </c:pt>
              </c:strCache>
            </c:strRef>
          </c:tx>
          <c:spPr>
            <a:ln w="28575" cap="rnd">
              <a:solidFill>
                <a:schemeClr val="accent3"/>
              </a:solidFill>
              <a:prstDash val="dash"/>
              <a:round/>
            </a:ln>
            <a:effectLst/>
          </c:spPr>
          <c:marker>
            <c:symbol val="circle"/>
            <c:size val="5"/>
            <c:spPr>
              <a:solidFill>
                <a:schemeClr val="accent3"/>
              </a:solidFill>
              <a:ln w="9525">
                <a:solidFill>
                  <a:schemeClr val="accent3"/>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14-ACE4-450D-B70E-472A3BB63722}"/>
                </c:ext>
              </c:extLst>
            </c:dLbl>
            <c:dLbl>
              <c:idx val="1"/>
              <c:delete val="1"/>
              <c:extLst>
                <c:ext xmlns:c15="http://schemas.microsoft.com/office/drawing/2012/chart" uri="{CE6537A1-D6FC-4f65-9D91-7224C49458BB}"/>
                <c:ext xmlns:c16="http://schemas.microsoft.com/office/drawing/2014/chart" uri="{C3380CC4-5D6E-409C-BE32-E72D297353CC}">
                  <c16:uniqueId val="{00000015-ACE4-450D-B70E-472A3BB63722}"/>
                </c:ext>
              </c:extLst>
            </c:dLbl>
            <c:dLbl>
              <c:idx val="2"/>
              <c:delete val="1"/>
              <c:extLst>
                <c:ext xmlns:c15="http://schemas.microsoft.com/office/drawing/2012/chart" uri="{CE6537A1-D6FC-4f65-9D91-7224C49458BB}"/>
                <c:ext xmlns:c16="http://schemas.microsoft.com/office/drawing/2014/chart" uri="{C3380CC4-5D6E-409C-BE32-E72D297353CC}">
                  <c16:uniqueId val="{00000016-ACE4-450D-B70E-472A3BB63722}"/>
                </c:ext>
              </c:extLst>
            </c:dLbl>
            <c:dLbl>
              <c:idx val="3"/>
              <c:delete val="1"/>
              <c:extLst>
                <c:ext xmlns:c15="http://schemas.microsoft.com/office/drawing/2012/chart" uri="{CE6537A1-D6FC-4f65-9D91-7224C49458BB}"/>
                <c:ext xmlns:c16="http://schemas.microsoft.com/office/drawing/2014/chart" uri="{C3380CC4-5D6E-409C-BE32-E72D297353CC}">
                  <c16:uniqueId val="{00000017-ACE4-450D-B70E-472A3BB63722}"/>
                </c:ext>
              </c:extLst>
            </c:dLbl>
            <c:dLbl>
              <c:idx val="4"/>
              <c:delete val="1"/>
              <c:extLst>
                <c:ext xmlns:c15="http://schemas.microsoft.com/office/drawing/2012/chart" uri="{CE6537A1-D6FC-4f65-9D91-7224C49458BB}"/>
                <c:ext xmlns:c16="http://schemas.microsoft.com/office/drawing/2014/chart" uri="{C3380CC4-5D6E-409C-BE32-E72D297353CC}">
                  <c16:uniqueId val="{00000018-ACE4-450D-B70E-472A3BB63722}"/>
                </c:ext>
              </c:extLst>
            </c:dLbl>
            <c:dLbl>
              <c:idx val="5"/>
              <c:delete val="1"/>
              <c:extLst>
                <c:ext xmlns:c15="http://schemas.microsoft.com/office/drawing/2012/chart" uri="{CE6537A1-D6FC-4f65-9D91-7224C49458BB}"/>
                <c:ext xmlns:c16="http://schemas.microsoft.com/office/drawing/2014/chart" uri="{C3380CC4-5D6E-409C-BE32-E72D297353CC}">
                  <c16:uniqueId val="{00000019-ACE4-450D-B70E-472A3BB63722}"/>
                </c:ext>
              </c:extLst>
            </c:dLbl>
            <c:dLbl>
              <c:idx val="6"/>
              <c:delete val="1"/>
              <c:extLst>
                <c:ext xmlns:c15="http://schemas.microsoft.com/office/drawing/2012/chart" uri="{CE6537A1-D6FC-4f65-9D91-7224C49458BB}"/>
                <c:ext xmlns:c16="http://schemas.microsoft.com/office/drawing/2014/chart" uri="{C3380CC4-5D6E-409C-BE32-E72D297353CC}">
                  <c16:uniqueId val="{0000001A-ACE4-450D-B70E-472A3BB63722}"/>
                </c:ext>
              </c:extLst>
            </c:dLbl>
            <c:dLbl>
              <c:idx val="7"/>
              <c:delete val="1"/>
              <c:extLst>
                <c:ext xmlns:c15="http://schemas.microsoft.com/office/drawing/2012/chart" uri="{CE6537A1-D6FC-4f65-9D91-7224C49458BB}"/>
                <c:ext xmlns:c16="http://schemas.microsoft.com/office/drawing/2014/chart" uri="{C3380CC4-5D6E-409C-BE32-E72D297353CC}">
                  <c16:uniqueId val="{0000001B-ACE4-450D-B70E-472A3BB63722}"/>
                </c:ext>
              </c:extLst>
            </c:dLbl>
            <c:dLbl>
              <c:idx val="8"/>
              <c:layout>
                <c:manualLayout>
                  <c:x val="-7.7519073556665628E-3"/>
                  <c:y val="-2.9244618080029029E-2"/>
                </c:manualLayout>
              </c:layout>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1C-ACE4-450D-B70E-472A3BB63722}"/>
                </c:ext>
              </c:extLst>
            </c:dLbl>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numRef>
              <c:f>Consolidate!$C$52:$K$52</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Consolidate!$C$55:$K$55</c:f>
              <c:numCache>
                <c:formatCode>0.0</c:formatCode>
                <c:ptCount val="9"/>
                <c:pt idx="0" formatCode="General">
                  <c:v>0</c:v>
                </c:pt>
                <c:pt idx="1">
                  <c:v>1450.630873300988</c:v>
                </c:pt>
                <c:pt idx="2">
                  <c:v>13539.703219591069</c:v>
                </c:pt>
                <c:pt idx="3">
                  <c:v>32908.913334619756</c:v>
                </c:pt>
                <c:pt idx="4">
                  <c:v>56201.381897996864</c:v>
                </c:pt>
                <c:pt idx="5">
                  <c:v>71342.411574809812</c:v>
                </c:pt>
                <c:pt idx="6">
                  <c:v>80153.895492209616</c:v>
                </c:pt>
                <c:pt idx="7">
                  <c:v>86465.926522782669</c:v>
                </c:pt>
                <c:pt idx="8">
                  <c:v>92779.02562508735</c:v>
                </c:pt>
              </c:numCache>
            </c:numRef>
          </c:val>
          <c:smooth val="0"/>
          <c:extLst>
            <c:ext xmlns:c16="http://schemas.microsoft.com/office/drawing/2014/chart" uri="{C3380CC4-5D6E-409C-BE32-E72D297353CC}">
              <c16:uniqueId val="{0000001D-ACE4-450D-B70E-472A3BB63722}"/>
            </c:ext>
          </c:extLst>
        </c:ser>
        <c:ser>
          <c:idx val="3"/>
          <c:order val="3"/>
          <c:tx>
            <c:strRef>
              <c:f>Consolidate!$B$56</c:f>
              <c:strCache>
                <c:ptCount val="1"/>
                <c:pt idx="0">
                  <c:v>Scenario 3</c:v>
                </c:pt>
              </c:strCache>
            </c:strRef>
          </c:tx>
          <c:spPr>
            <a:ln w="41275" cap="rnd">
              <a:solidFill>
                <a:schemeClr val="accent4"/>
              </a:solidFill>
              <a:round/>
            </a:ln>
            <a:effectLst/>
          </c:spPr>
          <c:marker>
            <c:symbol val="circle"/>
            <c:size val="5"/>
            <c:spPr>
              <a:solidFill>
                <a:schemeClr val="accent4"/>
              </a:solidFill>
              <a:ln w="9525">
                <a:solidFill>
                  <a:schemeClr val="accent4"/>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1E-ACE4-450D-B70E-472A3BB63722}"/>
                </c:ext>
              </c:extLst>
            </c:dLbl>
            <c:dLbl>
              <c:idx val="1"/>
              <c:delete val="1"/>
              <c:extLst>
                <c:ext xmlns:c15="http://schemas.microsoft.com/office/drawing/2012/chart" uri="{CE6537A1-D6FC-4f65-9D91-7224C49458BB}"/>
                <c:ext xmlns:c16="http://schemas.microsoft.com/office/drawing/2014/chart" uri="{C3380CC4-5D6E-409C-BE32-E72D297353CC}">
                  <c16:uniqueId val="{0000001F-ACE4-450D-B70E-472A3BB63722}"/>
                </c:ext>
              </c:extLst>
            </c:dLbl>
            <c:dLbl>
              <c:idx val="2"/>
              <c:delete val="1"/>
              <c:extLst>
                <c:ext xmlns:c15="http://schemas.microsoft.com/office/drawing/2012/chart" uri="{CE6537A1-D6FC-4f65-9D91-7224C49458BB}"/>
                <c:ext xmlns:c16="http://schemas.microsoft.com/office/drawing/2014/chart" uri="{C3380CC4-5D6E-409C-BE32-E72D297353CC}">
                  <c16:uniqueId val="{00000020-ACE4-450D-B70E-472A3BB63722}"/>
                </c:ext>
              </c:extLst>
            </c:dLbl>
            <c:dLbl>
              <c:idx val="3"/>
              <c:delete val="1"/>
              <c:extLst>
                <c:ext xmlns:c15="http://schemas.microsoft.com/office/drawing/2012/chart" uri="{CE6537A1-D6FC-4f65-9D91-7224C49458BB}"/>
                <c:ext xmlns:c16="http://schemas.microsoft.com/office/drawing/2014/chart" uri="{C3380CC4-5D6E-409C-BE32-E72D297353CC}">
                  <c16:uniqueId val="{00000021-ACE4-450D-B70E-472A3BB63722}"/>
                </c:ext>
              </c:extLst>
            </c:dLbl>
            <c:dLbl>
              <c:idx val="4"/>
              <c:delete val="1"/>
              <c:extLst>
                <c:ext xmlns:c15="http://schemas.microsoft.com/office/drawing/2012/chart" uri="{CE6537A1-D6FC-4f65-9D91-7224C49458BB}"/>
                <c:ext xmlns:c16="http://schemas.microsoft.com/office/drawing/2014/chart" uri="{C3380CC4-5D6E-409C-BE32-E72D297353CC}">
                  <c16:uniqueId val="{00000022-ACE4-450D-B70E-472A3BB63722}"/>
                </c:ext>
              </c:extLst>
            </c:dLbl>
            <c:dLbl>
              <c:idx val="5"/>
              <c:delete val="1"/>
              <c:extLst>
                <c:ext xmlns:c15="http://schemas.microsoft.com/office/drawing/2012/chart" uri="{CE6537A1-D6FC-4f65-9D91-7224C49458BB}"/>
                <c:ext xmlns:c16="http://schemas.microsoft.com/office/drawing/2014/chart" uri="{C3380CC4-5D6E-409C-BE32-E72D297353CC}">
                  <c16:uniqueId val="{00000023-ACE4-450D-B70E-472A3BB63722}"/>
                </c:ext>
              </c:extLst>
            </c:dLbl>
            <c:dLbl>
              <c:idx val="6"/>
              <c:delete val="1"/>
              <c:extLst>
                <c:ext xmlns:c15="http://schemas.microsoft.com/office/drawing/2012/chart" uri="{CE6537A1-D6FC-4f65-9D91-7224C49458BB}"/>
                <c:ext xmlns:c16="http://schemas.microsoft.com/office/drawing/2014/chart" uri="{C3380CC4-5D6E-409C-BE32-E72D297353CC}">
                  <c16:uniqueId val="{00000024-ACE4-450D-B70E-472A3BB63722}"/>
                </c:ext>
              </c:extLst>
            </c:dLbl>
            <c:dLbl>
              <c:idx val="7"/>
              <c:delete val="1"/>
              <c:extLst>
                <c:ext xmlns:c15="http://schemas.microsoft.com/office/drawing/2012/chart" uri="{CE6537A1-D6FC-4f65-9D91-7224C49458BB}"/>
                <c:ext xmlns:c16="http://schemas.microsoft.com/office/drawing/2014/chart" uri="{C3380CC4-5D6E-409C-BE32-E72D297353CC}">
                  <c16:uniqueId val="{00000025-ACE4-450D-B70E-472A3BB63722}"/>
                </c:ext>
              </c:extLst>
            </c:dLbl>
            <c:dLbl>
              <c:idx val="8"/>
              <c:layout>
                <c:manualLayout>
                  <c:x val="-7.7519379844961239E-3"/>
                  <c:y val="-3.1189083820662766E-2"/>
                </c:manualLayout>
              </c:layout>
              <c:dLblPos val="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26-ACE4-450D-B70E-472A3BB63722}"/>
                </c:ext>
              </c:extLst>
            </c:dLbl>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numRef>
              <c:f>Consolidate!$C$52:$K$52</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Consolidate!$C$56:$K$56</c:f>
              <c:numCache>
                <c:formatCode>0.0</c:formatCode>
                <c:ptCount val="9"/>
                <c:pt idx="0" formatCode="General">
                  <c:v>0</c:v>
                </c:pt>
                <c:pt idx="1">
                  <c:v>1450.630873300988</c:v>
                </c:pt>
                <c:pt idx="2">
                  <c:v>20978.963219591067</c:v>
                </c:pt>
                <c:pt idx="3">
                  <c:v>45154.913334619756</c:v>
                </c:pt>
                <c:pt idx="4">
                  <c:v>73254.12189799684</c:v>
                </c:pt>
                <c:pt idx="5">
                  <c:v>93201.891574809764</c:v>
                </c:pt>
                <c:pt idx="6">
                  <c:v>106820.11549220915</c:v>
                </c:pt>
                <c:pt idx="7">
                  <c:v>117938.88652278222</c:v>
                </c:pt>
                <c:pt idx="8">
                  <c:v>129058.72562508701</c:v>
                </c:pt>
              </c:numCache>
            </c:numRef>
          </c:val>
          <c:smooth val="0"/>
          <c:extLst>
            <c:ext xmlns:c16="http://schemas.microsoft.com/office/drawing/2014/chart" uri="{C3380CC4-5D6E-409C-BE32-E72D297353CC}">
              <c16:uniqueId val="{00000027-ACE4-450D-B70E-472A3BB63722}"/>
            </c:ext>
          </c:extLst>
        </c:ser>
        <c:dLbls>
          <c:showLegendKey val="0"/>
          <c:showVal val="0"/>
          <c:showCatName val="0"/>
          <c:showSerName val="0"/>
          <c:showPercent val="0"/>
          <c:showBubbleSize val="0"/>
        </c:dLbls>
        <c:marker val="1"/>
        <c:smooth val="0"/>
        <c:axId val="348951680"/>
        <c:axId val="348953216"/>
      </c:lineChart>
      <c:catAx>
        <c:axId val="348951680"/>
        <c:scaling>
          <c:orientation val="minMax"/>
        </c:scaling>
        <c:delete val="0"/>
        <c:axPos val="b"/>
        <c:numFmt formatCode="General" sourceLinked="1"/>
        <c:majorTickMark val="none"/>
        <c:minorTickMark val="none"/>
        <c:tickLblPos val="nextTo"/>
        <c:spPr>
          <a:noFill/>
          <a:ln w="9525" cap="flat" cmpd="sng" algn="ctr">
            <a:solidFill>
              <a:schemeClr val="accent4"/>
            </a:solidFill>
            <a:round/>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348953216"/>
        <c:crosses val="autoZero"/>
        <c:auto val="1"/>
        <c:lblAlgn val="ctr"/>
        <c:lblOffset val="100"/>
        <c:noMultiLvlLbl val="0"/>
      </c:catAx>
      <c:valAx>
        <c:axId val="348953216"/>
        <c:scaling>
          <c:orientation val="minMax"/>
        </c:scaling>
        <c:delete val="0"/>
        <c:axPos val="l"/>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a:t>GHG emissions reductions(Gg CO2 eq)</a:t>
                </a:r>
              </a:p>
            </c:rich>
          </c:tx>
          <c:layout>
            <c:manualLayout>
              <c:xMode val="edge"/>
              <c:yMode val="edge"/>
              <c:x val="2.2222281819677173E-2"/>
              <c:y val="0.12650497846085873"/>
            </c:manualLayout>
          </c:layout>
          <c:overlay val="0"/>
          <c:spPr>
            <a:noFill/>
            <a:ln w="25400">
              <a:noFill/>
            </a:ln>
          </c:spPr>
        </c:title>
        <c:numFmt formatCode="#,##0" sourceLinked="1"/>
        <c:majorTickMark val="out"/>
        <c:minorTickMark val="none"/>
        <c:tickLblPos val="nextTo"/>
        <c:spPr>
          <a:noFill/>
          <a:ln>
            <a:solidFill>
              <a:schemeClr val="accent4"/>
            </a:solid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348951680"/>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617795469293274E-2"/>
          <c:y val="4.4715447154471545E-2"/>
          <c:w val="0.88032193392800073"/>
          <c:h val="0.55859979459089348"/>
        </c:manualLayout>
      </c:layout>
      <c:barChart>
        <c:barDir val="col"/>
        <c:grouping val="stacked"/>
        <c:varyColors val="0"/>
        <c:ser>
          <c:idx val="0"/>
          <c:order val="0"/>
          <c:tx>
            <c:strRef>
              <c:f>'Energy Summary'!$C$62</c:f>
              <c:strCache>
                <c:ptCount val="1"/>
                <c:pt idx="0">
                  <c:v>Electrification</c:v>
                </c:pt>
              </c:strCache>
            </c:strRef>
          </c:tx>
          <c:spPr>
            <a:solidFill>
              <a:srgbClr val="5B9BD5"/>
            </a:solidFill>
            <a:ln w="25400">
              <a:noFill/>
            </a:ln>
          </c:spPr>
          <c:invertIfNegative val="0"/>
          <c:cat>
            <c:numRef>
              <c:f>'Energy Summary'!$B$63:$B$71</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'Energy Summary'!$C$63:$C$71</c:f>
              <c:numCache>
                <c:formatCode>General</c:formatCode>
                <c:ptCount val="9"/>
                <c:pt idx="0">
                  <c:v>0</c:v>
                </c:pt>
                <c:pt idx="1">
                  <c:v>0</c:v>
                </c:pt>
                <c:pt idx="2">
                  <c:v>29.408884679664002</c:v>
                </c:pt>
                <c:pt idx="3">
                  <c:v>4637.0470552263077</c:v>
                </c:pt>
                <c:pt idx="4">
                  <c:v>12288.435544537702</c:v>
                </c:pt>
                <c:pt idx="5">
                  <c:v>14730.098371999906</c:v>
                </c:pt>
                <c:pt idx="6">
                  <c:v>15869.329783999812</c:v>
                </c:pt>
                <c:pt idx="7">
                  <c:v>17008.561195999719</c:v>
                </c:pt>
                <c:pt idx="8">
                  <c:v>18147.792607999621</c:v>
                </c:pt>
              </c:numCache>
            </c:numRef>
          </c:val>
          <c:extLst>
            <c:ext xmlns:c16="http://schemas.microsoft.com/office/drawing/2014/chart" uri="{C3380CC4-5D6E-409C-BE32-E72D297353CC}">
              <c16:uniqueId val="{00000000-2600-4E03-9C8E-931EE380A286}"/>
            </c:ext>
          </c:extLst>
        </c:ser>
        <c:ser>
          <c:idx val="1"/>
          <c:order val="1"/>
          <c:tx>
            <c:strRef>
              <c:f>'Energy Summary'!$D$62</c:f>
              <c:strCache>
                <c:ptCount val="1"/>
                <c:pt idx="0">
                  <c:v>Solar PV utility scale-ongrid</c:v>
                </c:pt>
              </c:strCache>
            </c:strRef>
          </c:tx>
          <c:spPr>
            <a:solidFill>
              <a:srgbClr val="ED7D31"/>
            </a:solidFill>
            <a:ln w="25400">
              <a:noFill/>
            </a:ln>
          </c:spPr>
          <c:invertIfNegative val="0"/>
          <c:cat>
            <c:numRef>
              <c:f>'Energy Summary'!$B$63:$B$71</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'Energy Summary'!$D$63:$D$71</c:f>
              <c:numCache>
                <c:formatCode>General</c:formatCode>
                <c:ptCount val="9"/>
                <c:pt idx="0">
                  <c:v>0</c:v>
                </c:pt>
                <c:pt idx="1">
                  <c:v>8.5856760000000018E-2</c:v>
                </c:pt>
                <c:pt idx="2">
                  <c:v>173.51651196000003</c:v>
                </c:pt>
                <c:pt idx="3">
                  <c:v>1734.90754932</c:v>
                </c:pt>
                <c:pt idx="4">
                  <c:v>1734.90754932</c:v>
                </c:pt>
                <c:pt idx="5">
                  <c:v>1734.90754932</c:v>
                </c:pt>
                <c:pt idx="6">
                  <c:v>1734.90754932</c:v>
                </c:pt>
                <c:pt idx="7">
                  <c:v>1734.90754932</c:v>
                </c:pt>
                <c:pt idx="8">
                  <c:v>1734.90754932</c:v>
                </c:pt>
              </c:numCache>
            </c:numRef>
          </c:val>
          <c:extLst>
            <c:ext xmlns:c16="http://schemas.microsoft.com/office/drawing/2014/chart" uri="{C3380CC4-5D6E-409C-BE32-E72D297353CC}">
              <c16:uniqueId val="{00000001-2600-4E03-9C8E-931EE380A286}"/>
            </c:ext>
          </c:extLst>
        </c:ser>
        <c:ser>
          <c:idx val="2"/>
          <c:order val="2"/>
          <c:tx>
            <c:strRef>
              <c:f>'Energy Summary'!$E$62</c:f>
              <c:strCache>
                <c:ptCount val="1"/>
                <c:pt idx="0">
                  <c:v>Solar Home Systems</c:v>
                </c:pt>
              </c:strCache>
            </c:strRef>
          </c:tx>
          <c:spPr>
            <a:solidFill>
              <a:srgbClr val="A5A5A5"/>
            </a:solidFill>
            <a:ln w="25400">
              <a:noFill/>
            </a:ln>
          </c:spPr>
          <c:invertIfNegative val="0"/>
          <c:cat>
            <c:numRef>
              <c:f>'Energy Summary'!$B$63:$B$71</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'Energy Summary'!$E$63:$E$71</c:f>
              <c:numCache>
                <c:formatCode>General</c:formatCode>
                <c:ptCount val="9"/>
                <c:pt idx="0">
                  <c:v>0</c:v>
                </c:pt>
                <c:pt idx="1">
                  <c:v>1.9876940987904004E-2</c:v>
                </c:pt>
                <c:pt idx="2">
                  <c:v>7.1050953767137335</c:v>
                </c:pt>
                <c:pt idx="3">
                  <c:v>7.1050953767137335</c:v>
                </c:pt>
                <c:pt idx="4">
                  <c:v>7.1050953767137335</c:v>
                </c:pt>
                <c:pt idx="5">
                  <c:v>7.1050953767137335</c:v>
                </c:pt>
                <c:pt idx="6">
                  <c:v>7.1050953767137335</c:v>
                </c:pt>
                <c:pt idx="7">
                  <c:v>7.1050953767137335</c:v>
                </c:pt>
                <c:pt idx="8">
                  <c:v>7.1050953767137335</c:v>
                </c:pt>
              </c:numCache>
            </c:numRef>
          </c:val>
          <c:extLst>
            <c:ext xmlns:c16="http://schemas.microsoft.com/office/drawing/2014/chart" uri="{C3380CC4-5D6E-409C-BE32-E72D297353CC}">
              <c16:uniqueId val="{00000002-2600-4E03-9C8E-931EE380A286}"/>
            </c:ext>
          </c:extLst>
        </c:ser>
        <c:ser>
          <c:idx val="3"/>
          <c:order val="3"/>
          <c:tx>
            <c:strRef>
              <c:f>'Energy Summary'!$F$62</c:f>
              <c:strCache>
                <c:ptCount val="1"/>
                <c:pt idx="0">
                  <c:v>Small hydro off-grid</c:v>
                </c:pt>
              </c:strCache>
            </c:strRef>
          </c:tx>
          <c:spPr>
            <a:solidFill>
              <a:srgbClr val="FFC000"/>
            </a:solidFill>
            <a:ln w="25400">
              <a:noFill/>
            </a:ln>
          </c:spPr>
          <c:invertIfNegative val="0"/>
          <c:cat>
            <c:numRef>
              <c:f>'Energy Summary'!$B$63:$B$71</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'Energy Summary'!$F$63:$F$71</c:f>
              <c:numCache>
                <c:formatCode>General</c:formatCode>
                <c:ptCount val="9"/>
                <c:pt idx="0">
                  <c:v>0</c:v>
                </c:pt>
                <c:pt idx="1">
                  <c:v>0</c:v>
                </c:pt>
                <c:pt idx="2">
                  <c:v>179.45038961570805</c:v>
                </c:pt>
                <c:pt idx="3">
                  <c:v>179.45038961570805</c:v>
                </c:pt>
                <c:pt idx="4">
                  <c:v>179.45038961570805</c:v>
                </c:pt>
                <c:pt idx="5">
                  <c:v>179.45038961570805</c:v>
                </c:pt>
                <c:pt idx="6">
                  <c:v>179.45038961570805</c:v>
                </c:pt>
                <c:pt idx="7">
                  <c:v>179.45038961570805</c:v>
                </c:pt>
                <c:pt idx="8">
                  <c:v>179.45038961570805</c:v>
                </c:pt>
              </c:numCache>
            </c:numRef>
          </c:val>
          <c:extLst>
            <c:ext xmlns:c16="http://schemas.microsoft.com/office/drawing/2014/chart" uri="{C3380CC4-5D6E-409C-BE32-E72D297353CC}">
              <c16:uniqueId val="{00000003-2600-4E03-9C8E-931EE380A286}"/>
            </c:ext>
          </c:extLst>
        </c:ser>
        <c:ser>
          <c:idx val="4"/>
          <c:order val="4"/>
          <c:tx>
            <c:strRef>
              <c:f>'Energy Summary'!$G$62</c:f>
              <c:strCache>
                <c:ptCount val="1"/>
                <c:pt idx="0">
                  <c:v>Hydro -ongrid</c:v>
                </c:pt>
              </c:strCache>
            </c:strRef>
          </c:tx>
          <c:spPr>
            <a:solidFill>
              <a:srgbClr val="4472C4"/>
            </a:solidFill>
            <a:ln w="25400">
              <a:noFill/>
            </a:ln>
          </c:spPr>
          <c:invertIfNegative val="0"/>
          <c:cat>
            <c:numRef>
              <c:f>'Energy Summary'!$B$63:$B$71</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'Energy Summary'!$G$63:$G$71</c:f>
              <c:numCache>
                <c:formatCode>General</c:formatCode>
                <c:ptCount val="9"/>
                <c:pt idx="0">
                  <c:v>0</c:v>
                </c:pt>
                <c:pt idx="1">
                  <c:v>1417.0851396</c:v>
                </c:pt>
                <c:pt idx="2">
                  <c:v>2496.5821295999999</c:v>
                </c:pt>
                <c:pt idx="3">
                  <c:v>6814.5700895999998</c:v>
                </c:pt>
                <c:pt idx="4">
                  <c:v>16408.354248</c:v>
                </c:pt>
                <c:pt idx="5">
                  <c:v>23936.9189124</c:v>
                </c:pt>
                <c:pt idx="6">
                  <c:v>26437.426485600001</c:v>
                </c:pt>
                <c:pt idx="7">
                  <c:v>26437.426485600001</c:v>
                </c:pt>
                <c:pt idx="8">
                  <c:v>26437.426485600001</c:v>
                </c:pt>
              </c:numCache>
            </c:numRef>
          </c:val>
          <c:extLst>
            <c:ext xmlns:c16="http://schemas.microsoft.com/office/drawing/2014/chart" uri="{C3380CC4-5D6E-409C-BE32-E72D297353CC}">
              <c16:uniqueId val="{00000004-2600-4E03-9C8E-931EE380A286}"/>
            </c:ext>
          </c:extLst>
        </c:ser>
        <c:ser>
          <c:idx val="5"/>
          <c:order val="5"/>
          <c:tx>
            <c:strRef>
              <c:f>'Energy Summary'!$H$62</c:f>
              <c:strCache>
                <c:ptCount val="1"/>
                <c:pt idx="0">
                  <c:v>Energy Efficiency</c:v>
                </c:pt>
              </c:strCache>
            </c:strRef>
          </c:tx>
          <c:spPr>
            <a:solidFill>
              <a:srgbClr val="70AD47"/>
            </a:solidFill>
            <a:ln w="25400">
              <a:noFill/>
            </a:ln>
          </c:spPr>
          <c:invertIfNegative val="0"/>
          <c:cat>
            <c:numRef>
              <c:f>'Energy Summary'!$B$63:$B$71</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'Energy Summary'!$H$63:$H$71</c:f>
              <c:numCache>
                <c:formatCode>General</c:formatCode>
                <c:ptCount val="9"/>
                <c:pt idx="0">
                  <c:v>0</c:v>
                </c:pt>
                <c:pt idx="1">
                  <c:v>0</c:v>
                </c:pt>
                <c:pt idx="2">
                  <c:v>127.56198000000001</c:v>
                </c:pt>
                <c:pt idx="3">
                  <c:v>127.56198000000001</c:v>
                </c:pt>
                <c:pt idx="4">
                  <c:v>127.56198000000001</c:v>
                </c:pt>
                <c:pt idx="5">
                  <c:v>127.56198000000001</c:v>
                </c:pt>
                <c:pt idx="6">
                  <c:v>127.56198000000001</c:v>
                </c:pt>
                <c:pt idx="7">
                  <c:v>127.56198000000001</c:v>
                </c:pt>
                <c:pt idx="8">
                  <c:v>127.56198000000001</c:v>
                </c:pt>
              </c:numCache>
            </c:numRef>
          </c:val>
          <c:extLst>
            <c:ext xmlns:c16="http://schemas.microsoft.com/office/drawing/2014/chart" uri="{C3380CC4-5D6E-409C-BE32-E72D297353CC}">
              <c16:uniqueId val="{00000005-2600-4E03-9C8E-931EE380A286}"/>
            </c:ext>
          </c:extLst>
        </c:ser>
        <c:ser>
          <c:idx val="6"/>
          <c:order val="6"/>
          <c:tx>
            <c:strRef>
              <c:f>'Energy Summary'!$I$62</c:f>
              <c:strCache>
                <c:ptCount val="1"/>
                <c:pt idx="0">
                  <c:v>Wind</c:v>
                </c:pt>
              </c:strCache>
            </c:strRef>
          </c:tx>
          <c:spPr>
            <a:solidFill>
              <a:schemeClr val="accent1">
                <a:lumMod val="60000"/>
              </a:schemeClr>
            </a:solidFill>
            <a:ln>
              <a:noFill/>
            </a:ln>
            <a:effectLst/>
          </c:spPr>
          <c:invertIfNegative val="0"/>
          <c:cat>
            <c:numRef>
              <c:f>'Energy Summary'!$B$63:$B$71</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'Energy Summary'!$I$63:$I$71</c:f>
              <c:numCache>
                <c:formatCode>General</c:formatCode>
                <c:ptCount val="9"/>
                <c:pt idx="0">
                  <c:v>0</c:v>
                </c:pt>
                <c:pt idx="1">
                  <c:v>0</c:v>
                </c:pt>
                <c:pt idx="2">
                  <c:v>0</c:v>
                </c:pt>
                <c:pt idx="3">
                  <c:v>257.57028000000003</c:v>
                </c:pt>
                <c:pt idx="4">
                  <c:v>1116.13788</c:v>
                </c:pt>
                <c:pt idx="5">
                  <c:v>1116.13788</c:v>
                </c:pt>
                <c:pt idx="6">
                  <c:v>1116.13788</c:v>
                </c:pt>
                <c:pt idx="7">
                  <c:v>1116.13788</c:v>
                </c:pt>
                <c:pt idx="8">
                  <c:v>1116.13788</c:v>
                </c:pt>
              </c:numCache>
            </c:numRef>
          </c:val>
          <c:extLst>
            <c:ext xmlns:c16="http://schemas.microsoft.com/office/drawing/2014/chart" uri="{C3380CC4-5D6E-409C-BE32-E72D297353CC}">
              <c16:uniqueId val="{00000006-2600-4E03-9C8E-931EE380A286}"/>
            </c:ext>
          </c:extLst>
        </c:ser>
        <c:ser>
          <c:idx val="7"/>
          <c:order val="7"/>
          <c:tx>
            <c:strRef>
              <c:f>'Energy Summary'!$J$62</c:f>
              <c:strCache>
                <c:ptCount val="1"/>
                <c:pt idx="0">
                  <c:v>Biomass</c:v>
                </c:pt>
              </c:strCache>
            </c:strRef>
          </c:tx>
          <c:spPr>
            <a:solidFill>
              <a:schemeClr val="accent2">
                <a:lumMod val="60000"/>
              </a:schemeClr>
            </a:solidFill>
            <a:ln>
              <a:noFill/>
            </a:ln>
            <a:effectLst/>
          </c:spPr>
          <c:invertIfNegative val="0"/>
          <c:cat>
            <c:numRef>
              <c:f>'Energy Summary'!$B$63:$B$71</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'Energy Summary'!$J$63:$J$71</c:f>
              <c:numCache>
                <c:formatCode>General</c:formatCode>
                <c:ptCount val="9"/>
                <c:pt idx="0">
                  <c:v>0</c:v>
                </c:pt>
                <c:pt idx="1">
                  <c:v>0</c:v>
                </c:pt>
                <c:pt idx="2">
                  <c:v>49.294379277000012</c:v>
                </c:pt>
                <c:pt idx="3">
                  <c:v>842.68574532000002</c:v>
                </c:pt>
                <c:pt idx="4">
                  <c:v>842.68574532000002</c:v>
                </c:pt>
                <c:pt idx="5">
                  <c:v>842.68574532000002</c:v>
                </c:pt>
                <c:pt idx="6">
                  <c:v>842.68574532000002</c:v>
                </c:pt>
                <c:pt idx="7">
                  <c:v>842.68574532000002</c:v>
                </c:pt>
                <c:pt idx="8">
                  <c:v>842.68574532000002</c:v>
                </c:pt>
              </c:numCache>
            </c:numRef>
          </c:val>
          <c:extLst>
            <c:ext xmlns:c16="http://schemas.microsoft.com/office/drawing/2014/chart" uri="{C3380CC4-5D6E-409C-BE32-E72D297353CC}">
              <c16:uniqueId val="{00000007-2600-4E03-9C8E-931EE380A286}"/>
            </c:ext>
          </c:extLst>
        </c:ser>
        <c:ser>
          <c:idx val="8"/>
          <c:order val="8"/>
          <c:tx>
            <c:strRef>
              <c:f>'Energy Summary'!$K$62</c:f>
              <c:strCache>
                <c:ptCount val="1"/>
                <c:pt idx="0">
                  <c:v>Geothermal</c:v>
                </c:pt>
              </c:strCache>
            </c:strRef>
          </c:tx>
          <c:invertIfNegative val="0"/>
          <c:cat>
            <c:numRef>
              <c:f>'Energy Summary'!$B$63:$B$71</c:f>
              <c:numCache>
                <c:formatCode>General</c:formatCode>
                <c:ptCount val="9"/>
                <c:pt idx="0">
                  <c:v>2010</c:v>
                </c:pt>
                <c:pt idx="1">
                  <c:v>2015</c:v>
                </c:pt>
                <c:pt idx="2">
                  <c:v>2020</c:v>
                </c:pt>
                <c:pt idx="3">
                  <c:v>2025</c:v>
                </c:pt>
                <c:pt idx="4">
                  <c:v>2030</c:v>
                </c:pt>
                <c:pt idx="5">
                  <c:v>2035</c:v>
                </c:pt>
                <c:pt idx="6">
                  <c:v>2040</c:v>
                </c:pt>
                <c:pt idx="7">
                  <c:v>2045</c:v>
                </c:pt>
                <c:pt idx="8">
                  <c:v>2050</c:v>
                </c:pt>
              </c:numCache>
            </c:numRef>
          </c:cat>
          <c:val>
            <c:numRef>
              <c:f>'Energy Summary'!$K$63:$K$71</c:f>
              <c:numCache>
                <c:formatCode>General</c:formatCode>
                <c:ptCount val="9"/>
                <c:pt idx="0">
                  <c:v>0</c:v>
                </c:pt>
                <c:pt idx="1">
                  <c:v>0</c:v>
                </c:pt>
                <c:pt idx="2">
                  <c:v>0</c:v>
                </c:pt>
                <c:pt idx="3">
                  <c:v>8.3114879999999989</c:v>
                </c:pt>
                <c:pt idx="4">
                  <c:v>8.3114879999999989</c:v>
                </c:pt>
                <c:pt idx="5">
                  <c:v>8.3114879999999989</c:v>
                </c:pt>
                <c:pt idx="6">
                  <c:v>8.3114879999999989</c:v>
                </c:pt>
                <c:pt idx="7">
                  <c:v>8.3114879999999989</c:v>
                </c:pt>
                <c:pt idx="8">
                  <c:v>8.3114879999999989</c:v>
                </c:pt>
              </c:numCache>
            </c:numRef>
          </c:val>
          <c:extLst>
            <c:ext xmlns:c16="http://schemas.microsoft.com/office/drawing/2014/chart" uri="{C3380CC4-5D6E-409C-BE32-E72D297353CC}">
              <c16:uniqueId val="{00000008-2600-4E03-9C8E-931EE380A286}"/>
            </c:ext>
          </c:extLst>
        </c:ser>
        <c:dLbls>
          <c:showLegendKey val="0"/>
          <c:showVal val="0"/>
          <c:showCatName val="0"/>
          <c:showSerName val="0"/>
          <c:showPercent val="0"/>
          <c:showBubbleSize val="0"/>
        </c:dLbls>
        <c:gapWidth val="150"/>
        <c:overlap val="100"/>
        <c:axId val="349606272"/>
        <c:axId val="349607808"/>
      </c:barChart>
      <c:catAx>
        <c:axId val="349606272"/>
        <c:scaling>
          <c:orientation val="minMax"/>
        </c:scaling>
        <c:delete val="0"/>
        <c:axPos val="b"/>
        <c:numFmt formatCode="General" sourceLinked="1"/>
        <c:majorTickMark val="out"/>
        <c:minorTickMark val="none"/>
        <c:tickLblPos val="nextTo"/>
        <c:spPr>
          <a:ln w="3175">
            <a:solidFill>
              <a:srgbClr val="FF0000"/>
            </a:solidFill>
            <a:prstDash val="solid"/>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9607808"/>
        <c:crosses val="autoZero"/>
        <c:auto val="1"/>
        <c:lblAlgn val="ctr"/>
        <c:lblOffset val="100"/>
        <c:noMultiLvlLbl val="0"/>
      </c:catAx>
      <c:valAx>
        <c:axId val="3496078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ln w="3175">
            <a:solidFill>
              <a:srgbClr val="FF0000"/>
            </a:solidFill>
            <a:prstDash val="solid"/>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9606272"/>
        <c:crosses val="autoZero"/>
        <c:crossBetween val="between"/>
      </c:valAx>
      <c:spPr>
        <a:noFill/>
        <a:ln w="25400">
          <a:noFill/>
        </a:ln>
      </c:spPr>
    </c:plotArea>
    <c:legend>
      <c:legendPos val="b"/>
      <c:layout>
        <c:manualLayout>
          <c:xMode val="edge"/>
          <c:yMode val="edge"/>
          <c:x val="2.1721242409274488E-2"/>
          <c:y val="0.71685001331355325"/>
          <c:w val="0.96742152618376576"/>
          <c:h val="0.19969656231995392"/>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19050" cap="flat" cmpd="sng" algn="ctr">
      <a:solidFill>
        <a:schemeClr val="accent1"/>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4722543736076227"/>
          <c:y val="1.9941318310820903E-2"/>
          <c:w val="0.70960148731408579"/>
          <c:h val="0.87454769652104725"/>
        </c:manualLayout>
      </c:layout>
      <c:barChart>
        <c:barDir val="col"/>
        <c:grouping val="stacked"/>
        <c:varyColors val="0"/>
        <c:ser>
          <c:idx val="0"/>
          <c:order val="0"/>
          <c:tx>
            <c:strRef>
              <c:f>'Total with or Without AFOLU'!$E$55</c:f>
              <c:strCache>
                <c:ptCount val="1"/>
                <c:pt idx="0">
                  <c:v>Energy</c:v>
                </c:pt>
              </c:strCache>
            </c:strRef>
          </c:tx>
          <c:spPr>
            <a:solidFill>
              <a:srgbClr val="C00000"/>
            </a:solidFill>
            <a:ln w="25400">
              <a:noFill/>
            </a:ln>
          </c:spPr>
          <c:invertIfNegative val="0"/>
          <c:cat>
            <c:numRef>
              <c:f>'Total with or Without AFOLU'!$B$56:$B$65</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'Total with or Without AFOLU'!$E$56:$E$65</c:f>
              <c:numCache>
                <c:formatCode>#,##0.0</c:formatCode>
                <c:ptCount val="10"/>
                <c:pt idx="0">
                  <c:v>2179.3693073282998</c:v>
                </c:pt>
                <c:pt idx="1">
                  <c:v>1743.5072350562</c:v>
                </c:pt>
                <c:pt idx="2">
                  <c:v>2158.8837895834999</c:v>
                </c:pt>
                <c:pt idx="3">
                  <c:v>3155.8232906998996</c:v>
                </c:pt>
                <c:pt idx="4">
                  <c:v>3400.5924121958806</c:v>
                </c:pt>
                <c:pt idx="5">
                  <c:v>6796.9159509642004</c:v>
                </c:pt>
                <c:pt idx="6">
                  <c:v>7737.8949859019995</c:v>
                </c:pt>
                <c:pt idx="7">
                  <c:v>7737.8949859019995</c:v>
                </c:pt>
                <c:pt idx="8">
                  <c:v>7049.7549671077395</c:v>
                </c:pt>
                <c:pt idx="9">
                  <c:v>6443.6880310353999</c:v>
                </c:pt>
              </c:numCache>
            </c:numRef>
          </c:val>
          <c:extLst>
            <c:ext xmlns:c16="http://schemas.microsoft.com/office/drawing/2014/chart" uri="{C3380CC4-5D6E-409C-BE32-E72D297353CC}">
              <c16:uniqueId val="{00000000-C443-4515-8BC3-F69FFC65A496}"/>
            </c:ext>
          </c:extLst>
        </c:ser>
        <c:ser>
          <c:idx val="1"/>
          <c:order val="1"/>
          <c:tx>
            <c:strRef>
              <c:f>'Total with or Without AFOLU'!$F$55</c:f>
              <c:strCache>
                <c:ptCount val="1"/>
                <c:pt idx="0">
                  <c:v>IPPU</c:v>
                </c:pt>
              </c:strCache>
            </c:strRef>
          </c:tx>
          <c:spPr>
            <a:solidFill>
              <a:srgbClr val="00B0F0"/>
            </a:solidFill>
            <a:ln w="25400">
              <a:noFill/>
            </a:ln>
          </c:spPr>
          <c:invertIfNegative val="0"/>
          <c:cat>
            <c:numRef>
              <c:f>'Total with or Without AFOLU'!$B$56:$B$65</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'Total with or Without AFOLU'!$F$56:$F$65</c:f>
              <c:numCache>
                <c:formatCode>#,##0.0</c:formatCode>
                <c:ptCount val="10"/>
                <c:pt idx="0">
                  <c:v>431.15833588525521</c:v>
                </c:pt>
                <c:pt idx="1">
                  <c:v>1090.9973115729169</c:v>
                </c:pt>
                <c:pt idx="2">
                  <c:v>1375.5642620455965</c:v>
                </c:pt>
                <c:pt idx="3">
                  <c:v>1620.9636222260015</c:v>
                </c:pt>
                <c:pt idx="4">
                  <c:v>1544.0857597492013</c:v>
                </c:pt>
                <c:pt idx="5">
                  <c:v>1641.8457866576196</c:v>
                </c:pt>
                <c:pt idx="6">
                  <c:v>1755.3793399472854</c:v>
                </c:pt>
                <c:pt idx="7">
                  <c:v>1609.8258469204147</c:v>
                </c:pt>
                <c:pt idx="8">
                  <c:v>1905.0110313610639</c:v>
                </c:pt>
                <c:pt idx="9">
                  <c:v>2091.4396333150894</c:v>
                </c:pt>
              </c:numCache>
            </c:numRef>
          </c:val>
          <c:extLst>
            <c:ext xmlns:c16="http://schemas.microsoft.com/office/drawing/2014/chart" uri="{C3380CC4-5D6E-409C-BE32-E72D297353CC}">
              <c16:uniqueId val="{00000001-C443-4515-8BC3-F69FFC65A496}"/>
            </c:ext>
          </c:extLst>
        </c:ser>
        <c:ser>
          <c:idx val="3"/>
          <c:order val="3"/>
          <c:tx>
            <c:strRef>
              <c:f>'Total with or Without AFOLU'!$H$55</c:f>
              <c:strCache>
                <c:ptCount val="1"/>
                <c:pt idx="0">
                  <c:v>Waste</c:v>
                </c:pt>
              </c:strCache>
            </c:strRef>
          </c:tx>
          <c:spPr>
            <a:solidFill>
              <a:srgbClr val="00B050"/>
            </a:solidFill>
            <a:ln w="25400">
              <a:noFill/>
            </a:ln>
          </c:spPr>
          <c:invertIfNegative val="0"/>
          <c:cat>
            <c:numRef>
              <c:f>'Total with or Without AFOLU'!$B$56:$B$65</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'Total with or Without AFOLU'!$H$56:$H$65</c:f>
              <c:numCache>
                <c:formatCode>#,##0.0</c:formatCode>
                <c:ptCount val="10"/>
                <c:pt idx="0">
                  <c:v>204.4751424711618</c:v>
                </c:pt>
                <c:pt idx="1">
                  <c:v>222.48146326129779</c:v>
                </c:pt>
                <c:pt idx="2">
                  <c:v>257.29104740225364</c:v>
                </c:pt>
                <c:pt idx="3">
                  <c:v>305.94065046093345</c:v>
                </c:pt>
                <c:pt idx="4">
                  <c:v>309.85937277567666</c:v>
                </c:pt>
                <c:pt idx="5">
                  <c:v>314.60184315607967</c:v>
                </c:pt>
                <c:pt idx="6">
                  <c:v>314.60184315607967</c:v>
                </c:pt>
                <c:pt idx="7">
                  <c:v>319.57890806861724</c:v>
                </c:pt>
                <c:pt idx="8">
                  <c:v>330.21905070818116</c:v>
                </c:pt>
                <c:pt idx="9">
                  <c:v>335.84154686755073</c:v>
                </c:pt>
              </c:numCache>
            </c:numRef>
          </c:val>
          <c:extLst>
            <c:ext xmlns:c16="http://schemas.microsoft.com/office/drawing/2014/chart" uri="{C3380CC4-5D6E-409C-BE32-E72D297353CC}">
              <c16:uniqueId val="{00000002-C443-4515-8BC3-F69FFC65A496}"/>
            </c:ext>
          </c:extLst>
        </c:ser>
        <c:dLbls>
          <c:showLegendKey val="0"/>
          <c:showVal val="0"/>
          <c:showCatName val="0"/>
          <c:showSerName val="0"/>
          <c:showPercent val="0"/>
          <c:showBubbleSize val="0"/>
        </c:dLbls>
        <c:gapWidth val="74"/>
        <c:overlap val="100"/>
        <c:axId val="132432640"/>
        <c:axId val="132434176"/>
      </c:barChart>
      <c:lineChart>
        <c:grouping val="standard"/>
        <c:varyColors val="0"/>
        <c:ser>
          <c:idx val="2"/>
          <c:order val="2"/>
          <c:tx>
            <c:strRef>
              <c:f>'Total with or Without AFOLU'!$G$55</c:f>
              <c:strCache>
                <c:ptCount val="1"/>
                <c:pt idx="0">
                  <c:v>AFOLU Emissions</c:v>
                </c:pt>
              </c:strCache>
            </c:strRef>
          </c:tx>
          <c:spPr>
            <a:ln w="28575" cap="rnd">
              <a:solidFill>
                <a:schemeClr val="accent3"/>
              </a:solidFill>
              <a:round/>
            </a:ln>
            <a:effectLst/>
          </c:spPr>
          <c:marker>
            <c:symbol val="none"/>
          </c:marker>
          <c:cat>
            <c:numRef>
              <c:f>'Total with or Without AFOLU'!$B$56:$B$65</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'Total with or Without AFOLU'!$G$56:$G$65</c:f>
              <c:numCache>
                <c:formatCode>#,##0.0</c:formatCode>
                <c:ptCount val="10"/>
                <c:pt idx="0">
                  <c:v>82990.116755149007</c:v>
                </c:pt>
                <c:pt idx="1">
                  <c:v>98946.535061313829</c:v>
                </c:pt>
                <c:pt idx="2">
                  <c:v>103175.3151746901</c:v>
                </c:pt>
                <c:pt idx="3">
                  <c:v>115424.96546870066</c:v>
                </c:pt>
                <c:pt idx="4">
                  <c:v>112399.57772389302</c:v>
                </c:pt>
                <c:pt idx="5">
                  <c:v>113022.22265150317</c:v>
                </c:pt>
                <c:pt idx="6">
                  <c:v>114054.36800265286</c:v>
                </c:pt>
                <c:pt idx="7">
                  <c:v>115374.90860662391</c:v>
                </c:pt>
                <c:pt idx="8">
                  <c:v>117140.95373004206</c:v>
                </c:pt>
                <c:pt idx="9">
                  <c:v>117887.54467761244</c:v>
                </c:pt>
              </c:numCache>
            </c:numRef>
          </c:val>
          <c:smooth val="0"/>
          <c:extLst>
            <c:ext xmlns:c16="http://schemas.microsoft.com/office/drawing/2014/chart" uri="{C3380CC4-5D6E-409C-BE32-E72D297353CC}">
              <c16:uniqueId val="{00000003-C443-4515-8BC3-F69FFC65A496}"/>
            </c:ext>
          </c:extLst>
        </c:ser>
        <c:ser>
          <c:idx val="4"/>
          <c:order val="4"/>
          <c:tx>
            <c:strRef>
              <c:f>'Total with or Without AFOLU'!$I$55</c:f>
              <c:strCache>
                <c:ptCount val="1"/>
                <c:pt idx="0">
                  <c:v>AFOLU Removals</c:v>
                </c:pt>
              </c:strCache>
            </c:strRef>
          </c:tx>
          <c:spPr>
            <a:ln w="28575" cap="rnd">
              <a:solidFill>
                <a:schemeClr val="accent1"/>
              </a:solidFill>
              <a:prstDash val="sysDot"/>
              <a:round/>
            </a:ln>
            <a:effectLst/>
          </c:spPr>
          <c:marker>
            <c:symbol val="none"/>
          </c:marker>
          <c:cat>
            <c:numRef>
              <c:f>'Total with or Without AFOLU'!$B$56:$B$65</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'Total with or Without AFOLU'!$I$56:$I$65</c:f>
              <c:numCache>
                <c:formatCode>#,##0.0</c:formatCode>
                <c:ptCount val="10"/>
                <c:pt idx="0">
                  <c:v>-142929.15379380001</c:v>
                </c:pt>
                <c:pt idx="1">
                  <c:v>-139624.24969899998</c:v>
                </c:pt>
                <c:pt idx="2">
                  <c:v>-138259.0361306</c:v>
                </c:pt>
                <c:pt idx="3">
                  <c:v>-137322.94155800002</c:v>
                </c:pt>
                <c:pt idx="4">
                  <c:v>-137213.58526333334</c:v>
                </c:pt>
                <c:pt idx="5">
                  <c:v>-137020.89786</c:v>
                </c:pt>
                <c:pt idx="6">
                  <c:v>-136828.20998000001</c:v>
                </c:pt>
                <c:pt idx="7">
                  <c:v>-136635.52235666665</c:v>
                </c:pt>
                <c:pt idx="8">
                  <c:v>-136442.8346233333</c:v>
                </c:pt>
                <c:pt idx="9">
                  <c:v>-136266.80268666666</c:v>
                </c:pt>
              </c:numCache>
            </c:numRef>
          </c:val>
          <c:smooth val="0"/>
          <c:extLst>
            <c:ext xmlns:c16="http://schemas.microsoft.com/office/drawing/2014/chart" uri="{C3380CC4-5D6E-409C-BE32-E72D297353CC}">
              <c16:uniqueId val="{00000004-C443-4515-8BC3-F69FFC65A496}"/>
            </c:ext>
          </c:extLst>
        </c:ser>
        <c:dLbls>
          <c:showLegendKey val="0"/>
          <c:showVal val="0"/>
          <c:showCatName val="0"/>
          <c:showSerName val="0"/>
          <c:showPercent val="0"/>
          <c:showBubbleSize val="0"/>
        </c:dLbls>
        <c:marker val="1"/>
        <c:smooth val="0"/>
        <c:axId val="132432640"/>
        <c:axId val="132434176"/>
      </c:lineChart>
      <c:catAx>
        <c:axId val="132432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1200" b="0" i="0" u="none" strike="noStrike" baseline="0">
                <a:solidFill>
                  <a:srgbClr val="333333"/>
                </a:solidFill>
                <a:latin typeface="Calibri"/>
                <a:ea typeface="Calibri"/>
                <a:cs typeface="Calibri"/>
              </a:defRPr>
            </a:pPr>
            <a:endParaRPr lang="en-US"/>
          </a:p>
        </c:txPr>
        <c:crossAx val="132434176"/>
        <c:crosses val="autoZero"/>
        <c:auto val="1"/>
        <c:lblAlgn val="ctr"/>
        <c:lblOffset val="100"/>
        <c:noMultiLvlLbl val="0"/>
      </c:catAx>
      <c:valAx>
        <c:axId val="132434176"/>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200" b="0" i="0" u="none" strike="noStrike" baseline="0">
                    <a:solidFill>
                      <a:srgbClr val="333333"/>
                    </a:solidFill>
                    <a:latin typeface="Calibri"/>
                    <a:ea typeface="Calibri"/>
                    <a:cs typeface="Calibri"/>
                  </a:defRPr>
                </a:pPr>
                <a:r>
                  <a:rPr lang="en-US"/>
                  <a:t>Emissions and Removals by sector(Gg CO2 eq.)</a:t>
                </a:r>
              </a:p>
            </c:rich>
          </c:tx>
          <c:overlay val="0"/>
          <c:spPr>
            <a:noFill/>
            <a:ln w="25400">
              <a:noFill/>
            </a:ln>
          </c:spPr>
        </c:title>
        <c:numFmt formatCode="#,##0.0" sourceLinked="1"/>
        <c:majorTickMark val="none"/>
        <c:minorTickMark val="none"/>
        <c:tickLblPos val="nextTo"/>
        <c:spPr>
          <a:ln w="6350">
            <a:noFill/>
          </a:ln>
        </c:spPr>
        <c:txPr>
          <a:bodyPr rot="0" vert="horz"/>
          <a:lstStyle/>
          <a:p>
            <a:pPr>
              <a:defRPr sz="1200" b="0" i="0" u="none" strike="noStrike" baseline="0">
                <a:solidFill>
                  <a:srgbClr val="333333"/>
                </a:solidFill>
                <a:latin typeface="Calibri"/>
                <a:ea typeface="Calibri"/>
                <a:cs typeface="Calibri"/>
              </a:defRPr>
            </a:pPr>
            <a:endParaRPr lang="en-US"/>
          </a:p>
        </c:txPr>
        <c:crossAx val="132432640"/>
        <c:crosses val="autoZero"/>
        <c:crossBetween val="between"/>
      </c:valAx>
      <c:spPr>
        <a:noFill/>
        <a:ln w="25400">
          <a:noFill/>
        </a:ln>
      </c:spPr>
    </c:plotArea>
    <c:legend>
      <c:legendPos val="b"/>
      <c:layout>
        <c:manualLayout>
          <c:xMode val="edge"/>
          <c:yMode val="edge"/>
          <c:x val="3.2455849073145603E-2"/>
          <c:y val="0.93691014907721504"/>
          <c:w val="0.96326686721571086"/>
          <c:h val="5.4968514311205197E-2"/>
        </c:manualLayout>
      </c:layout>
      <c:overlay val="0"/>
      <c:spPr>
        <a:noFill/>
        <a:ln w="25400">
          <a:noFill/>
        </a:ln>
      </c:spPr>
      <c:txPr>
        <a:bodyPr/>
        <a:lstStyle/>
        <a:p>
          <a:pPr>
            <a:defRPr sz="1200" b="0" i="0" u="none" strike="noStrike" baseline="0">
              <a:solidFill>
                <a:srgbClr val="333333"/>
              </a:solidFill>
              <a:latin typeface="Calibri"/>
              <a:ea typeface="Calibri"/>
              <a:cs typeface="Calibri"/>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442398212972664"/>
          <c:y val="0.12951837054609802"/>
          <c:w val="0.81062521845344693"/>
          <c:h val="0.56150823507238878"/>
        </c:manualLayout>
      </c:layout>
      <c:barChart>
        <c:barDir val="col"/>
        <c:grouping val="clustered"/>
        <c:varyColors val="0"/>
        <c:ser>
          <c:idx val="0"/>
          <c:order val="0"/>
          <c:tx>
            <c:strRef>
              <c:f>'CO2 AFOLU'!$D$15</c:f>
              <c:strCache>
                <c:ptCount val="1"/>
                <c:pt idx="0">
                  <c:v>Wood Removal(Gg  CO2 e)</c:v>
                </c:pt>
              </c:strCache>
            </c:strRef>
          </c:tx>
          <c:spPr>
            <a:pattFill prst="pct70">
              <a:fgClr>
                <a:schemeClr val="accent1"/>
              </a:fgClr>
              <a:bgClr>
                <a:schemeClr val="bg1"/>
              </a:bgClr>
            </a:pattFill>
            <a:ln w="28575" cap="rnd">
              <a:solidFill>
                <a:schemeClr val="accent1"/>
              </a:solidFill>
              <a:round/>
            </a:ln>
            <a:effectLst/>
          </c:spPr>
          <c:invertIfNegative val="0"/>
          <c:cat>
            <c:numRef>
              <c:f>'CO2 AFOLU'!$E$13:$N$13</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'CO2 AFOLU'!$E$15:$N$15</c:f>
              <c:numCache>
                <c:formatCode>#,##0.0</c:formatCode>
                <c:ptCount val="10"/>
                <c:pt idx="0">
                  <c:v>36516.980526121333</c:v>
                </c:pt>
                <c:pt idx="1">
                  <c:v>35896.310828590656</c:v>
                </c:pt>
                <c:pt idx="2">
                  <c:v>35214.084671164674</c:v>
                </c:pt>
                <c:pt idx="3">
                  <c:v>35073.076646590773</c:v>
                </c:pt>
                <c:pt idx="4">
                  <c:v>35064.311997000004</c:v>
                </c:pt>
                <c:pt idx="5">
                  <c:v>35055.547266666668</c:v>
                </c:pt>
                <c:pt idx="6">
                  <c:v>35046.782686666666</c:v>
                </c:pt>
                <c:pt idx="7">
                  <c:v>35038.018033333334</c:v>
                </c:pt>
                <c:pt idx="8">
                  <c:v>35018.253050000007</c:v>
                </c:pt>
                <c:pt idx="9">
                  <c:v>35022.230173333337</c:v>
                </c:pt>
              </c:numCache>
            </c:numRef>
          </c:val>
          <c:extLst>
            <c:ext xmlns:c16="http://schemas.microsoft.com/office/drawing/2014/chart" uri="{C3380CC4-5D6E-409C-BE32-E72D297353CC}">
              <c16:uniqueId val="{00000000-CA77-4FB3-9815-483B1079A452}"/>
            </c:ext>
          </c:extLst>
        </c:ser>
        <c:ser>
          <c:idx val="1"/>
          <c:order val="1"/>
          <c:tx>
            <c:strRef>
              <c:f>'CO2 AFOLU'!$D$16</c:f>
              <c:strCache>
                <c:ptCount val="1"/>
                <c:pt idx="0">
                  <c:v>Fuel Wood Removal(Gg  CO2 e)</c:v>
                </c:pt>
              </c:strCache>
            </c:strRef>
          </c:tx>
          <c:spPr>
            <a:pattFill prst="wdDnDiag">
              <a:fgClr>
                <a:schemeClr val="accent1"/>
              </a:fgClr>
              <a:bgClr>
                <a:schemeClr val="bg1"/>
              </a:bgClr>
            </a:pattFill>
            <a:ln w="28575" cap="rnd">
              <a:solidFill>
                <a:schemeClr val="accent2"/>
              </a:solidFill>
              <a:round/>
            </a:ln>
            <a:effectLst/>
          </c:spPr>
          <c:invertIfNegative val="0"/>
          <c:cat>
            <c:numRef>
              <c:f>'CO2 AFOLU'!$E$13:$N$13</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'CO2 AFOLU'!$E$16:$N$16</c:f>
              <c:numCache>
                <c:formatCode>#,##0.0</c:formatCode>
                <c:ptCount val="10"/>
                <c:pt idx="0">
                  <c:v>20250.014604915334</c:v>
                </c:pt>
                <c:pt idx="1">
                  <c:v>23646.671130543997</c:v>
                </c:pt>
                <c:pt idx="2">
                  <c:v>27127.239992764633</c:v>
                </c:pt>
                <c:pt idx="3">
                  <c:v>31482.878162442667</c:v>
                </c:pt>
                <c:pt idx="4">
                  <c:v>31927.735803333333</c:v>
                </c:pt>
                <c:pt idx="5">
                  <c:v>32839.758636666666</c:v>
                </c:pt>
                <c:pt idx="6">
                  <c:v>33780.959080000001</c:v>
                </c:pt>
                <c:pt idx="7">
                  <c:v>34752.35866666666</c:v>
                </c:pt>
                <c:pt idx="8">
                  <c:v>35755.039026666673</c:v>
                </c:pt>
                <c:pt idx="9">
                  <c:v>35877.856226666663</c:v>
                </c:pt>
              </c:numCache>
            </c:numRef>
          </c:val>
          <c:extLst>
            <c:ext xmlns:c16="http://schemas.microsoft.com/office/drawing/2014/chart" uri="{C3380CC4-5D6E-409C-BE32-E72D297353CC}">
              <c16:uniqueId val="{00000001-CA77-4FB3-9815-483B1079A452}"/>
            </c:ext>
          </c:extLst>
        </c:ser>
        <c:ser>
          <c:idx val="2"/>
          <c:order val="2"/>
          <c:tx>
            <c:strRef>
              <c:f>'CO2 AFOLU'!$D$17</c:f>
              <c:strCache>
                <c:ptCount val="1"/>
                <c:pt idx="0">
                  <c:v>Crop land(Gg  CO2 e)</c:v>
                </c:pt>
              </c:strCache>
            </c:strRef>
          </c:tx>
          <c:spPr>
            <a:pattFill prst="horzBrick">
              <a:fgClr>
                <a:schemeClr val="accent1"/>
              </a:fgClr>
              <a:bgClr>
                <a:schemeClr val="bg1"/>
              </a:bgClr>
            </a:pattFill>
            <a:ln w="28575" cap="rnd">
              <a:solidFill>
                <a:schemeClr val="accent3"/>
              </a:solidFill>
              <a:round/>
            </a:ln>
            <a:effectLst/>
          </c:spPr>
          <c:invertIfNegative val="0"/>
          <c:cat>
            <c:numRef>
              <c:f>'CO2 AFOLU'!$E$13:$N$13</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'CO2 AFOLU'!$E$17:$N$17</c:f>
              <c:numCache>
                <c:formatCode>#,##0.0</c:formatCode>
                <c:ptCount val="10"/>
                <c:pt idx="0">
                  <c:v>14023.159036938336</c:v>
                </c:pt>
                <c:pt idx="1">
                  <c:v>17947.904597553334</c:v>
                </c:pt>
                <c:pt idx="2">
                  <c:v>20514.928341764993</c:v>
                </c:pt>
                <c:pt idx="3">
                  <c:v>25653.049326666664</c:v>
                </c:pt>
                <c:pt idx="4">
                  <c:v>21855.681824166666</c:v>
                </c:pt>
                <c:pt idx="5">
                  <c:v>21855.681824166666</c:v>
                </c:pt>
                <c:pt idx="6">
                  <c:v>21855.681824166666</c:v>
                </c:pt>
                <c:pt idx="7">
                  <c:v>21855.681824166666</c:v>
                </c:pt>
                <c:pt idx="8">
                  <c:v>21855.681824166666</c:v>
                </c:pt>
                <c:pt idx="9">
                  <c:v>21855.681824166666</c:v>
                </c:pt>
              </c:numCache>
            </c:numRef>
          </c:val>
          <c:extLst>
            <c:ext xmlns:c16="http://schemas.microsoft.com/office/drawing/2014/chart" uri="{C3380CC4-5D6E-409C-BE32-E72D297353CC}">
              <c16:uniqueId val="{00000002-CA77-4FB3-9815-483B1079A452}"/>
            </c:ext>
          </c:extLst>
        </c:ser>
        <c:ser>
          <c:idx val="3"/>
          <c:order val="3"/>
          <c:tx>
            <c:strRef>
              <c:f>'CO2 AFOLU'!$D$18</c:f>
              <c:strCache>
                <c:ptCount val="1"/>
                <c:pt idx="0">
                  <c:v>Settlements(Gg  CO2 e)</c:v>
                </c:pt>
              </c:strCache>
            </c:strRef>
          </c:tx>
          <c:spPr>
            <a:ln w="28575" cap="rnd">
              <a:solidFill>
                <a:schemeClr val="accent4"/>
              </a:solidFill>
              <a:round/>
            </a:ln>
            <a:effectLst/>
          </c:spPr>
          <c:invertIfNegative val="0"/>
          <c:cat>
            <c:numRef>
              <c:f>'CO2 AFOLU'!$E$13:$N$13</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'CO2 AFOLU'!$E$18:$N$18</c:f>
              <c:numCache>
                <c:formatCode>#,##0.0</c:formatCode>
                <c:ptCount val="10"/>
                <c:pt idx="0">
                  <c:v>3137.8775761666666</c:v>
                </c:pt>
                <c:pt idx="1">
                  <c:v>11073.336165833332</c:v>
                </c:pt>
                <c:pt idx="2">
                  <c:v>8534.6153713333333</c:v>
                </c:pt>
                <c:pt idx="3">
                  <c:v>9975.7363255</c:v>
                </c:pt>
                <c:pt idx="4">
                  <c:v>9851.7774905000006</c:v>
                </c:pt>
                <c:pt idx="5">
                  <c:v>9851.7774905000006</c:v>
                </c:pt>
                <c:pt idx="6">
                  <c:v>9851.7774905000006</c:v>
                </c:pt>
                <c:pt idx="7">
                  <c:v>9851.7774905000006</c:v>
                </c:pt>
                <c:pt idx="8">
                  <c:v>9851.7774905000006</c:v>
                </c:pt>
                <c:pt idx="9">
                  <c:v>9851.7774905000006</c:v>
                </c:pt>
              </c:numCache>
            </c:numRef>
          </c:val>
          <c:extLst>
            <c:ext xmlns:c16="http://schemas.microsoft.com/office/drawing/2014/chart" uri="{C3380CC4-5D6E-409C-BE32-E72D297353CC}">
              <c16:uniqueId val="{00000003-CA77-4FB3-9815-483B1079A452}"/>
            </c:ext>
          </c:extLst>
        </c:ser>
        <c:ser>
          <c:idx val="5"/>
          <c:order val="4"/>
          <c:tx>
            <c:strRef>
              <c:f>'CO2 AFOLU'!$D$19</c:f>
              <c:strCache>
                <c:ptCount val="1"/>
                <c:pt idx="0">
                  <c:v>aggregate sources</c:v>
                </c:pt>
              </c:strCache>
            </c:strRef>
          </c:tx>
          <c:invertIfNegative val="0"/>
          <c:cat>
            <c:numRef>
              <c:f>'CO2 AFOLU'!$E$13:$N$13</c:f>
              <c:numCache>
                <c:formatCode>General</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'CO2 AFOLU'!$E$19:$N$19</c:f>
              <c:numCache>
                <c:formatCode>#,##0.0</c:formatCode>
                <c:ptCount val="10"/>
                <c:pt idx="0">
                  <c:v>0</c:v>
                </c:pt>
                <c:pt idx="1">
                  <c:v>22.029909</c:v>
                </c:pt>
                <c:pt idx="2">
                  <c:v>18.377333333333333</c:v>
                </c:pt>
                <c:pt idx="3">
                  <c:v>84.088106666666675</c:v>
                </c:pt>
                <c:pt idx="4">
                  <c:v>104.17411583333333</c:v>
                </c:pt>
                <c:pt idx="5">
                  <c:v>99.873678300000023</c:v>
                </c:pt>
                <c:pt idx="6">
                  <c:v>97.709750966666675</c:v>
                </c:pt>
                <c:pt idx="7">
                  <c:v>119.34103133333333</c:v>
                </c:pt>
                <c:pt idx="8">
                  <c:v>133.24921170000002</c:v>
                </c:pt>
                <c:pt idx="9">
                  <c:v>105.48886113333334</c:v>
                </c:pt>
              </c:numCache>
            </c:numRef>
          </c:val>
          <c:extLst>
            <c:ext xmlns:c16="http://schemas.microsoft.com/office/drawing/2014/chart" uri="{C3380CC4-5D6E-409C-BE32-E72D297353CC}">
              <c16:uniqueId val="{00000004-CA77-4FB3-9815-483B1079A452}"/>
            </c:ext>
          </c:extLst>
        </c:ser>
        <c:dLbls>
          <c:showLegendKey val="0"/>
          <c:showVal val="0"/>
          <c:showCatName val="0"/>
          <c:showSerName val="0"/>
          <c:showPercent val="0"/>
          <c:showBubbleSize val="0"/>
        </c:dLbls>
        <c:gapWidth val="150"/>
        <c:axId val="138489216"/>
        <c:axId val="138499200"/>
      </c:barChart>
      <c:catAx>
        <c:axId val="138489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a:pPr>
            <a:endParaRPr lang="en-US"/>
          </a:p>
        </c:txPr>
        <c:crossAx val="138499200"/>
        <c:crosses val="autoZero"/>
        <c:auto val="1"/>
        <c:lblAlgn val="ctr"/>
        <c:lblOffset val="100"/>
        <c:noMultiLvlLbl val="0"/>
      </c:catAx>
      <c:valAx>
        <c:axId val="138499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AFOLU CO2 Emissions (by Source Gg )</a:t>
                </a:r>
              </a:p>
            </c:rich>
          </c:tx>
          <c:layout>
            <c:manualLayout>
              <c:xMode val="edge"/>
              <c:yMode val="edge"/>
              <c:x val="7.5396662656751221E-3"/>
              <c:y val="0.12951847497077668"/>
            </c:manualLayout>
          </c:layout>
          <c:overlay val="0"/>
          <c:spPr>
            <a:noFill/>
            <a:ln w="25400">
              <a:noFill/>
            </a:ln>
          </c:spPr>
        </c:title>
        <c:numFmt formatCode="#,##0.0" sourceLinked="1"/>
        <c:majorTickMark val="none"/>
        <c:minorTickMark val="none"/>
        <c:tickLblPos val="nextTo"/>
        <c:spPr>
          <a:ln w="6350">
            <a:noFill/>
          </a:ln>
        </c:spPr>
        <c:txPr>
          <a:bodyPr rot="0" vert="horz"/>
          <a:lstStyle/>
          <a:p>
            <a:pPr>
              <a:defRPr/>
            </a:pPr>
            <a:endParaRPr lang="en-US"/>
          </a:p>
        </c:txPr>
        <c:crossAx val="138489216"/>
        <c:crosses val="autoZero"/>
        <c:crossBetween val="between"/>
      </c:valAx>
      <c:spPr>
        <a:noFill/>
        <a:ln w="25400">
          <a:noFill/>
        </a:ln>
      </c:spPr>
    </c:plotArea>
    <c:legend>
      <c:legendPos val="b"/>
      <c:layout>
        <c:manualLayout>
          <c:xMode val="edge"/>
          <c:yMode val="edge"/>
          <c:x val="2.5559174809989142E-2"/>
          <c:y val="0.74920544022906232"/>
          <c:w val="0.95341814357895815"/>
          <c:h val="0.21033238302108789"/>
        </c:manualLayout>
      </c:layout>
      <c:overlay val="0"/>
      <c:spPr>
        <a:noFill/>
        <a:ln w="25400">
          <a:noFill/>
        </a:ln>
      </c:sp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Garamond" panose="02020404030301010803" pitchFamily="18" charset="0"/>
          <a:ea typeface="Calibri"/>
          <a:cs typeface="Calibri"/>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492367222479545"/>
          <c:y val="4.5719035743973402E-2"/>
          <c:w val="0.72260900751376667"/>
          <c:h val="0.44930390559035482"/>
        </c:manualLayout>
      </c:layout>
      <c:barChart>
        <c:barDir val="col"/>
        <c:grouping val="percentStacked"/>
        <c:varyColors val="0"/>
        <c:ser>
          <c:idx val="2"/>
          <c:order val="0"/>
          <c:tx>
            <c:strRef>
              <c:f>Sheet2!$A$28</c:f>
              <c:strCache>
                <c:ptCount val="1"/>
                <c:pt idx="0">
                  <c:v>Dry Deciduous</c:v>
                </c:pt>
              </c:strCache>
            </c:strRef>
          </c:tx>
          <c:spPr>
            <a:solidFill>
              <a:srgbClr val="A5A5A5"/>
            </a:solidFill>
            <a:ln w="25400">
              <a:noFill/>
            </a:ln>
          </c:spPr>
          <c:invertIfNegative val="0"/>
          <c:cat>
            <c:numRef>
              <c:f>Sheet2!$B$26:$K$26</c:f>
              <c:numCache>
                <c:formatCode>0</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Sheet2!$B$28:$K$28</c:f>
              <c:numCache>
                <c:formatCode>#,##0.0</c:formatCode>
                <c:ptCount val="10"/>
                <c:pt idx="0">
                  <c:v>-11063.108047199999</c:v>
                </c:pt>
                <c:pt idx="1">
                  <c:v>-10881.430421399999</c:v>
                </c:pt>
                <c:pt idx="2">
                  <c:v>-10631.9843322</c:v>
                </c:pt>
                <c:pt idx="3">
                  <c:v>-10537.7427804</c:v>
                </c:pt>
                <c:pt idx="4">
                  <c:v>-10518.892083333334</c:v>
                </c:pt>
                <c:pt idx="5">
                  <c:v>-10500.041566666669</c:v>
                </c:pt>
                <c:pt idx="6">
                  <c:v>-10481.191233333335</c:v>
                </c:pt>
                <c:pt idx="7">
                  <c:v>-10462.340789999998</c:v>
                </c:pt>
                <c:pt idx="8">
                  <c:v>-10443.490346666667</c:v>
                </c:pt>
                <c:pt idx="9">
                  <c:v>-10424.639939999999</c:v>
                </c:pt>
              </c:numCache>
            </c:numRef>
          </c:val>
          <c:extLst>
            <c:ext xmlns:c16="http://schemas.microsoft.com/office/drawing/2014/chart" uri="{C3380CC4-5D6E-409C-BE32-E72D297353CC}">
              <c16:uniqueId val="{00000000-785E-40F4-9E28-2483A668C28A}"/>
            </c:ext>
          </c:extLst>
        </c:ser>
        <c:ser>
          <c:idx val="3"/>
          <c:order val="1"/>
          <c:tx>
            <c:strRef>
              <c:f>Sheet2!$A$29</c:f>
              <c:strCache>
                <c:ptCount val="1"/>
                <c:pt idx="0">
                  <c:v>Dry Evergreen</c:v>
                </c:pt>
              </c:strCache>
            </c:strRef>
          </c:tx>
          <c:spPr>
            <a:solidFill>
              <a:srgbClr val="FFC000"/>
            </a:solidFill>
            <a:ln w="25400">
              <a:noFill/>
            </a:ln>
          </c:spPr>
          <c:invertIfNegative val="0"/>
          <c:cat>
            <c:numRef>
              <c:f>Sheet2!$B$26:$K$26</c:f>
              <c:numCache>
                <c:formatCode>0</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Sheet2!$B$29:$K$29</c:f>
              <c:numCache>
                <c:formatCode>#,##0.0</c:formatCode>
                <c:ptCount val="10"/>
                <c:pt idx="0">
                  <c:v>-8821.3748501999999</c:v>
                </c:pt>
                <c:pt idx="1">
                  <c:v>-8674.3192667999992</c:v>
                </c:pt>
                <c:pt idx="2">
                  <c:v>-8472.3793770000011</c:v>
                </c:pt>
                <c:pt idx="3">
                  <c:v>-8394.1494186</c:v>
                </c:pt>
                <c:pt idx="4">
                  <c:v>-8370.3920666666672</c:v>
                </c:pt>
                <c:pt idx="5">
                  <c:v>-8355.3919533333337</c:v>
                </c:pt>
                <c:pt idx="6">
                  <c:v>-8340.3917666666657</c:v>
                </c:pt>
                <c:pt idx="7">
                  <c:v>-8325.3914333333323</c:v>
                </c:pt>
                <c:pt idx="8">
                  <c:v>-8310.3910999999989</c:v>
                </c:pt>
                <c:pt idx="9">
                  <c:v>-8293.6397500000003</c:v>
                </c:pt>
              </c:numCache>
            </c:numRef>
          </c:val>
          <c:extLst>
            <c:ext xmlns:c16="http://schemas.microsoft.com/office/drawing/2014/chart" uri="{C3380CC4-5D6E-409C-BE32-E72D297353CC}">
              <c16:uniqueId val="{00000001-785E-40F4-9E28-2483A668C28A}"/>
            </c:ext>
          </c:extLst>
        </c:ser>
        <c:ser>
          <c:idx val="4"/>
          <c:order val="2"/>
          <c:tx>
            <c:strRef>
              <c:f>Sheet2!$A$30</c:f>
              <c:strCache>
                <c:ptCount val="1"/>
                <c:pt idx="0">
                  <c:v>Eucalyptus Plantation</c:v>
                </c:pt>
              </c:strCache>
            </c:strRef>
          </c:tx>
          <c:spPr>
            <a:solidFill>
              <a:srgbClr val="4472C4"/>
            </a:solidFill>
            <a:ln w="25400">
              <a:noFill/>
            </a:ln>
          </c:spPr>
          <c:invertIfNegative val="0"/>
          <c:cat>
            <c:numRef>
              <c:f>Sheet2!$B$26:$K$26</c:f>
              <c:numCache>
                <c:formatCode>0</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Sheet2!$B$30:$K$30</c:f>
              <c:numCache>
                <c:formatCode>#,##0.0</c:formatCode>
                <c:ptCount val="10"/>
                <c:pt idx="0">
                  <c:v>-598.43783999999994</c:v>
                </c:pt>
                <c:pt idx="1">
                  <c:v>-641.45223999999996</c:v>
                </c:pt>
                <c:pt idx="2">
                  <c:v>-652.20583999999997</c:v>
                </c:pt>
                <c:pt idx="3">
                  <c:v>-656.23843999999997</c:v>
                </c:pt>
                <c:pt idx="4">
                  <c:v>-713.75971333333325</c:v>
                </c:pt>
                <c:pt idx="5">
                  <c:v>-712.48081666666678</c:v>
                </c:pt>
                <c:pt idx="6">
                  <c:v>-711.20170000000007</c:v>
                </c:pt>
                <c:pt idx="7">
                  <c:v>-709.92254666666656</c:v>
                </c:pt>
                <c:pt idx="8">
                  <c:v>-708.64339333333339</c:v>
                </c:pt>
                <c:pt idx="9">
                  <c:v>-719.11363333333327</c:v>
                </c:pt>
              </c:numCache>
            </c:numRef>
          </c:val>
          <c:extLst>
            <c:ext xmlns:c16="http://schemas.microsoft.com/office/drawing/2014/chart" uri="{C3380CC4-5D6E-409C-BE32-E72D297353CC}">
              <c16:uniqueId val="{00000002-785E-40F4-9E28-2483A668C28A}"/>
            </c:ext>
          </c:extLst>
        </c:ser>
        <c:ser>
          <c:idx val="5"/>
          <c:order val="3"/>
          <c:tx>
            <c:strRef>
              <c:f>Sheet2!$A$31</c:f>
              <c:strCache>
                <c:ptCount val="1"/>
                <c:pt idx="0">
                  <c:v>Forest Woodland</c:v>
                </c:pt>
              </c:strCache>
            </c:strRef>
          </c:tx>
          <c:spPr>
            <a:solidFill>
              <a:srgbClr val="70AD47"/>
            </a:solidFill>
            <a:ln w="25400">
              <a:noFill/>
            </a:ln>
          </c:spPr>
          <c:invertIfNegative val="0"/>
          <c:cat>
            <c:numRef>
              <c:f>Sheet2!$B$26:$K$26</c:f>
              <c:numCache>
                <c:formatCode>0</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Sheet2!$B$31:$K$31</c:f>
              <c:numCache>
                <c:formatCode>#,##0.0</c:formatCode>
                <c:ptCount val="10"/>
                <c:pt idx="0">
                  <c:v>-63744.509914799994</c:v>
                </c:pt>
                <c:pt idx="1">
                  <c:v>-62697.765761400005</c:v>
                </c:pt>
                <c:pt idx="2">
                  <c:v>-61260.532541999994</c:v>
                </c:pt>
                <c:pt idx="3">
                  <c:v>-60717.459818400006</c:v>
                </c:pt>
                <c:pt idx="4">
                  <c:v>-60608.854496666667</c:v>
                </c:pt>
                <c:pt idx="5">
                  <c:v>-60500.240093333334</c:v>
                </c:pt>
                <c:pt idx="6">
                  <c:v>-60391.625433333335</c:v>
                </c:pt>
                <c:pt idx="7">
                  <c:v>-60283.011323333332</c:v>
                </c:pt>
                <c:pt idx="8">
                  <c:v>-60174.396956666671</c:v>
                </c:pt>
                <c:pt idx="9">
                  <c:v>-60065.782333333336</c:v>
                </c:pt>
              </c:numCache>
            </c:numRef>
          </c:val>
          <c:extLst>
            <c:ext xmlns:c16="http://schemas.microsoft.com/office/drawing/2014/chart" uri="{C3380CC4-5D6E-409C-BE32-E72D297353CC}">
              <c16:uniqueId val="{00000003-785E-40F4-9E28-2483A668C28A}"/>
            </c:ext>
          </c:extLst>
        </c:ser>
        <c:ser>
          <c:idx val="7"/>
          <c:order val="4"/>
          <c:tx>
            <c:strRef>
              <c:f>Sheet2!$A$32</c:f>
              <c:strCache>
                <c:ptCount val="1"/>
                <c:pt idx="0">
                  <c:v>Moist Evergreen</c:v>
                </c:pt>
              </c:strCache>
            </c:strRef>
          </c:tx>
          <c:spPr>
            <a:solidFill>
              <a:schemeClr val="accent2">
                <a:lumMod val="60000"/>
              </a:schemeClr>
            </a:solidFill>
            <a:ln>
              <a:noFill/>
            </a:ln>
            <a:effectLst/>
          </c:spPr>
          <c:invertIfNegative val="0"/>
          <c:cat>
            <c:numRef>
              <c:f>Sheet2!$B$26:$K$26</c:f>
              <c:numCache>
                <c:formatCode>0</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Sheet2!$B$32:$K$32</c:f>
              <c:numCache>
                <c:formatCode>#,##0.0</c:formatCode>
                <c:ptCount val="10"/>
                <c:pt idx="0">
                  <c:v>-21599.375206199999</c:v>
                </c:pt>
                <c:pt idx="1">
                  <c:v>-21244.697489399998</c:v>
                </c:pt>
                <c:pt idx="2">
                  <c:v>-20757.698379000001</c:v>
                </c:pt>
                <c:pt idx="3">
                  <c:v>-20573.686188</c:v>
                </c:pt>
                <c:pt idx="4">
                  <c:v>-20536.884573333333</c:v>
                </c:pt>
                <c:pt idx="5">
                  <c:v>-20500.081323333336</c:v>
                </c:pt>
                <c:pt idx="6">
                  <c:v>-20463.278110000003</c:v>
                </c:pt>
                <c:pt idx="7">
                  <c:v>-20426.474896666663</c:v>
                </c:pt>
                <c:pt idx="8">
                  <c:v>-20389.671683333334</c:v>
                </c:pt>
                <c:pt idx="9">
                  <c:v>-20352.868433333333</c:v>
                </c:pt>
              </c:numCache>
            </c:numRef>
          </c:val>
          <c:extLst>
            <c:ext xmlns:c16="http://schemas.microsoft.com/office/drawing/2014/chart" uri="{C3380CC4-5D6E-409C-BE32-E72D297353CC}">
              <c16:uniqueId val="{00000004-785E-40F4-9E28-2483A668C28A}"/>
            </c:ext>
          </c:extLst>
        </c:ser>
        <c:ser>
          <c:idx val="8"/>
          <c:order val="5"/>
          <c:tx>
            <c:strRef>
              <c:f>Sheet2!$A$33</c:f>
              <c:strCache>
                <c:ptCount val="1"/>
                <c:pt idx="0">
                  <c:v>Other Wooded Land</c:v>
                </c:pt>
              </c:strCache>
            </c:strRef>
          </c:tx>
          <c:spPr>
            <a:solidFill>
              <a:schemeClr val="accent3">
                <a:lumMod val="60000"/>
              </a:schemeClr>
            </a:solidFill>
            <a:ln>
              <a:noFill/>
            </a:ln>
            <a:effectLst/>
          </c:spPr>
          <c:invertIfNegative val="0"/>
          <c:cat>
            <c:numRef>
              <c:f>Sheet2!$B$26:$K$26</c:f>
              <c:numCache>
                <c:formatCode>0</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Sheet2!$B$33:$K$33</c:f>
              <c:numCache>
                <c:formatCode>#,##0.0</c:formatCode>
                <c:ptCount val="10"/>
                <c:pt idx="0">
                  <c:v>-36380.388455399996</c:v>
                </c:pt>
                <c:pt idx="1">
                  <c:v>-36176.950920000003</c:v>
                </c:pt>
                <c:pt idx="2">
                  <c:v>-35799.500180399998</c:v>
                </c:pt>
                <c:pt idx="3">
                  <c:v>-35745.342672600003</c:v>
                </c:pt>
                <c:pt idx="4">
                  <c:v>-35734.51845333333</c:v>
                </c:pt>
                <c:pt idx="5">
                  <c:v>-35723.686863333329</c:v>
                </c:pt>
                <c:pt idx="6">
                  <c:v>-35712.855273333334</c:v>
                </c:pt>
                <c:pt idx="7">
                  <c:v>-35702.023500000003</c:v>
                </c:pt>
                <c:pt idx="8">
                  <c:v>-35691.192093333331</c:v>
                </c:pt>
                <c:pt idx="9">
                  <c:v>-35680.360466666665</c:v>
                </c:pt>
              </c:numCache>
            </c:numRef>
          </c:val>
          <c:extLst>
            <c:ext xmlns:c16="http://schemas.microsoft.com/office/drawing/2014/chart" uri="{C3380CC4-5D6E-409C-BE32-E72D297353CC}">
              <c16:uniqueId val="{00000005-785E-40F4-9E28-2483A668C28A}"/>
            </c:ext>
          </c:extLst>
        </c:ser>
        <c:ser>
          <c:idx val="9"/>
          <c:order val="6"/>
          <c:tx>
            <c:strRef>
              <c:f>Sheet2!$A$34</c:f>
              <c:strCache>
                <c:ptCount val="1"/>
                <c:pt idx="0">
                  <c:v>Pine Plantation</c:v>
                </c:pt>
              </c:strCache>
            </c:strRef>
          </c:tx>
          <c:spPr>
            <a:solidFill>
              <a:schemeClr val="accent4">
                <a:lumMod val="60000"/>
              </a:schemeClr>
            </a:solidFill>
            <a:ln>
              <a:noFill/>
            </a:ln>
            <a:effectLst/>
          </c:spPr>
          <c:invertIfNegative val="0"/>
          <c:cat>
            <c:numRef>
              <c:f>Sheet2!$B$26:$K$26</c:f>
              <c:numCache>
                <c:formatCode>0</c:formatCode>
                <c:ptCount val="10"/>
                <c:pt idx="0">
                  <c:v>1994</c:v>
                </c:pt>
                <c:pt idx="1">
                  <c:v>2000</c:v>
                </c:pt>
                <c:pt idx="2">
                  <c:v>2005</c:v>
                </c:pt>
                <c:pt idx="3">
                  <c:v>2010</c:v>
                </c:pt>
                <c:pt idx="4">
                  <c:v>2011</c:v>
                </c:pt>
                <c:pt idx="5">
                  <c:v>2012</c:v>
                </c:pt>
                <c:pt idx="6">
                  <c:v>2013</c:v>
                </c:pt>
                <c:pt idx="7">
                  <c:v>2014</c:v>
                </c:pt>
                <c:pt idx="8">
                  <c:v>2015</c:v>
                </c:pt>
                <c:pt idx="9">
                  <c:v>2016</c:v>
                </c:pt>
              </c:numCache>
            </c:numRef>
          </c:cat>
          <c:val>
            <c:numRef>
              <c:f>Sheet2!$B$34:$K$34</c:f>
              <c:numCache>
                <c:formatCode>#,##0.0</c:formatCode>
                <c:ptCount val="10"/>
                <c:pt idx="0">
                  <c:v>-721.95947999999999</c:v>
                </c:pt>
                <c:pt idx="1">
                  <c:v>692.3664</c:v>
                </c:pt>
                <c:pt idx="2">
                  <c:v>-684.73548000000005</c:v>
                </c:pt>
                <c:pt idx="3">
                  <c:v>-698.32223999999997</c:v>
                </c:pt>
                <c:pt idx="4">
                  <c:v>-730.28387666666663</c:v>
                </c:pt>
                <c:pt idx="5">
                  <c:v>-728.97524333333331</c:v>
                </c:pt>
                <c:pt idx="6">
                  <c:v>-727.66646333333324</c:v>
                </c:pt>
                <c:pt idx="7">
                  <c:v>-726.35786666666672</c:v>
                </c:pt>
                <c:pt idx="8">
                  <c:v>-725.04904999999997</c:v>
                </c:pt>
                <c:pt idx="9">
                  <c:v>-730.39812999999992</c:v>
                </c:pt>
              </c:numCache>
            </c:numRef>
          </c:val>
          <c:extLst>
            <c:ext xmlns:c16="http://schemas.microsoft.com/office/drawing/2014/chart" uri="{C3380CC4-5D6E-409C-BE32-E72D297353CC}">
              <c16:uniqueId val="{00000006-785E-40F4-9E28-2483A668C28A}"/>
            </c:ext>
          </c:extLst>
        </c:ser>
        <c:dLbls>
          <c:showLegendKey val="0"/>
          <c:showVal val="0"/>
          <c:showCatName val="0"/>
          <c:showSerName val="0"/>
          <c:showPercent val="0"/>
          <c:showBubbleSize val="0"/>
        </c:dLbls>
        <c:gapWidth val="95"/>
        <c:overlap val="100"/>
        <c:axId val="144478976"/>
        <c:axId val="144480512"/>
      </c:barChart>
      <c:catAx>
        <c:axId val="14447897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a:pPr>
            <a:endParaRPr lang="en-US"/>
          </a:p>
        </c:txPr>
        <c:crossAx val="144480512"/>
        <c:crosses val="autoZero"/>
        <c:auto val="1"/>
        <c:lblAlgn val="ctr"/>
        <c:lblOffset val="100"/>
        <c:noMultiLvlLbl val="0"/>
      </c:catAx>
      <c:valAx>
        <c:axId val="144480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lgn="ctr" rtl="0">
                  <a:defRPr sz="1100"/>
                </a:pPr>
                <a:r>
                  <a:rPr lang="en-US" sz="1100"/>
                  <a:t>Percentage Contributions of Emissions removals by Forest Classification </a:t>
                </a:r>
              </a:p>
              <a:p>
                <a:pPr algn="ctr" rtl="0">
                  <a:defRPr sz="1100"/>
                </a:pPr>
                <a:endParaRPr lang="en-US" sz="1100"/>
              </a:p>
            </c:rich>
          </c:tx>
          <c:layout>
            <c:manualLayout>
              <c:xMode val="edge"/>
              <c:yMode val="edge"/>
              <c:x val="1.2812966393906645E-3"/>
              <c:y val="3.3204390598307377E-3"/>
            </c:manualLayout>
          </c:layout>
          <c:overlay val="0"/>
        </c:title>
        <c:numFmt formatCode="0%" sourceLinked="1"/>
        <c:majorTickMark val="none"/>
        <c:minorTickMark val="none"/>
        <c:tickLblPos val="nextTo"/>
        <c:txPr>
          <a:bodyPr rot="0" vert="horz"/>
          <a:lstStyle/>
          <a:p>
            <a:pPr>
              <a:defRPr/>
            </a:pPr>
            <a:endParaRPr lang="en-US"/>
          </a:p>
        </c:txPr>
        <c:crossAx val="144478976"/>
        <c:crosses val="autoZero"/>
        <c:crossBetween val="between"/>
      </c:valAx>
      <c:dTable>
        <c:showHorzBorder val="1"/>
        <c:showVertBorder val="1"/>
        <c:showOutline val="1"/>
        <c:showKeys val="1"/>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Garamond" panose="02020404030301010803" pitchFamily="18" charset="0"/>
          <a:ea typeface="Calibri"/>
          <a:cs typeface="Calibri"/>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936207532792424"/>
          <c:y val="0.19775900857220433"/>
          <c:w val="0.50794291338582676"/>
          <c:h val="0.73107237421798932"/>
        </c:manualLayout>
      </c:layout>
      <c:pieChart>
        <c:varyColors val="1"/>
        <c:ser>
          <c:idx val="0"/>
          <c:order val="0"/>
          <c:explosion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B9D-4324-8D6A-F2513C4B5BD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B9D-4324-8D6A-F2513C4B5BD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B9D-4324-8D6A-F2513C4B5BD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EB9D-4324-8D6A-F2513C4B5BD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EB9D-4324-8D6A-F2513C4B5BD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EB9D-4324-8D6A-F2513C4B5BD3}"/>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EB9D-4324-8D6A-F2513C4B5BD3}"/>
              </c:ext>
            </c:extLst>
          </c:dPt>
          <c:dLbls>
            <c:dLbl>
              <c:idx val="0"/>
              <c:layout>
                <c:manualLayout>
                  <c:x val="1.8375324887068775E-2"/>
                  <c:y val="-5.8336802169599411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9D-4324-8D6A-F2513C4B5BD3}"/>
                </c:ext>
              </c:extLst>
            </c:dLbl>
            <c:dLbl>
              <c:idx val="1"/>
              <c:layout>
                <c:manualLayout>
                  <c:x val="7.4999999999999997E-2"/>
                  <c:y val="-5.5972022803090236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9D-4324-8D6A-F2513C4B5BD3}"/>
                </c:ext>
              </c:extLst>
            </c:dLbl>
            <c:dLbl>
              <c:idx val="2"/>
              <c:layout>
                <c:manualLayout>
                  <c:x val="6.6073969669453864E-2"/>
                  <c:y val="9.382479363992545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9D-4324-8D6A-F2513C4B5BD3}"/>
                </c:ext>
              </c:extLst>
            </c:dLbl>
            <c:dLbl>
              <c:idx val="3"/>
              <c:layout>
                <c:manualLayout>
                  <c:x val="8.3587136869767042E-2"/>
                  <c:y val="2.3274872526331529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B9D-4324-8D6A-F2513C4B5BD3}"/>
                </c:ext>
              </c:extLst>
            </c:dLbl>
            <c:dLbl>
              <c:idx val="4"/>
              <c:layout>
                <c:manualLayout>
                  <c:x val="-9.5784860022826018E-3"/>
                  <c:y val="3.7242008334910079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EB9D-4324-8D6A-F2513C4B5BD3}"/>
                </c:ext>
              </c:extLst>
            </c:dLbl>
            <c:dLbl>
              <c:idx val="5"/>
              <c:layout>
                <c:manualLayout>
                  <c:x val="-8.3035668044539504E-2"/>
                  <c:y val="-5.3133838861639977E-3"/>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EB9D-4324-8D6A-F2513C4B5BD3}"/>
                </c:ext>
              </c:extLst>
            </c:dLbl>
            <c:dLbl>
              <c:idx val="6"/>
              <c:layout>
                <c:manualLayout>
                  <c:x val="-0.10359308314231737"/>
                  <c:y val="-2.7110289587184273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EB9D-4324-8D6A-F2513C4B5BD3}"/>
                </c:ext>
              </c:extLst>
            </c:dLbl>
            <c:dLbl>
              <c:idx val="7"/>
              <c:layout>
                <c:manualLayout>
                  <c:x val="-5.8333333333333348E-2"/>
                  <c:y val="4.137283170230989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E-EB9D-4324-8D6A-F2513C4B5BD3}"/>
                </c:ext>
              </c:extLst>
            </c:dLbl>
            <c:dLbl>
              <c:idx val="8"/>
              <c:layout>
                <c:manualLayout>
                  <c:x val="-0.22222222222222221"/>
                  <c:y val="-2.3987950051708635E-2"/>
                </c:manualLayout>
              </c:layout>
              <c:numFmt formatCode="0.00%" sourceLinked="0"/>
              <c:spPr>
                <a:noFill/>
                <a:ln w="25400">
                  <a:noFill/>
                </a:ln>
              </c:spPr>
              <c:txPr>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EB9D-4324-8D6A-F2513C4B5BD3}"/>
                </c:ext>
              </c:extLst>
            </c:dLbl>
            <c:numFmt formatCode="0.00%" sourceLinked="0"/>
            <c:spPr>
              <a:noFill/>
              <a:ln w="25400">
                <a:noFill/>
              </a:ln>
            </c:spPr>
            <c:txPr>
              <a:bodyPr wrap="square" lIns="38100" tIns="19050" rIns="38100" bIns="19050" anchor="ctr">
                <a:spAutoFit/>
              </a:bodyPr>
              <a:lstStyle/>
              <a:p>
                <a:pPr>
                  <a:defRPr sz="1100" b="0" i="0" u="none" strike="noStrike" baseline="0">
                    <a:solidFill>
                      <a:srgbClr val="333333"/>
                    </a:solidFill>
                    <a:latin typeface="Garamond" panose="02020404030301010803" pitchFamily="18" charset="0"/>
                    <a:ea typeface="Calibri"/>
                    <a:cs typeface="Calibri"/>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Sheet2!$A$28:$A$34</c:f>
              <c:strCache>
                <c:ptCount val="7"/>
                <c:pt idx="0">
                  <c:v>Dry Deciduous</c:v>
                </c:pt>
                <c:pt idx="1">
                  <c:v>Dry Evergreen</c:v>
                </c:pt>
                <c:pt idx="2">
                  <c:v>Eucalyptus Plantation</c:v>
                </c:pt>
                <c:pt idx="3">
                  <c:v>Forest Woodland</c:v>
                </c:pt>
                <c:pt idx="4">
                  <c:v>Moist Evergreen</c:v>
                </c:pt>
                <c:pt idx="5">
                  <c:v>Other Wooded Land</c:v>
                </c:pt>
                <c:pt idx="6">
                  <c:v>Pine Plantation</c:v>
                </c:pt>
              </c:strCache>
            </c:strRef>
          </c:cat>
          <c:val>
            <c:numRef>
              <c:f>Sheet2!$K$28:$K$34</c:f>
              <c:numCache>
                <c:formatCode>#,##0.0</c:formatCode>
                <c:ptCount val="7"/>
                <c:pt idx="0">
                  <c:v>-10424.639939999999</c:v>
                </c:pt>
                <c:pt idx="1">
                  <c:v>-8293.6397500000003</c:v>
                </c:pt>
                <c:pt idx="2">
                  <c:v>-719.11363333333327</c:v>
                </c:pt>
                <c:pt idx="3">
                  <c:v>-60065.782333333336</c:v>
                </c:pt>
                <c:pt idx="4">
                  <c:v>-20352.868433333333</c:v>
                </c:pt>
                <c:pt idx="5">
                  <c:v>-35680.360466666665</c:v>
                </c:pt>
                <c:pt idx="6">
                  <c:v>-730.39812999999992</c:v>
                </c:pt>
              </c:numCache>
            </c:numRef>
          </c:val>
          <c:extLst>
            <c:ext xmlns:c16="http://schemas.microsoft.com/office/drawing/2014/chart" uri="{C3380CC4-5D6E-409C-BE32-E72D297353CC}">
              <c16:uniqueId val="{00000010-EB9D-4324-8D6A-F2513C4B5BD3}"/>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33098362704662"/>
          <c:y val="0.26078837668511251"/>
          <c:w val="0.4338523622047244"/>
          <c:h val="0.65384354216880181"/>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EEF-4FF5-865E-32E41FFB8B6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EEF-4FF5-865E-32E41FFB8B6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EEF-4FF5-865E-32E41FFB8B6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EEF-4FF5-865E-32E41FFB8B6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EEF-4FF5-865E-32E41FFB8B66}"/>
              </c:ext>
            </c:extLst>
          </c:dPt>
          <c:dLbls>
            <c:dLbl>
              <c:idx val="0"/>
              <c:layout>
                <c:manualLayout>
                  <c:x val="0.19827401685316592"/>
                  <c:y val="-5.0044675709516269E-2"/>
                </c:manualLayout>
              </c:layout>
              <c:dLblPos val="bestFit"/>
              <c:showLegendKey val="1"/>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6EEF-4FF5-865E-32E41FFB8B66}"/>
                </c:ext>
              </c:extLst>
            </c:dLbl>
            <c:dLbl>
              <c:idx val="1"/>
              <c:layout>
                <c:manualLayout>
                  <c:x val="-0.18524797484818445"/>
                  <c:y val="-4.5039708019330202E-2"/>
                </c:manualLayout>
              </c:layout>
              <c:dLblPos val="bestFit"/>
              <c:showLegendKey val="1"/>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6EEF-4FF5-865E-32E41FFB8B66}"/>
                </c:ext>
              </c:extLst>
            </c:dLbl>
            <c:dLbl>
              <c:idx val="2"/>
              <c:layout>
                <c:manualLayout>
                  <c:x val="-0.26273607326879606"/>
                  <c:y val="-0.12124429725254303"/>
                </c:manualLayout>
              </c:layout>
              <c:dLblPos val="bestFit"/>
              <c:showLegendKey val="1"/>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6EEF-4FF5-865E-32E41FFB8B66}"/>
                </c:ext>
              </c:extLst>
            </c:dLbl>
            <c:dLbl>
              <c:idx val="3"/>
              <c:layout>
                <c:manualLayout>
                  <c:x val="0.21831573235129598"/>
                  <c:y val="-0.11098070359230847"/>
                </c:manualLayout>
              </c:layout>
              <c:dLblPos val="bestFit"/>
              <c:showLegendKey val="1"/>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7-6EEF-4FF5-865E-32E41FFB8B66}"/>
                </c:ext>
              </c:extLst>
            </c:dLbl>
            <c:dLbl>
              <c:idx val="4"/>
              <c:layout>
                <c:manualLayout>
                  <c:x val="0.24004890630802042"/>
                  <c:y val="1.2599439018620526E-2"/>
                </c:manualLayout>
              </c:layout>
              <c:dLblPos val="bestFit"/>
              <c:showLegendKey val="1"/>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9-6EEF-4FF5-865E-32E41FFB8B66}"/>
                </c:ext>
              </c:extLst>
            </c:dLbl>
            <c:numFmt formatCode="0.0%" sourceLinked="0"/>
            <c:spPr>
              <a:noFill/>
              <a:ln w="25400">
                <a:noFill/>
              </a:ln>
            </c:spPr>
            <c:dLblPos val="outEnd"/>
            <c:showLegendKey val="1"/>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'By Gas'!$K$28:$O$28</c:f>
              <c:strCache>
                <c:ptCount val="5"/>
                <c:pt idx="0">
                  <c:v>CO2</c:v>
                </c:pt>
                <c:pt idx="1">
                  <c:v>CH4</c:v>
                </c:pt>
                <c:pt idx="2">
                  <c:v>N2O</c:v>
                </c:pt>
                <c:pt idx="3">
                  <c:v>HFCs</c:v>
                </c:pt>
                <c:pt idx="4">
                  <c:v>SF6</c:v>
                </c:pt>
              </c:strCache>
            </c:strRef>
          </c:cat>
          <c:val>
            <c:numRef>
              <c:f>'By Gas'!$K$38:$O$38</c:f>
              <c:numCache>
                <c:formatCode>#,##0.0</c:formatCode>
                <c:ptCount val="5"/>
                <c:pt idx="0">
                  <c:v>110828.45459821755</c:v>
                </c:pt>
                <c:pt idx="1">
                  <c:v>11413.075391200782</c:v>
                </c:pt>
                <c:pt idx="2">
                  <c:v>4405.5251483031498</c:v>
                </c:pt>
                <c:pt idx="3">
                  <c:v>111.25942510900596</c:v>
                </c:pt>
                <c:pt idx="4">
                  <c:v>0</c:v>
                </c:pt>
              </c:numCache>
            </c:numRef>
          </c:val>
          <c:extLst>
            <c:ext xmlns:c16="http://schemas.microsoft.com/office/drawing/2014/chart" uri="{C3380CC4-5D6E-409C-BE32-E72D297353CC}">
              <c16:uniqueId val="{0000000A-6EEF-4FF5-865E-32E41FFB8B66}"/>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Garamond" panose="02020404030301010803" pitchFamily="18" charset="0"/>
          <a:ea typeface="Calibri"/>
          <a:cs typeface="Calibri"/>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204/1/20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BUR Submission" ma:contentTypeID="0x010100AA708D2C4755433BB496E8FC1CD0EEDC00128F3AFD1F4C6F4CA8189D4439F904AF" ma:contentTypeVersion="2" ma:contentTypeDescription="Biennial Update Report Submission Content Type" ma:contentTypeScope="" ma:versionID="ae74affe9baf7d60d2133c5a96d0ad83">
  <xsd:schema xmlns:xsd="http://www.w3.org/2001/XMLSchema" xmlns:xs="http://www.w3.org/2001/XMLSchema" xmlns:p="http://schemas.microsoft.com/office/2006/metadata/properties" xmlns:ns2="e797f6dd-fd82-440c-8368-2d31177d6268" targetNamespace="http://schemas.microsoft.com/office/2006/metadata/properties" ma:root="true" ma:fieldsID="52b240a645b96a7f9f3d9042ee731296" ns2:_="">
    <xsd:import namespace="e797f6dd-fd82-440c-8368-2d31177d6268"/>
    <xsd:element name="properties">
      <xsd:complexType>
        <xsd:sequence>
          <xsd:element name="documentManagement">
            <xsd:complexType>
              <xsd:all>
                <xsd:element ref="ns2:SubmissionStatus" minOccurs="0"/>
                <xsd:element ref="ns2:Party" minOccurs="0"/>
                <xsd:element ref="ns2:SubmissionCycle" minOccurs="0"/>
                <xsd:element ref="ns2:SubmissionNumber" minOccurs="0"/>
                <xsd:element ref="ns2:RecordType" minOccurs="0"/>
                <xsd:element ref="ns2:SubmissionDate" minOccurs="0"/>
                <xsd:element ref="ns2:UNF3CLanguage" minOccurs="0"/>
                <xsd:element ref="ns2:PartyComment" minOccurs="0"/>
                <xsd:element ref="ns2:SecretariatCom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97f6dd-fd82-440c-8368-2d31177d6268" elementFormDefault="qualified">
    <xsd:import namespace="http://schemas.microsoft.com/office/2006/documentManagement/types"/>
    <xsd:import namespace="http://schemas.microsoft.com/office/infopath/2007/PartnerControls"/>
    <xsd:element name="SubmissionStatus" ma:index="8" nillable="true" ma:displayName="Submission Status" ma:internalName="SubmissionStatus">
      <xsd:simpleType>
        <xsd:restriction base="dms:Choice">
          <xsd:enumeration value="Submitted"/>
          <xsd:enumeration value="Validated"/>
          <xsd:enumeration value="Published"/>
          <xsd:enumeration value="Rejected"/>
        </xsd:restriction>
      </xsd:simpleType>
    </xsd:element>
    <xsd:element name="Party" ma:index="9" nillable="true" ma:displayName="Party" ma:internalName="Party">
      <xsd:simpleType>
        <xsd:restriction base="dms:Text"/>
      </xsd:simpleType>
    </xsd:element>
    <xsd:element name="SubmissionCycle" ma:index="10" nillable="true" ma:displayName="Submission Cycle" ma:internalName="SubmissionCycle">
      <xsd:simpleType>
        <xsd:restriction base="dms:Choice">
          <xsd:enumeration value="NC1"/>
          <xsd:enumeration value="NC2"/>
          <xsd:enumeration value="NC3"/>
          <xsd:enumeration value="NC4"/>
          <xsd:enumeration value="NC5"/>
          <xsd:enumeration value="NC6"/>
          <xsd:enumeration value="NC7"/>
          <xsd:enumeration value="NC8"/>
          <xsd:enumeration value="NC9"/>
          <xsd:enumeration value="NC10"/>
          <xsd:enumeration value="BR1"/>
          <xsd:enumeration value="BR2"/>
          <xsd:enumeration value="BR3"/>
          <xsd:enumeration value="BR4"/>
          <xsd:enumeration value="BR5"/>
          <xsd:enumeration value="BUR1"/>
          <xsd:enumeration value="BUR2"/>
          <xsd:enumeration value="BUR3"/>
          <xsd:enumeration value="BUR4"/>
          <xsd:enumeration value="BUR5"/>
        </xsd:restriction>
      </xsd:simpleType>
    </xsd:element>
    <xsd:element name="SubmissionNumber" ma:index="11" nillable="true" ma:displayName="Submission Number" ma:internalName="SubmissionNumber">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restriction>
      </xsd:simpleType>
    </xsd:element>
    <xsd:element name="RecordType" ma:index="12" nillable="true" ma:displayName="Record Type" ma:internalName="RecordType">
      <xsd:simpleType>
        <xsd:restriction base="dms:Choice">
          <xsd:enumeration value="National Communication"/>
          <xsd:enumeration value="Biennial Report"/>
          <xsd:enumeration value="Biennial Update Report"/>
          <xsd:enumeration value="National Inventory Report"/>
          <xsd:enumeration value="Additional Information"/>
          <xsd:enumeration value="Cover Letter"/>
          <xsd:enumeration value="Acknowlegement of receipt"/>
          <xsd:enumeration value="Communication"/>
        </xsd:restriction>
      </xsd:simpleType>
    </xsd:element>
    <xsd:element name="SubmissionDate" ma:index="13" nillable="true" ma:displayName="Submission Date" ma:internalName="SubmissionDate">
      <xsd:simpleType>
        <xsd:restriction base="dms:DateTime"/>
      </xsd:simpleType>
    </xsd:element>
    <xsd:element name="UNF3CLanguage" ma:index="14" nillable="true" ma:displayName="Language" ma:internalName="UNF3CLanguage">
      <xsd:simpleType>
        <xsd:restriction base="dms:Choice">
          <xsd:enumeration value="English"/>
          <xsd:enumeration value="Arabic"/>
          <xsd:enumeration value="Chinese"/>
          <xsd:enumeration value="French"/>
          <xsd:enumeration value="Spanish"/>
          <xsd:enumeration value="Russian"/>
        </xsd:restriction>
      </xsd:simpleType>
    </xsd:element>
    <xsd:element name="PartyComment" ma:index="15" nillable="true" ma:displayName="Party Comment" ma:internalName="PartyComment">
      <xsd:simpleType>
        <xsd:restriction base="dms:Note">
          <xsd:maxLength value="255"/>
        </xsd:restriction>
      </xsd:simpleType>
    </xsd:element>
    <xsd:element name="SecretariatComment" ma:index="16" nillable="true" ma:displayName="Secretariat Comment" ma:internalName="SecretariatComment">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arty xmlns="e797f6dd-fd82-440c-8368-2d31177d6268">Zambia</Party>
    <SubmissionCycle xmlns="e797f6dd-fd82-440c-8368-2d31177d6268" xsi:nil="true"/>
    <SecretariatComment xmlns="e797f6dd-fd82-440c-8368-2d31177d6268" xsi:nil="true"/>
    <SubmissionStatus xmlns="e797f6dd-fd82-440c-8368-2d31177d6268" xsi:nil="true"/>
    <PartyComment xmlns="e797f6dd-fd82-440c-8368-2d31177d6268" xsi:nil="true"/>
    <SubmissionNumber xmlns="e797f6dd-fd82-440c-8368-2d31177d6268" xsi:nil="true"/>
    <RecordType xmlns="e797f6dd-fd82-440c-8368-2d31177d6268" xsi:nil="true"/>
    <UNF3CLanguage xmlns="e797f6dd-fd82-440c-8368-2d31177d6268" xsi:nil="true"/>
    <SubmissionDate xmlns="e797f6dd-fd82-440c-8368-2d31177d6268"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1A49AB4-76DD-470D-B00E-124710ED88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97f6dd-fd82-440c-8368-2d31177d62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AD497F-274D-4DD1-BB47-E0366F18A338}">
  <ds:schemaRefs>
    <ds:schemaRef ds:uri="http://schemas.microsoft.com/sharepoint/v3/contenttype/forms"/>
  </ds:schemaRefs>
</ds:datastoreItem>
</file>

<file path=customXml/itemProps4.xml><?xml version="1.0" encoding="utf-8"?>
<ds:datastoreItem xmlns:ds="http://schemas.openxmlformats.org/officeDocument/2006/customXml" ds:itemID="{ED635530-F825-4312-B485-A139C822362F}">
  <ds:schemaRefs>
    <ds:schemaRef ds:uri="http://schemas.microsoft.com/office/2006/metadata/properties"/>
    <ds:schemaRef ds:uri="http://schemas.microsoft.com/office/infopath/2007/PartnerControls"/>
    <ds:schemaRef ds:uri="e797f6dd-fd82-440c-8368-2d31177d6268"/>
  </ds:schemaRefs>
</ds:datastoreItem>
</file>

<file path=customXml/itemProps5.xml><?xml version="1.0" encoding="utf-8"?>
<ds:datastoreItem xmlns:ds="http://schemas.openxmlformats.org/officeDocument/2006/customXml" ds:itemID="{DE8DFE65-0B92-4000-AC8F-340DDC1E6C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217</Pages>
  <Words>62442</Words>
  <Characters>355925</Characters>
  <Application>Microsoft Office Word</Application>
  <DocSecurity>0</DocSecurity>
  <Lines>2966</Lines>
  <Paragraphs>835</Paragraphs>
  <ScaleCrop>false</ScaleCrop>
  <HeadingPairs>
    <vt:vector size="2" baseType="variant">
      <vt:variant>
        <vt:lpstr>Title</vt:lpstr>
      </vt:variant>
      <vt:variant>
        <vt:i4>1</vt:i4>
      </vt:variant>
    </vt:vector>
  </HeadingPairs>
  <TitlesOfParts>
    <vt:vector size="1" baseType="lpstr">
      <vt:lpstr>BUR/BUR1/2020</vt:lpstr>
    </vt:vector>
  </TitlesOfParts>
  <Company/>
  <LinksUpToDate>false</LinksUpToDate>
  <CharactersWithSpaces>417532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BUR/BUR1/2020</dc:title>
  <dc:creator>Zambia</dc:creator>
  <cp:lastModifiedBy>Shristi Ghimire</cp:lastModifiedBy>
  <cp:revision>2</cp:revision>
  <dcterms:created xsi:type="dcterms:W3CDTF">2020-12-07T09:42:00Z</dcterms:created>
  <dcterms:modified xsi:type="dcterms:W3CDTF">2020-12-07T09:42:00Z</dcterms:modified>
  <cp:category>November, 2020</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0x010100AA708D2C4755433BB496E8FC1CD0EEDC00128F3AFD1F4C6F4CA8189D4439F904AF</vt:lpwstr>
  </property>
</Properties>
</file>